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31" w:rsidRPr="009F5B52" w:rsidRDefault="000B1432" w:rsidP="00324431">
      <w:pPr>
        <w:jc w:val="center"/>
        <w:rPr>
          <w:rFonts w:cs="Times New Roman"/>
          <w:i/>
          <w:szCs w:val="24"/>
          <w:lang w:val="sr-Cyrl-CS"/>
        </w:rPr>
      </w:pPr>
      <w:r w:rsidRPr="009F5B52">
        <w:rPr>
          <w:rFonts w:cs="Times New Roman"/>
          <w:noProof/>
          <w:szCs w:val="24"/>
          <w:lang w:val="sr-Cyrl-RS" w:eastAsia="sr-Cyrl-RS"/>
        </w:rPr>
        <w:drawing>
          <wp:inline distT="0" distB="0" distL="0" distR="0" wp14:anchorId="37985A3E" wp14:editId="6ACAC786">
            <wp:extent cx="3314700" cy="485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485775"/>
                    </a:xfrm>
                    <a:prstGeom prst="rect">
                      <a:avLst/>
                    </a:prstGeom>
                    <a:noFill/>
                    <a:ln>
                      <a:noFill/>
                    </a:ln>
                  </pic:spPr>
                </pic:pic>
              </a:graphicData>
            </a:graphic>
          </wp:inline>
        </w:drawing>
      </w:r>
    </w:p>
    <w:p w:rsidR="00324431" w:rsidRPr="009F5B52" w:rsidRDefault="00324431" w:rsidP="00324431">
      <w:pPr>
        <w:jc w:val="center"/>
        <w:rPr>
          <w:rFonts w:cs="Times New Roman"/>
          <w:i/>
          <w:szCs w:val="24"/>
          <w:lang w:val="sr-Cyrl-CS"/>
        </w:rPr>
      </w:pPr>
    </w:p>
    <w:p w:rsidR="00324431" w:rsidRPr="009F5B52" w:rsidRDefault="00324431" w:rsidP="00324431">
      <w:pPr>
        <w:jc w:val="center"/>
        <w:rPr>
          <w:rFonts w:cs="Times New Roman"/>
          <w:i/>
          <w:szCs w:val="24"/>
          <w:lang w:val="sr-Cyrl-CS"/>
        </w:rPr>
      </w:pPr>
    </w:p>
    <w:p w:rsidR="00324431" w:rsidRPr="009F5B52" w:rsidRDefault="00324431" w:rsidP="00324431">
      <w:pPr>
        <w:jc w:val="center"/>
        <w:rPr>
          <w:rFonts w:cs="Times New Roman"/>
          <w:i/>
          <w:szCs w:val="24"/>
          <w:lang w:val="sr-Cyrl-CS"/>
        </w:rPr>
      </w:pPr>
    </w:p>
    <w:p w:rsidR="00324431" w:rsidRPr="009F5B52" w:rsidRDefault="00324431" w:rsidP="00324431">
      <w:pPr>
        <w:jc w:val="center"/>
        <w:rPr>
          <w:rFonts w:cs="Times New Roman"/>
          <w:i/>
          <w:szCs w:val="24"/>
          <w:lang w:val="sr-Cyrl-CS"/>
        </w:rPr>
      </w:pPr>
    </w:p>
    <w:p w:rsidR="009A5953" w:rsidRPr="009F5B52" w:rsidRDefault="002201ED" w:rsidP="007C4239">
      <w:pPr>
        <w:pStyle w:val="Title"/>
        <w:rPr>
          <w:lang w:val="sr-Cyrl-CS"/>
        </w:rPr>
      </w:pPr>
      <w:r w:rsidRPr="009F5B52">
        <w:rPr>
          <w:lang w:val="sr-Cyrl-CS"/>
        </w:rPr>
        <w:t>Студија опција за успостављање Фонда за социјално укључивање у Републици Србији</w:t>
      </w:r>
    </w:p>
    <w:p w:rsidR="009A5953" w:rsidRPr="009F5B52" w:rsidRDefault="009A5953" w:rsidP="009A5953">
      <w:pPr>
        <w:jc w:val="center"/>
        <w:rPr>
          <w:b/>
          <w:i/>
          <w:sz w:val="32"/>
          <w:szCs w:val="32"/>
          <w:lang w:val="sr-Cyrl-CS"/>
        </w:rPr>
      </w:pPr>
    </w:p>
    <w:p w:rsidR="009A5953" w:rsidRPr="009F5B52" w:rsidRDefault="009A5953" w:rsidP="009A5953">
      <w:pPr>
        <w:jc w:val="center"/>
        <w:rPr>
          <w:i/>
          <w:szCs w:val="24"/>
          <w:lang w:val="sr-Cyrl-CS"/>
        </w:rPr>
      </w:pPr>
    </w:p>
    <w:p w:rsidR="009A5953" w:rsidRPr="009F5B52" w:rsidRDefault="009A5953" w:rsidP="009A5953">
      <w:pPr>
        <w:jc w:val="center"/>
        <w:rPr>
          <w:i/>
          <w:szCs w:val="24"/>
          <w:lang w:val="sr-Cyrl-CS"/>
        </w:rPr>
      </w:pPr>
    </w:p>
    <w:p w:rsidR="009A5953" w:rsidRPr="009F5B52" w:rsidRDefault="009A5953" w:rsidP="009A5953">
      <w:pPr>
        <w:jc w:val="center"/>
        <w:rPr>
          <w:i/>
          <w:szCs w:val="24"/>
          <w:lang w:val="sr-Cyrl-CS"/>
        </w:rPr>
      </w:pPr>
    </w:p>
    <w:p w:rsidR="00825384" w:rsidRPr="009F5B52" w:rsidRDefault="00825384" w:rsidP="009A5953">
      <w:pPr>
        <w:jc w:val="center"/>
        <w:rPr>
          <w:i/>
          <w:szCs w:val="24"/>
          <w:lang w:val="sr-Cyrl-CS"/>
        </w:rPr>
      </w:pPr>
    </w:p>
    <w:p w:rsidR="00825384" w:rsidRPr="009F5B52" w:rsidRDefault="00825384" w:rsidP="009A5953">
      <w:pPr>
        <w:jc w:val="center"/>
        <w:rPr>
          <w:i/>
          <w:szCs w:val="24"/>
          <w:lang w:val="sr-Cyrl-CS"/>
        </w:rPr>
      </w:pPr>
    </w:p>
    <w:p w:rsidR="009A5953" w:rsidRPr="009F5B52" w:rsidRDefault="009A5953" w:rsidP="009A5953">
      <w:pPr>
        <w:jc w:val="center"/>
        <w:rPr>
          <w:i/>
          <w:szCs w:val="24"/>
          <w:lang w:val="sr-Cyrl-CS"/>
        </w:rPr>
      </w:pPr>
    </w:p>
    <w:p w:rsidR="00825384" w:rsidRPr="009F5B52" w:rsidRDefault="00825384" w:rsidP="009A5953">
      <w:pPr>
        <w:jc w:val="center"/>
        <w:rPr>
          <w:i/>
          <w:szCs w:val="24"/>
          <w:lang w:val="sr-Cyrl-CS"/>
        </w:rPr>
      </w:pPr>
    </w:p>
    <w:p w:rsidR="009A5953" w:rsidRPr="009F5B52" w:rsidRDefault="009A5953" w:rsidP="009A5953">
      <w:pPr>
        <w:rPr>
          <w:i/>
          <w:szCs w:val="24"/>
          <w:lang w:val="sr-Cyrl-CS"/>
        </w:rPr>
      </w:pPr>
    </w:p>
    <w:p w:rsidR="009A5953" w:rsidRPr="009F5B52" w:rsidRDefault="002201ED" w:rsidP="002201ED">
      <w:pPr>
        <w:rPr>
          <w:lang w:val="sr-Cyrl-CS"/>
        </w:rPr>
      </w:pPr>
      <w:r w:rsidRPr="009F5B52">
        <w:rPr>
          <w:lang w:val="sr-Cyrl-CS"/>
        </w:rPr>
        <w:t>Ова студија израђена је за потребе Тима за социјално укључивање и смањење сиромаштва Владе Републике Србије</w:t>
      </w:r>
      <w:r w:rsidR="009A5953" w:rsidRPr="009F5B52">
        <w:rPr>
          <w:lang w:val="sr-Cyrl-CS"/>
        </w:rPr>
        <w:t>.</w:t>
      </w:r>
    </w:p>
    <w:p w:rsidR="009A5953" w:rsidRPr="009F5B52" w:rsidRDefault="002201ED" w:rsidP="002201ED">
      <w:pPr>
        <w:rPr>
          <w:lang w:val="sr-Cyrl-CS"/>
        </w:rPr>
      </w:pPr>
      <w:r w:rsidRPr="009F5B52">
        <w:rPr>
          <w:lang w:val="sr-Cyrl-CS"/>
        </w:rPr>
        <w:t xml:space="preserve">Студија не представља званичан став Владе Републике Србије. </w:t>
      </w:r>
    </w:p>
    <w:p w:rsidR="009A5953" w:rsidRPr="009F5B52" w:rsidRDefault="009A5953" w:rsidP="009A5953">
      <w:pPr>
        <w:jc w:val="center"/>
        <w:rPr>
          <w:i/>
          <w:szCs w:val="24"/>
          <w:lang w:val="sr-Cyrl-CS"/>
        </w:rPr>
      </w:pPr>
    </w:p>
    <w:p w:rsidR="009A5953" w:rsidRPr="009F5B52" w:rsidRDefault="009A5953" w:rsidP="009A5953">
      <w:pPr>
        <w:jc w:val="center"/>
        <w:rPr>
          <w:i/>
          <w:szCs w:val="24"/>
          <w:lang w:val="sr-Cyrl-CS"/>
        </w:rPr>
      </w:pPr>
    </w:p>
    <w:p w:rsidR="009A5953" w:rsidRPr="009F5B52" w:rsidRDefault="002201ED" w:rsidP="009A5953">
      <w:pPr>
        <w:jc w:val="center"/>
        <w:rPr>
          <w:i/>
          <w:szCs w:val="24"/>
          <w:lang w:val="sr-Cyrl-CS"/>
        </w:rPr>
      </w:pPr>
      <w:r w:rsidRPr="009F5B52">
        <w:rPr>
          <w:i/>
          <w:szCs w:val="24"/>
          <w:lang w:val="sr-Cyrl-CS"/>
        </w:rPr>
        <w:t>Европски пројектни центар</w:t>
      </w:r>
      <w:r w:rsidR="009A5953" w:rsidRPr="009F5B52">
        <w:rPr>
          <w:i/>
          <w:szCs w:val="24"/>
          <w:lang w:val="sr-Cyrl-CS"/>
        </w:rPr>
        <w:t xml:space="preserve"> - </w:t>
      </w:r>
      <w:r w:rsidRPr="009F5B52">
        <w:rPr>
          <w:i/>
          <w:szCs w:val="24"/>
          <w:lang w:val="sr-Cyrl-CS"/>
        </w:rPr>
        <w:t>ЕПЦ</w:t>
      </w:r>
    </w:p>
    <w:p w:rsidR="009A5953" w:rsidRPr="009F5B52" w:rsidRDefault="00327002" w:rsidP="009A5953">
      <w:pPr>
        <w:jc w:val="center"/>
        <w:rPr>
          <w:i/>
          <w:szCs w:val="24"/>
          <w:lang w:val="sr-Cyrl-CS"/>
        </w:rPr>
      </w:pPr>
      <w:r w:rsidRPr="009F5B52">
        <w:rPr>
          <w:i/>
          <w:szCs w:val="24"/>
          <w:lang w:val="sr-Cyrl-CS"/>
        </w:rPr>
        <w:t>Ју</w:t>
      </w:r>
      <w:r w:rsidR="009F09F4" w:rsidRPr="009F5B52">
        <w:rPr>
          <w:i/>
          <w:szCs w:val="24"/>
          <w:lang w:val="sr-Cyrl-CS"/>
        </w:rPr>
        <w:t>л</w:t>
      </w:r>
      <w:r w:rsidR="002201ED" w:rsidRPr="009F5B52">
        <w:rPr>
          <w:i/>
          <w:szCs w:val="24"/>
          <w:lang w:val="sr-Cyrl-CS"/>
        </w:rPr>
        <w:t xml:space="preserve"> 2012. године</w:t>
      </w:r>
      <w:r w:rsidR="009A5953" w:rsidRPr="009F5B52">
        <w:rPr>
          <w:i/>
          <w:szCs w:val="24"/>
          <w:lang w:val="sr-Cyrl-CS"/>
        </w:rPr>
        <w:br w:type="page"/>
      </w:r>
    </w:p>
    <w:p w:rsidR="003F343E" w:rsidRPr="009F5B52" w:rsidRDefault="002201ED" w:rsidP="003F343E">
      <w:pPr>
        <w:pStyle w:val="TOCHeading"/>
        <w:spacing w:before="60" w:after="60"/>
        <w:ind w:left="432" w:hanging="432"/>
        <w:rPr>
          <w:b/>
          <w:szCs w:val="24"/>
          <w:lang w:val="sr-Cyrl-CS"/>
        </w:rPr>
      </w:pPr>
      <w:r w:rsidRPr="009F5B52">
        <w:rPr>
          <w:b/>
          <w:szCs w:val="24"/>
          <w:lang w:val="sr-Cyrl-CS"/>
        </w:rPr>
        <w:lastRenderedPageBreak/>
        <w:t>Садржај</w:t>
      </w:r>
    </w:p>
    <w:p w:rsidR="003F343E" w:rsidRPr="009F5B52" w:rsidRDefault="00047CC3" w:rsidP="003F343E">
      <w:pPr>
        <w:pStyle w:val="TOCHeading"/>
        <w:spacing w:before="60" w:after="60"/>
        <w:ind w:left="432" w:hanging="432"/>
        <w:rPr>
          <w:noProof/>
          <w:lang w:val="sr-Cyrl-CS"/>
        </w:rPr>
      </w:pPr>
      <w:r w:rsidRPr="009F5B52">
        <w:rPr>
          <w:szCs w:val="24"/>
          <w:lang w:val="sr-Cyrl-CS"/>
        </w:rPr>
        <w:fldChar w:fldCharType="begin"/>
      </w:r>
      <w:r w:rsidR="009A5953" w:rsidRPr="009F5B52">
        <w:rPr>
          <w:szCs w:val="24"/>
          <w:lang w:val="sr-Cyrl-CS"/>
        </w:rPr>
        <w:instrText xml:space="preserve"> TOC \o "1-3" \h \z \u </w:instrText>
      </w:r>
      <w:r w:rsidRPr="009F5B52">
        <w:rPr>
          <w:szCs w:val="24"/>
          <w:lang w:val="sr-Cyrl-CS"/>
        </w:rPr>
        <w:fldChar w:fldCharType="separate"/>
      </w:r>
    </w:p>
    <w:p w:rsidR="003F343E" w:rsidRPr="009F5B52" w:rsidRDefault="008365F6" w:rsidP="003F343E">
      <w:pPr>
        <w:pStyle w:val="TOC1"/>
        <w:tabs>
          <w:tab w:val="right" w:leader="dot" w:pos="9017"/>
        </w:tabs>
        <w:spacing w:before="60" w:after="60"/>
        <w:rPr>
          <w:rFonts w:asciiTheme="minorHAnsi" w:eastAsiaTheme="minorEastAsia" w:hAnsiTheme="minorHAnsi"/>
          <w:noProof/>
          <w:sz w:val="22"/>
          <w:lang w:val="sr-Cyrl-CS"/>
        </w:rPr>
      </w:pPr>
      <w:hyperlink w:anchor="_Toc330562287" w:history="1">
        <w:r w:rsidR="003F343E" w:rsidRPr="009F5B52">
          <w:rPr>
            <w:rStyle w:val="Hyperlink"/>
            <w:noProof/>
            <w:lang w:val="sr-Cyrl-CS"/>
          </w:rPr>
          <w:t>Кључни налази и препоруке</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_Toc330562287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3</w:t>
        </w:r>
        <w:r w:rsidR="003F343E" w:rsidRPr="009F5B52">
          <w:rPr>
            <w:noProof/>
            <w:webHidden/>
            <w:lang w:val="sr-Cyrl-CS"/>
          </w:rPr>
          <w:fldChar w:fldCharType="end"/>
        </w:r>
      </w:hyperlink>
    </w:p>
    <w:p w:rsidR="003F343E" w:rsidRPr="009F5B52" w:rsidRDefault="008365F6" w:rsidP="003F343E">
      <w:pPr>
        <w:pStyle w:val="TOC1"/>
        <w:tabs>
          <w:tab w:val="right" w:leader="dot" w:pos="9017"/>
        </w:tabs>
        <w:spacing w:before="60" w:after="60"/>
        <w:rPr>
          <w:rFonts w:asciiTheme="minorHAnsi" w:eastAsiaTheme="minorEastAsia" w:hAnsiTheme="minorHAnsi"/>
          <w:noProof/>
          <w:sz w:val="22"/>
          <w:lang w:val="sr-Cyrl-CS"/>
        </w:rPr>
      </w:pPr>
      <w:hyperlink w:anchor="_Toc330562288" w:history="1">
        <w:r w:rsidR="003F343E" w:rsidRPr="009F5B52">
          <w:rPr>
            <w:rStyle w:val="Hyperlink"/>
            <w:noProof/>
            <w:lang w:val="sr-Cyrl-CS"/>
          </w:rPr>
          <w:t>Увод</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_Toc330562288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6</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289" w:history="1">
        <w:r w:rsidR="003F343E" w:rsidRPr="009F5B52">
          <w:rPr>
            <w:rStyle w:val="Hyperlink"/>
            <w:noProof/>
            <w:lang w:val="sr-Cyrl-CS"/>
          </w:rPr>
          <w:t>Контекст</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_Toc330562289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6</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290" w:history="1">
        <w:r w:rsidR="003F343E" w:rsidRPr="009F5B52">
          <w:rPr>
            <w:rStyle w:val="Hyperlink"/>
            <w:noProof/>
            <w:lang w:val="sr-Cyrl-CS"/>
          </w:rPr>
          <w:t>Истраживачка методологија</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_Toc330562290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7</w:t>
        </w:r>
        <w:r w:rsidR="003F343E" w:rsidRPr="009F5B52">
          <w:rPr>
            <w:noProof/>
            <w:webHidden/>
            <w:lang w:val="sr-Cyrl-CS"/>
          </w:rPr>
          <w:fldChar w:fldCharType="end"/>
        </w:r>
      </w:hyperlink>
    </w:p>
    <w:p w:rsidR="003F343E" w:rsidRPr="009F5B52" w:rsidRDefault="008365F6" w:rsidP="003F343E">
      <w:pPr>
        <w:pStyle w:val="TOC1"/>
        <w:tabs>
          <w:tab w:val="left" w:pos="440"/>
          <w:tab w:val="right" w:leader="dot" w:pos="9017"/>
        </w:tabs>
        <w:spacing w:before="60" w:after="60"/>
        <w:rPr>
          <w:rFonts w:asciiTheme="minorHAnsi" w:eastAsiaTheme="minorEastAsia" w:hAnsiTheme="minorHAnsi"/>
          <w:noProof/>
          <w:sz w:val="22"/>
          <w:lang w:val="sr-Cyrl-CS"/>
        </w:rPr>
      </w:pPr>
      <w:hyperlink w:anchor="_Toc330562291" w:history="1">
        <w:r w:rsidR="003F343E" w:rsidRPr="009F5B52">
          <w:rPr>
            <w:rStyle w:val="Hyperlink"/>
            <w:noProof/>
            <w:lang w:val="sr-Cyrl-CS"/>
          </w:rPr>
          <w:t>1.</w:t>
        </w:r>
        <w:r w:rsidR="003F343E" w:rsidRPr="009F5B52">
          <w:rPr>
            <w:rFonts w:asciiTheme="minorHAnsi" w:eastAsiaTheme="minorEastAsia" w:hAnsiTheme="minorHAnsi"/>
            <w:noProof/>
            <w:sz w:val="22"/>
            <w:lang w:val="sr-Cyrl-CS"/>
          </w:rPr>
          <w:tab/>
        </w:r>
        <w:r w:rsidR="003F343E" w:rsidRPr="009F5B52">
          <w:rPr>
            <w:rStyle w:val="Hyperlink"/>
            <w:noProof/>
            <w:lang w:val="sr-Cyrl-CS"/>
          </w:rPr>
          <w:t>Национални оквир и претходна искуства</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_Toc330562291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8</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292" w:history="1">
        <w:r w:rsidR="003F343E" w:rsidRPr="009F5B52">
          <w:rPr>
            <w:rStyle w:val="Hyperlink"/>
            <w:noProof/>
            <w:lang w:val="sr-Cyrl-CS"/>
          </w:rPr>
          <w:t>1.1. Кључни аспекти и принципи</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_Toc330562292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8</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293" w:history="1">
        <w:r w:rsidR="003F343E" w:rsidRPr="009F5B52">
          <w:rPr>
            <w:rStyle w:val="Hyperlink"/>
            <w:noProof/>
            <w:lang w:val="sr-Cyrl-CS"/>
          </w:rPr>
          <w:t>1.2. Министарства и државни органи</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_Toc330562293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10</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294" w:history="1">
        <w:r w:rsidR="003F343E" w:rsidRPr="009F5B52">
          <w:rPr>
            <w:rStyle w:val="Hyperlink"/>
            <w:noProof/>
            <w:lang w:val="sr-Cyrl-CS"/>
          </w:rPr>
          <w:t>1.3. Координирање међусекторских политика</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_Toc330562294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11</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295" w:history="1">
        <w:r w:rsidR="003F343E" w:rsidRPr="009F5B52">
          <w:rPr>
            <w:rStyle w:val="Hyperlink"/>
            <w:noProof/>
            <w:lang w:val="sr-Cyrl-CS"/>
          </w:rPr>
          <w:t>1.4. Социјално укључивање на нивоу локалне самоуправе</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_Toc330562295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13</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296" w:history="1">
        <w:r w:rsidR="003F343E" w:rsidRPr="009F5B52">
          <w:rPr>
            <w:rStyle w:val="Hyperlink"/>
            <w:noProof/>
            <w:lang w:val="sr-Cyrl-CS"/>
          </w:rPr>
          <w:t>1.5. Финансијски инструменти на нивоу централне власти</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_Toc330562296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14</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297" w:history="1">
        <w:r w:rsidR="003F343E" w:rsidRPr="009F5B52">
          <w:rPr>
            <w:rStyle w:val="Hyperlink"/>
            <w:noProof/>
            <w:lang w:val="sr-Cyrl-CS"/>
          </w:rPr>
          <w:t>1.6. Релевантни пројекти</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_Toc330562297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16</w:t>
        </w:r>
        <w:r w:rsidR="003F343E" w:rsidRPr="009F5B52">
          <w:rPr>
            <w:noProof/>
            <w:webHidden/>
            <w:lang w:val="sr-Cyrl-CS"/>
          </w:rPr>
          <w:fldChar w:fldCharType="end"/>
        </w:r>
      </w:hyperlink>
    </w:p>
    <w:p w:rsidR="003F343E" w:rsidRPr="009F5B52" w:rsidRDefault="008365F6" w:rsidP="003F343E">
      <w:pPr>
        <w:pStyle w:val="TOC1"/>
        <w:tabs>
          <w:tab w:val="right" w:leader="dot" w:pos="9017"/>
        </w:tabs>
        <w:spacing w:before="60" w:after="60"/>
        <w:rPr>
          <w:rFonts w:asciiTheme="minorHAnsi" w:eastAsiaTheme="minorEastAsia" w:hAnsiTheme="minorHAnsi"/>
          <w:noProof/>
          <w:sz w:val="22"/>
          <w:lang w:val="sr-Cyrl-CS"/>
        </w:rPr>
      </w:pPr>
      <w:hyperlink w:anchor="_Toc330562298" w:history="1">
        <w:r w:rsidR="003F343E" w:rsidRPr="009F5B52">
          <w:rPr>
            <w:rStyle w:val="Hyperlink"/>
            <w:noProof/>
            <w:lang w:val="sr-Cyrl-CS"/>
          </w:rPr>
          <w:t>2. Управљање фондовима ЕУ и главни изазови</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_Toc330562298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21</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299" w:history="1">
        <w:r w:rsidR="003F343E" w:rsidRPr="009F5B52">
          <w:rPr>
            <w:rStyle w:val="Hyperlink"/>
            <w:noProof/>
            <w:lang w:val="sr-Cyrl-CS"/>
          </w:rPr>
          <w:t>2.1. Оквир ЕУ</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_Toc330562299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21</w:t>
        </w:r>
        <w:r w:rsidR="003F343E" w:rsidRPr="009F5B52">
          <w:rPr>
            <w:noProof/>
            <w:webHidden/>
            <w:lang w:val="sr-Cyrl-CS"/>
          </w:rPr>
          <w:fldChar w:fldCharType="end"/>
        </w:r>
      </w:hyperlink>
    </w:p>
    <w:p w:rsidR="003F343E" w:rsidRPr="009F5B52" w:rsidRDefault="008365F6" w:rsidP="003F343E">
      <w:pPr>
        <w:pStyle w:val="TOC3"/>
        <w:tabs>
          <w:tab w:val="right" w:leader="dot" w:pos="9017"/>
        </w:tabs>
        <w:spacing w:before="60" w:after="60"/>
        <w:rPr>
          <w:rFonts w:asciiTheme="minorHAnsi" w:eastAsiaTheme="minorEastAsia" w:hAnsiTheme="minorHAnsi"/>
          <w:noProof/>
          <w:sz w:val="22"/>
          <w:lang w:val="sr-Cyrl-CS"/>
        </w:rPr>
      </w:pPr>
      <w:hyperlink w:anchor="_Toc330562300" w:history="1">
        <w:r w:rsidR="003F343E" w:rsidRPr="009F5B52">
          <w:rPr>
            <w:rStyle w:val="Hyperlink"/>
            <w:noProof/>
            <w:lang w:val="sr-Cyrl-CS"/>
          </w:rPr>
          <w:t>2.1.1. Европски социјални фонд (ЕСФ) и други фондови и програми ЕУ</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_Toc330562300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21</w:t>
        </w:r>
        <w:r w:rsidR="003F343E" w:rsidRPr="009F5B52">
          <w:rPr>
            <w:noProof/>
            <w:webHidden/>
            <w:lang w:val="sr-Cyrl-CS"/>
          </w:rPr>
          <w:fldChar w:fldCharType="end"/>
        </w:r>
      </w:hyperlink>
    </w:p>
    <w:p w:rsidR="003F343E" w:rsidRPr="009F5B52" w:rsidRDefault="008365F6" w:rsidP="003F343E">
      <w:pPr>
        <w:pStyle w:val="TOC3"/>
        <w:tabs>
          <w:tab w:val="right" w:leader="dot" w:pos="9017"/>
        </w:tabs>
        <w:spacing w:before="60" w:after="60"/>
        <w:rPr>
          <w:rFonts w:asciiTheme="minorHAnsi" w:eastAsiaTheme="minorEastAsia" w:hAnsiTheme="minorHAnsi"/>
          <w:noProof/>
          <w:sz w:val="22"/>
          <w:lang w:val="sr-Cyrl-CS"/>
        </w:rPr>
      </w:pPr>
      <w:hyperlink w:anchor="_Toc330562301" w:history="1">
        <w:r w:rsidR="003F343E" w:rsidRPr="009F5B52">
          <w:rPr>
            <w:rStyle w:val="Hyperlink"/>
            <w:noProof/>
            <w:lang w:val="sr-Cyrl-CS"/>
          </w:rPr>
          <w:t>2.1.2. Инструмент за претприступну помоћ (ИПА)</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_Toc330562301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24</w:t>
        </w:r>
        <w:r w:rsidR="003F343E" w:rsidRPr="009F5B52">
          <w:rPr>
            <w:noProof/>
            <w:webHidden/>
            <w:lang w:val="sr-Cyrl-CS"/>
          </w:rPr>
          <w:fldChar w:fldCharType="end"/>
        </w:r>
      </w:hyperlink>
    </w:p>
    <w:p w:rsidR="003F343E" w:rsidRPr="009F5B52" w:rsidRDefault="008365F6" w:rsidP="003F343E">
      <w:pPr>
        <w:pStyle w:val="TOC3"/>
        <w:tabs>
          <w:tab w:val="right" w:leader="dot" w:pos="9017"/>
        </w:tabs>
        <w:spacing w:before="60" w:after="60"/>
        <w:rPr>
          <w:rFonts w:asciiTheme="minorHAnsi" w:eastAsiaTheme="minorEastAsia" w:hAnsiTheme="minorHAnsi"/>
          <w:noProof/>
          <w:sz w:val="22"/>
          <w:lang w:val="sr-Cyrl-CS"/>
        </w:rPr>
      </w:pPr>
      <w:hyperlink w:anchor="_Toc330562302" w:history="1">
        <w:r w:rsidR="003F343E" w:rsidRPr="009F5B52">
          <w:rPr>
            <w:rStyle w:val="Hyperlink"/>
            <w:noProof/>
            <w:lang w:val="sr-Cyrl-CS"/>
          </w:rPr>
          <w:t>2.1.3. Децентрализовано управљање фондовима ЕУ</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_Toc330562302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28</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303" w:history="1">
        <w:r w:rsidR="003F343E" w:rsidRPr="009F5B52">
          <w:rPr>
            <w:rStyle w:val="Hyperlink"/>
            <w:noProof/>
            <w:lang w:val="sr-Cyrl-CS"/>
          </w:rPr>
          <w:t>2.2. Главни изазови</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_Toc330562303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29</w:t>
        </w:r>
        <w:r w:rsidR="003F343E" w:rsidRPr="009F5B52">
          <w:rPr>
            <w:noProof/>
            <w:webHidden/>
            <w:lang w:val="sr-Cyrl-CS"/>
          </w:rPr>
          <w:fldChar w:fldCharType="end"/>
        </w:r>
      </w:hyperlink>
    </w:p>
    <w:p w:rsidR="003F343E" w:rsidRPr="009F5B52" w:rsidRDefault="008365F6" w:rsidP="003F343E">
      <w:pPr>
        <w:pStyle w:val="TOC3"/>
        <w:tabs>
          <w:tab w:val="right" w:leader="dot" w:pos="9017"/>
        </w:tabs>
        <w:spacing w:before="60" w:after="60"/>
        <w:rPr>
          <w:rFonts w:asciiTheme="minorHAnsi" w:eastAsiaTheme="minorEastAsia" w:hAnsiTheme="minorHAnsi"/>
          <w:noProof/>
          <w:sz w:val="22"/>
          <w:lang w:val="sr-Cyrl-CS"/>
        </w:rPr>
      </w:pPr>
      <w:hyperlink w:anchor="_Toc330562304" w:history="1">
        <w:r w:rsidR="003F343E" w:rsidRPr="009F5B52">
          <w:rPr>
            <w:rStyle w:val="Hyperlink"/>
            <w:noProof/>
            <w:lang w:val="sr-Cyrl-CS"/>
          </w:rPr>
          <w:t>2.2.1. Административни капацитети за управљање фондовима ЕУ</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_Toc330562304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29</w:t>
        </w:r>
        <w:r w:rsidR="003F343E" w:rsidRPr="009F5B52">
          <w:rPr>
            <w:noProof/>
            <w:webHidden/>
            <w:lang w:val="sr-Cyrl-CS"/>
          </w:rPr>
          <w:fldChar w:fldCharType="end"/>
        </w:r>
      </w:hyperlink>
    </w:p>
    <w:p w:rsidR="003F343E" w:rsidRPr="009F5B52" w:rsidRDefault="008365F6" w:rsidP="003F343E">
      <w:pPr>
        <w:pStyle w:val="TOC3"/>
        <w:tabs>
          <w:tab w:val="right" w:leader="dot" w:pos="9017"/>
        </w:tabs>
        <w:spacing w:before="60" w:after="60"/>
        <w:rPr>
          <w:rFonts w:asciiTheme="minorHAnsi" w:eastAsiaTheme="minorEastAsia" w:hAnsiTheme="minorHAnsi"/>
          <w:noProof/>
          <w:sz w:val="22"/>
          <w:lang w:val="sr-Cyrl-CS"/>
        </w:rPr>
      </w:pPr>
      <w:hyperlink w:anchor="_Toc330562305" w:history="1">
        <w:r w:rsidR="003F343E" w:rsidRPr="009F5B52">
          <w:rPr>
            <w:rStyle w:val="Hyperlink"/>
            <w:noProof/>
            <w:lang w:val="sr-Cyrl-CS"/>
          </w:rPr>
          <w:t>2.2.2. Правовремено управљање фондовима ЕУ</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_Toc330562305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31</w:t>
        </w:r>
        <w:r w:rsidR="003F343E" w:rsidRPr="009F5B52">
          <w:rPr>
            <w:noProof/>
            <w:webHidden/>
            <w:lang w:val="sr-Cyrl-CS"/>
          </w:rPr>
          <w:fldChar w:fldCharType="end"/>
        </w:r>
      </w:hyperlink>
    </w:p>
    <w:p w:rsidR="003F343E" w:rsidRPr="009F5B52" w:rsidRDefault="008365F6" w:rsidP="003F343E">
      <w:pPr>
        <w:pStyle w:val="TOC3"/>
        <w:tabs>
          <w:tab w:val="right" w:leader="dot" w:pos="9017"/>
        </w:tabs>
        <w:spacing w:before="60" w:after="60"/>
        <w:rPr>
          <w:rFonts w:asciiTheme="minorHAnsi" w:eastAsiaTheme="minorEastAsia" w:hAnsiTheme="minorHAnsi"/>
          <w:noProof/>
          <w:sz w:val="22"/>
          <w:lang w:val="sr-Cyrl-CS"/>
        </w:rPr>
      </w:pPr>
      <w:hyperlink w:anchor="_Toc330562306" w:history="1">
        <w:r w:rsidR="003F343E" w:rsidRPr="009F5B52">
          <w:rPr>
            <w:rStyle w:val="Hyperlink"/>
            <w:noProof/>
            <w:lang w:val="sr-Cyrl-CS"/>
          </w:rPr>
          <w:t>2.2.3. Кофинансирање и предфинансирање</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_Toc330562306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33</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307" w:history="1">
        <w:r w:rsidR="003F343E" w:rsidRPr="009F5B52">
          <w:rPr>
            <w:rStyle w:val="Hyperlink"/>
            <w:noProof/>
            <w:lang w:val="sr-Cyrl-CS"/>
          </w:rPr>
          <w:t>2.3. Посредничка тела као део Оперативне структуре</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_Toc330562307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35</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308" w:history="1">
        <w:r w:rsidR="003F343E" w:rsidRPr="009F5B52">
          <w:rPr>
            <w:rStyle w:val="Hyperlink"/>
            <w:noProof/>
            <w:lang w:val="sr-Cyrl-CS"/>
          </w:rPr>
          <w:t>2.4. Искуства других земаља</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_Toc330562308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37</w:t>
        </w:r>
        <w:r w:rsidR="003F343E" w:rsidRPr="009F5B52">
          <w:rPr>
            <w:noProof/>
            <w:webHidden/>
            <w:lang w:val="sr-Cyrl-CS"/>
          </w:rPr>
          <w:fldChar w:fldCharType="end"/>
        </w:r>
      </w:hyperlink>
    </w:p>
    <w:p w:rsidR="003F343E" w:rsidRPr="009F5B52" w:rsidRDefault="008365F6" w:rsidP="003F343E">
      <w:pPr>
        <w:pStyle w:val="TOC3"/>
        <w:tabs>
          <w:tab w:val="right" w:leader="dot" w:pos="9017"/>
        </w:tabs>
        <w:spacing w:before="60" w:after="60"/>
        <w:rPr>
          <w:rFonts w:asciiTheme="minorHAnsi" w:eastAsiaTheme="minorEastAsia" w:hAnsiTheme="minorHAnsi"/>
          <w:noProof/>
          <w:sz w:val="22"/>
          <w:lang w:val="sr-Cyrl-CS"/>
        </w:rPr>
      </w:pPr>
      <w:hyperlink w:anchor="_Toc330562309" w:history="1">
        <w:r w:rsidR="003F343E" w:rsidRPr="009F5B52">
          <w:rPr>
            <w:rStyle w:val="Hyperlink"/>
            <w:noProof/>
            <w:lang w:val="sr-Cyrl-CS"/>
          </w:rPr>
          <w:t>2.4.1. Република Словачка</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_Toc330562309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38</w:t>
        </w:r>
        <w:r w:rsidR="003F343E" w:rsidRPr="009F5B52">
          <w:rPr>
            <w:noProof/>
            <w:webHidden/>
            <w:lang w:val="sr-Cyrl-CS"/>
          </w:rPr>
          <w:fldChar w:fldCharType="end"/>
        </w:r>
      </w:hyperlink>
    </w:p>
    <w:p w:rsidR="003F343E" w:rsidRPr="009F5B52" w:rsidRDefault="008365F6" w:rsidP="003F343E">
      <w:pPr>
        <w:pStyle w:val="TOC3"/>
        <w:tabs>
          <w:tab w:val="right" w:leader="dot" w:pos="9017"/>
        </w:tabs>
        <w:spacing w:before="60" w:after="60"/>
        <w:rPr>
          <w:rFonts w:asciiTheme="minorHAnsi" w:eastAsiaTheme="minorEastAsia" w:hAnsiTheme="minorHAnsi"/>
          <w:noProof/>
          <w:sz w:val="22"/>
          <w:lang w:val="sr-Cyrl-CS"/>
        </w:rPr>
      </w:pPr>
      <w:hyperlink w:anchor="_Toc330562310" w:history="1">
        <w:r w:rsidR="003F343E" w:rsidRPr="009F5B52">
          <w:rPr>
            <w:rStyle w:val="Hyperlink"/>
            <w:noProof/>
            <w:lang w:val="sr-Cyrl-CS"/>
          </w:rPr>
          <w:t>2.4.2. Бугарска</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_Toc330562310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39</w:t>
        </w:r>
        <w:r w:rsidR="003F343E" w:rsidRPr="009F5B52">
          <w:rPr>
            <w:noProof/>
            <w:webHidden/>
            <w:lang w:val="sr-Cyrl-CS"/>
          </w:rPr>
          <w:fldChar w:fldCharType="end"/>
        </w:r>
      </w:hyperlink>
    </w:p>
    <w:p w:rsidR="003F343E" w:rsidRPr="009F5B52" w:rsidRDefault="008365F6" w:rsidP="003F343E">
      <w:pPr>
        <w:pStyle w:val="TOC3"/>
        <w:tabs>
          <w:tab w:val="right" w:leader="dot" w:pos="9017"/>
        </w:tabs>
        <w:spacing w:before="60" w:after="60"/>
        <w:rPr>
          <w:rFonts w:asciiTheme="minorHAnsi" w:eastAsiaTheme="minorEastAsia" w:hAnsiTheme="minorHAnsi"/>
          <w:noProof/>
          <w:sz w:val="22"/>
          <w:lang w:val="sr-Cyrl-CS"/>
        </w:rPr>
      </w:pPr>
      <w:hyperlink w:anchor="_Toc330562311" w:history="1">
        <w:r w:rsidR="003F343E" w:rsidRPr="009F5B52">
          <w:rPr>
            <w:rStyle w:val="Hyperlink"/>
            <w:noProof/>
            <w:lang w:val="sr-Cyrl-CS"/>
          </w:rPr>
          <w:t>2.4.3. Хрватска</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_Toc330562311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39</w:t>
        </w:r>
        <w:r w:rsidR="003F343E" w:rsidRPr="009F5B52">
          <w:rPr>
            <w:noProof/>
            <w:webHidden/>
            <w:lang w:val="sr-Cyrl-CS"/>
          </w:rPr>
          <w:fldChar w:fldCharType="end"/>
        </w:r>
      </w:hyperlink>
    </w:p>
    <w:p w:rsidR="003F343E" w:rsidRPr="009F5B52" w:rsidRDefault="008365F6" w:rsidP="003F343E">
      <w:pPr>
        <w:pStyle w:val="TOC1"/>
        <w:tabs>
          <w:tab w:val="right" w:leader="dot" w:pos="9017"/>
        </w:tabs>
        <w:spacing w:before="60" w:after="60"/>
        <w:rPr>
          <w:rFonts w:asciiTheme="minorHAnsi" w:eastAsiaTheme="minorEastAsia" w:hAnsiTheme="minorHAnsi"/>
          <w:noProof/>
          <w:sz w:val="22"/>
          <w:lang w:val="sr-Cyrl-CS"/>
        </w:rPr>
      </w:pPr>
      <w:hyperlink w:anchor="_Toc330562312" w:history="1">
        <w:r w:rsidR="003F343E" w:rsidRPr="009F5B52">
          <w:rPr>
            <w:rStyle w:val="Hyperlink"/>
            <w:noProof/>
            <w:lang w:val="sr-Cyrl-CS"/>
          </w:rPr>
          <w:t>3. Кораци ка успостављању фонда за социјално укључивање</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_Toc330562312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41</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313" w:history="1">
        <w:r w:rsidR="003F343E" w:rsidRPr="009F5B52">
          <w:rPr>
            <w:rStyle w:val="Hyperlink"/>
            <w:noProof/>
            <w:lang w:val="sr-Cyrl-CS"/>
          </w:rPr>
          <w:t>3.1. Управљачка структура будућег Фонда за социјално укључивање</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_Toc330562313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41</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314" w:history="1">
        <w:r w:rsidR="003F343E" w:rsidRPr="009F5B52">
          <w:rPr>
            <w:rStyle w:val="Hyperlink"/>
            <w:noProof/>
            <w:lang w:val="sr-Cyrl-CS"/>
          </w:rPr>
          <w:t>3.2. Могући правни основ за успостављање Фонда за социјално укључивање</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_Toc330562314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42</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315" w:history="1">
        <w:r w:rsidR="003F343E" w:rsidRPr="009F5B52">
          <w:rPr>
            <w:rStyle w:val="Hyperlink"/>
            <w:noProof/>
            <w:lang w:val="sr-Cyrl-CS"/>
          </w:rPr>
          <w:t>3.3. Опције и препоруке у погледу кључних функција Фонда за социјално укључивање</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_Toc330562315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44</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316" w:history="1">
        <w:r w:rsidR="003F343E" w:rsidRPr="009F5B52">
          <w:rPr>
            <w:rStyle w:val="Hyperlink"/>
            <w:noProof/>
            <w:lang w:val="sr-Cyrl-CS"/>
          </w:rPr>
          <w:t>3.4. Финансијски аспекти Фонда за социјално укључивање</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_Toc330562316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46</w:t>
        </w:r>
        <w:r w:rsidR="003F343E" w:rsidRPr="009F5B52">
          <w:rPr>
            <w:noProof/>
            <w:webHidden/>
            <w:lang w:val="sr-Cyrl-CS"/>
          </w:rPr>
          <w:fldChar w:fldCharType="end"/>
        </w:r>
      </w:hyperlink>
    </w:p>
    <w:p w:rsidR="003F343E" w:rsidRPr="009F5B52" w:rsidRDefault="008365F6" w:rsidP="003F343E">
      <w:pPr>
        <w:pStyle w:val="TOC2"/>
        <w:tabs>
          <w:tab w:val="right" w:leader="dot" w:pos="9017"/>
        </w:tabs>
        <w:spacing w:before="60" w:after="60"/>
        <w:rPr>
          <w:rFonts w:asciiTheme="minorHAnsi" w:eastAsiaTheme="minorEastAsia" w:hAnsiTheme="minorHAnsi"/>
          <w:noProof/>
          <w:sz w:val="22"/>
          <w:lang w:val="sr-Cyrl-CS"/>
        </w:rPr>
      </w:pPr>
      <w:hyperlink w:anchor="_Toc330562317" w:history="1">
        <w:r w:rsidR="003F343E" w:rsidRPr="009F5B52">
          <w:rPr>
            <w:rStyle w:val="Hyperlink"/>
            <w:noProof/>
            <w:lang w:val="sr-Cyrl-CS"/>
          </w:rPr>
          <w:t>3.5. Мапа пута за успостављање Фонда за социјално укључиавње</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_Toc330562317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47</w:t>
        </w:r>
        <w:r w:rsidR="003F343E" w:rsidRPr="009F5B52">
          <w:rPr>
            <w:noProof/>
            <w:webHidden/>
            <w:lang w:val="sr-Cyrl-CS"/>
          </w:rPr>
          <w:fldChar w:fldCharType="end"/>
        </w:r>
      </w:hyperlink>
    </w:p>
    <w:p w:rsidR="003F343E" w:rsidRPr="009F5B52" w:rsidRDefault="008365F6" w:rsidP="003F343E">
      <w:pPr>
        <w:pStyle w:val="TOC1"/>
        <w:tabs>
          <w:tab w:val="right" w:leader="dot" w:pos="9017"/>
        </w:tabs>
        <w:spacing w:before="60" w:after="60"/>
        <w:rPr>
          <w:rFonts w:asciiTheme="minorHAnsi" w:eastAsiaTheme="minorEastAsia" w:hAnsiTheme="minorHAnsi"/>
          <w:noProof/>
          <w:sz w:val="22"/>
          <w:lang w:val="sr-Cyrl-CS"/>
        </w:rPr>
      </w:pPr>
      <w:hyperlink w:anchor="_Toc330562318" w:history="1">
        <w:r w:rsidR="003F343E" w:rsidRPr="009F5B52">
          <w:rPr>
            <w:rStyle w:val="Hyperlink"/>
            <w:noProof/>
            <w:lang w:val="sr-Cyrl-CS"/>
          </w:rPr>
          <w:t>Литература</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_Toc330562318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49</w:t>
        </w:r>
        <w:r w:rsidR="003F343E" w:rsidRPr="009F5B52">
          <w:rPr>
            <w:noProof/>
            <w:webHidden/>
            <w:lang w:val="sr-Cyrl-CS"/>
          </w:rPr>
          <w:fldChar w:fldCharType="end"/>
        </w:r>
      </w:hyperlink>
    </w:p>
    <w:p w:rsidR="003F343E" w:rsidRPr="009F5B52" w:rsidRDefault="008365F6" w:rsidP="003F343E">
      <w:pPr>
        <w:pStyle w:val="TOC1"/>
        <w:tabs>
          <w:tab w:val="right" w:leader="dot" w:pos="9017"/>
        </w:tabs>
        <w:spacing w:before="60" w:after="60"/>
        <w:rPr>
          <w:rFonts w:asciiTheme="minorHAnsi" w:eastAsiaTheme="minorEastAsia" w:hAnsiTheme="minorHAnsi"/>
          <w:noProof/>
          <w:sz w:val="22"/>
          <w:lang w:val="sr-Cyrl-CS"/>
        </w:rPr>
      </w:pPr>
      <w:hyperlink w:anchor="_Toc330562319" w:history="1">
        <w:r w:rsidR="003F343E" w:rsidRPr="009F5B52">
          <w:rPr>
            <w:rStyle w:val="Hyperlink"/>
            <w:noProof/>
            <w:lang w:val="sr-Cyrl-CS"/>
          </w:rPr>
          <w:t>Анекси</w:t>
        </w:r>
        <w:r w:rsidR="003F343E" w:rsidRPr="009F5B52">
          <w:rPr>
            <w:noProof/>
            <w:webHidden/>
            <w:lang w:val="sr-Cyrl-CS"/>
          </w:rPr>
          <w:tab/>
        </w:r>
        <w:r w:rsidR="003F343E" w:rsidRPr="009F5B52">
          <w:rPr>
            <w:noProof/>
            <w:webHidden/>
            <w:lang w:val="sr-Cyrl-CS"/>
          </w:rPr>
          <w:fldChar w:fldCharType="begin"/>
        </w:r>
        <w:r w:rsidR="003F343E" w:rsidRPr="009F5B52">
          <w:rPr>
            <w:noProof/>
            <w:webHidden/>
            <w:lang w:val="sr-Cyrl-CS"/>
          </w:rPr>
          <w:instrText xml:space="preserve"> PAGEREF _Toc330562319 \h </w:instrText>
        </w:r>
        <w:r w:rsidR="003F343E" w:rsidRPr="009F5B52">
          <w:rPr>
            <w:noProof/>
            <w:webHidden/>
            <w:lang w:val="sr-Cyrl-CS"/>
          </w:rPr>
        </w:r>
        <w:r w:rsidR="003F343E" w:rsidRPr="009F5B52">
          <w:rPr>
            <w:noProof/>
            <w:webHidden/>
            <w:lang w:val="sr-Cyrl-CS"/>
          </w:rPr>
          <w:fldChar w:fldCharType="separate"/>
        </w:r>
        <w:r w:rsidR="003F343E" w:rsidRPr="009F5B52">
          <w:rPr>
            <w:noProof/>
            <w:webHidden/>
            <w:lang w:val="sr-Cyrl-CS"/>
          </w:rPr>
          <w:t>51</w:t>
        </w:r>
        <w:r w:rsidR="003F343E" w:rsidRPr="009F5B52">
          <w:rPr>
            <w:noProof/>
            <w:webHidden/>
            <w:lang w:val="sr-Cyrl-CS"/>
          </w:rPr>
          <w:fldChar w:fldCharType="end"/>
        </w:r>
      </w:hyperlink>
    </w:p>
    <w:p w:rsidR="003F343E" w:rsidRPr="009F5B52" w:rsidRDefault="003F343E">
      <w:pPr>
        <w:pStyle w:val="TOC3"/>
        <w:tabs>
          <w:tab w:val="right" w:leader="dot" w:pos="9017"/>
        </w:tabs>
        <w:rPr>
          <w:rFonts w:asciiTheme="minorHAnsi" w:eastAsiaTheme="minorEastAsia" w:hAnsiTheme="minorHAnsi"/>
          <w:noProof/>
          <w:sz w:val="22"/>
          <w:lang w:val="sr-Cyrl-CS"/>
        </w:rPr>
      </w:pPr>
    </w:p>
    <w:p w:rsidR="009A5953" w:rsidRPr="009F5B52" w:rsidRDefault="00047CC3" w:rsidP="00172313">
      <w:pPr>
        <w:pStyle w:val="Heading1"/>
        <w:numPr>
          <w:ilvl w:val="0"/>
          <w:numId w:val="0"/>
        </w:numPr>
        <w:ind w:left="360" w:hanging="360"/>
        <w:rPr>
          <w:lang w:val="sr-Cyrl-CS"/>
        </w:rPr>
      </w:pPr>
      <w:r w:rsidRPr="009F5B52">
        <w:rPr>
          <w:lang w:val="sr-Cyrl-CS"/>
        </w:rPr>
        <w:lastRenderedPageBreak/>
        <w:fldChar w:fldCharType="end"/>
      </w:r>
      <w:bookmarkStart w:id="0" w:name="_Toc330562287"/>
      <w:r w:rsidR="00124FB8" w:rsidRPr="009F5B52">
        <w:rPr>
          <w:lang w:val="sr-Cyrl-CS"/>
        </w:rPr>
        <w:t>Кључни налази и препоруке</w:t>
      </w:r>
      <w:bookmarkEnd w:id="0"/>
    </w:p>
    <w:p w:rsidR="00432A5C" w:rsidRPr="009F5B52" w:rsidRDefault="00124FB8" w:rsidP="009A5953">
      <w:pPr>
        <w:rPr>
          <w:b/>
          <w:i/>
          <w:lang w:val="sr-Cyrl-CS"/>
        </w:rPr>
      </w:pPr>
      <w:r w:rsidRPr="009F5B52">
        <w:rPr>
          <w:b/>
          <w:i/>
          <w:lang w:val="sr-Cyrl-CS"/>
        </w:rPr>
        <w:t xml:space="preserve">Циљ ове </w:t>
      </w:r>
      <w:r w:rsidR="00172313" w:rsidRPr="009F5B52">
        <w:rPr>
          <w:b/>
          <w:i/>
          <w:lang w:val="sr-Cyrl-CS"/>
        </w:rPr>
        <w:t>анализе</w:t>
      </w:r>
      <w:r w:rsidRPr="009F5B52">
        <w:rPr>
          <w:b/>
          <w:i/>
          <w:lang w:val="sr-Cyrl-CS"/>
        </w:rPr>
        <w:t xml:space="preserve"> је </w:t>
      </w:r>
      <w:r w:rsidR="00432A5C" w:rsidRPr="009F5B52">
        <w:rPr>
          <w:b/>
          <w:i/>
          <w:lang w:val="sr-Cyrl-CS"/>
        </w:rPr>
        <w:t>да се идентификује нај</w:t>
      </w:r>
      <w:r w:rsidR="00D2622D" w:rsidRPr="009F5B52">
        <w:rPr>
          <w:b/>
          <w:i/>
          <w:lang w:val="sr-Cyrl-CS"/>
        </w:rPr>
        <w:t>адекватнији</w:t>
      </w:r>
      <w:r w:rsidR="00432A5C" w:rsidRPr="009F5B52">
        <w:rPr>
          <w:b/>
          <w:i/>
          <w:lang w:val="sr-Cyrl-CS"/>
        </w:rPr>
        <w:t xml:space="preserve"> модел подршке </w:t>
      </w:r>
      <w:r w:rsidR="00710DA3" w:rsidRPr="009F5B52">
        <w:rPr>
          <w:b/>
          <w:i/>
          <w:lang w:val="sr-Cyrl-CS"/>
        </w:rPr>
        <w:t>спровођењу</w:t>
      </w:r>
      <w:r w:rsidR="00CE2CA6" w:rsidRPr="009F5B52">
        <w:rPr>
          <w:b/>
          <w:i/>
          <w:lang w:val="sr-Cyrl-CS"/>
        </w:rPr>
        <w:t xml:space="preserve"> </w:t>
      </w:r>
      <w:r w:rsidR="00432A5C" w:rsidRPr="009F5B52">
        <w:rPr>
          <w:b/>
          <w:i/>
          <w:lang w:val="sr-Cyrl-CS"/>
        </w:rPr>
        <w:t xml:space="preserve">програма социјалног укључивања </w:t>
      </w:r>
      <w:r w:rsidR="007834C8" w:rsidRPr="009F5B52">
        <w:rPr>
          <w:b/>
          <w:i/>
          <w:lang w:val="sr-Cyrl-CS"/>
        </w:rPr>
        <w:t>осетљивих</w:t>
      </w:r>
      <w:r w:rsidR="00432A5C" w:rsidRPr="009F5B52">
        <w:rPr>
          <w:b/>
          <w:i/>
          <w:lang w:val="sr-Cyrl-CS"/>
        </w:rPr>
        <w:t xml:space="preserve"> група у Републици Србији и да се пружи допринос ефикаснијем и успешнијем коришћењу расположивих националних</w:t>
      </w:r>
      <w:r w:rsidR="00CE2CA6" w:rsidRPr="009F5B52">
        <w:rPr>
          <w:b/>
          <w:i/>
          <w:lang w:val="sr-Cyrl-CS"/>
        </w:rPr>
        <w:t xml:space="preserve"> фондова, као</w:t>
      </w:r>
      <w:r w:rsidR="00432A5C" w:rsidRPr="009F5B52">
        <w:rPr>
          <w:b/>
          <w:i/>
          <w:lang w:val="sr-Cyrl-CS"/>
        </w:rPr>
        <w:t xml:space="preserve"> и будућих ЕУ фондова намењених социјалном укључивању. </w:t>
      </w:r>
    </w:p>
    <w:p w:rsidR="007834C8" w:rsidRPr="009F5B52" w:rsidRDefault="007834C8" w:rsidP="007834C8">
      <w:pPr>
        <w:rPr>
          <w:b/>
          <w:szCs w:val="24"/>
          <w:u w:val="single"/>
          <w:lang w:val="sr-Cyrl-CS"/>
        </w:rPr>
      </w:pPr>
      <w:r w:rsidRPr="009F5B52">
        <w:rPr>
          <w:b/>
          <w:szCs w:val="24"/>
          <w:u w:val="single"/>
          <w:lang w:val="sr-Cyrl-CS"/>
        </w:rPr>
        <w:t>Налази у вези са националним оквиром и претходним искуствима:</w:t>
      </w:r>
    </w:p>
    <w:p w:rsidR="0043595B" w:rsidRPr="009F5B52" w:rsidRDefault="003B1F78" w:rsidP="00710DA3">
      <w:pPr>
        <w:autoSpaceDE w:val="0"/>
        <w:autoSpaceDN w:val="0"/>
        <w:adjustRightInd w:val="0"/>
        <w:rPr>
          <w:rFonts w:cs="Times New Roman"/>
          <w:szCs w:val="24"/>
          <w:lang w:val="sr-Cyrl-CS"/>
        </w:rPr>
      </w:pPr>
      <w:r w:rsidRPr="009F5B52">
        <w:rPr>
          <w:rFonts w:eastAsia="TimesNewRoman" w:cs="Times New Roman"/>
          <w:szCs w:val="24"/>
          <w:lang w:val="sr-Cyrl-CS"/>
        </w:rPr>
        <w:t>Република Србија је, као један од важних задатака у процесу европских интеграција, дефинисала активно учешће у европском процесу социјалног укључивања. У протеклих неколико година процеса интеграције</w:t>
      </w:r>
      <w:r w:rsidR="0043595B" w:rsidRPr="009F5B52">
        <w:rPr>
          <w:rFonts w:cs="Times New Roman"/>
          <w:szCs w:val="24"/>
          <w:lang w:val="sr-Cyrl-CS"/>
        </w:rPr>
        <w:t xml:space="preserve">, бројни закони који су ступили на снагу одражавају потребу за интегрисањем стратешких области, координацијом и разумевањем социјалних ризика у ширем контексту социјалне искључености. Међутим, мали број закона садржи конкретне мере кроз које се реализује политика социјалног укључивања. </w:t>
      </w:r>
    </w:p>
    <w:p w:rsidR="00EA381F" w:rsidRPr="009F5B52" w:rsidRDefault="00EA381F" w:rsidP="00EA381F">
      <w:pPr>
        <w:rPr>
          <w:rFonts w:cs="Times New Roman"/>
          <w:szCs w:val="24"/>
          <w:lang w:val="sr-Cyrl-CS"/>
        </w:rPr>
      </w:pPr>
      <w:r w:rsidRPr="009F5B52">
        <w:rPr>
          <w:lang w:val="sr-Cyrl-CS"/>
        </w:rPr>
        <w:t>Истовремено, и</w:t>
      </w:r>
      <w:r w:rsidR="007834C8" w:rsidRPr="009F5B52">
        <w:rPr>
          <w:lang w:val="sr-Cyrl-CS"/>
        </w:rPr>
        <w:t xml:space="preserve">нституционално окружење </w:t>
      </w:r>
      <w:r w:rsidRPr="009F5B52">
        <w:rPr>
          <w:lang w:val="sr-Cyrl-CS"/>
        </w:rPr>
        <w:t xml:space="preserve">је презасићено </w:t>
      </w:r>
      <w:r w:rsidR="007834C8" w:rsidRPr="009F5B52">
        <w:rPr>
          <w:lang w:val="sr-Cyrl-CS"/>
        </w:rPr>
        <w:t>различит</w:t>
      </w:r>
      <w:r w:rsidRPr="009F5B52">
        <w:rPr>
          <w:lang w:val="sr-Cyrl-CS"/>
        </w:rPr>
        <w:t>им</w:t>
      </w:r>
      <w:r w:rsidR="007834C8" w:rsidRPr="009F5B52">
        <w:rPr>
          <w:lang w:val="sr-Cyrl-CS"/>
        </w:rPr>
        <w:t xml:space="preserve"> јавн</w:t>
      </w:r>
      <w:r w:rsidRPr="009F5B52">
        <w:rPr>
          <w:lang w:val="sr-Cyrl-CS"/>
        </w:rPr>
        <w:t>им</w:t>
      </w:r>
      <w:r w:rsidR="007834C8" w:rsidRPr="009F5B52">
        <w:rPr>
          <w:lang w:val="sr-Cyrl-CS"/>
        </w:rPr>
        <w:t xml:space="preserve"> тел</w:t>
      </w:r>
      <w:r w:rsidRPr="009F5B52">
        <w:rPr>
          <w:lang w:val="sr-Cyrl-CS"/>
        </w:rPr>
        <w:t>им</w:t>
      </w:r>
      <w:r w:rsidR="007834C8" w:rsidRPr="009F5B52">
        <w:rPr>
          <w:lang w:val="sr-Cyrl-CS"/>
        </w:rPr>
        <w:t>а надлежн</w:t>
      </w:r>
      <w:r w:rsidRPr="009F5B52">
        <w:rPr>
          <w:lang w:val="sr-Cyrl-CS"/>
        </w:rPr>
        <w:t>им</w:t>
      </w:r>
      <w:r w:rsidR="007834C8" w:rsidRPr="009F5B52">
        <w:rPr>
          <w:lang w:val="sr-Cyrl-CS"/>
        </w:rPr>
        <w:t xml:space="preserve"> за питања социјалног укључивања. Њихова сарадња</w:t>
      </w:r>
      <w:r w:rsidR="003B1F78" w:rsidRPr="009F5B52">
        <w:rPr>
          <w:lang w:val="sr-Cyrl-CS"/>
        </w:rPr>
        <w:t>, нарочито на локалном нивоу,</w:t>
      </w:r>
      <w:r w:rsidR="007834C8" w:rsidRPr="009F5B52">
        <w:rPr>
          <w:lang w:val="sr-Cyrl-CS"/>
        </w:rPr>
        <w:t xml:space="preserve"> није у потпуности институционализована и често не постоји кохерентан стратешки правац. Такође, присутан је недостатак захтева и подстицаја међусекторској сарадњи, као последица великог броја фактора. </w:t>
      </w:r>
      <w:r w:rsidRPr="009F5B52">
        <w:rPr>
          <w:szCs w:val="24"/>
          <w:lang w:val="sr-Cyrl-CS"/>
        </w:rPr>
        <w:t xml:space="preserve">Успeшнa рeaлизaциja jaвних пoлитикa у oблaсти сoциjaлнoг укључивaњa у Републици Србији захтева снажнију </w:t>
      </w:r>
      <w:r w:rsidRPr="009F5B52">
        <w:rPr>
          <w:b/>
          <w:szCs w:val="24"/>
          <w:lang w:val="sr-Cyrl-CS"/>
        </w:rPr>
        <w:t>међуресорну сарадњу</w:t>
      </w:r>
      <w:r w:rsidRPr="009F5B52">
        <w:rPr>
          <w:szCs w:val="24"/>
          <w:lang w:val="sr-Cyrl-CS"/>
        </w:rPr>
        <w:t xml:space="preserve">, као и израженију сарадњу између јавног, цивилног и приватног сектора, како на националном тако и на локалном нивоу. Како би ефекат мера социјалног укључивања био што већи, неопходно је рационализовати </w:t>
      </w:r>
      <w:r w:rsidRPr="009F5B52">
        <w:rPr>
          <w:b/>
          <w:szCs w:val="24"/>
          <w:lang w:val="sr-Cyrl-CS"/>
        </w:rPr>
        <w:t xml:space="preserve">спровођење активности које се финансирају средствима из </w:t>
      </w:r>
      <w:r w:rsidR="003B1F78" w:rsidRPr="009F5B52">
        <w:rPr>
          <w:b/>
          <w:szCs w:val="24"/>
          <w:lang w:val="sr-Cyrl-CS"/>
        </w:rPr>
        <w:t xml:space="preserve">републичког и локалних </w:t>
      </w:r>
      <w:r w:rsidRPr="009F5B52">
        <w:rPr>
          <w:b/>
          <w:szCs w:val="24"/>
          <w:lang w:val="sr-Cyrl-CS"/>
        </w:rPr>
        <w:t>буџета</w:t>
      </w:r>
      <w:r w:rsidR="003B1F78" w:rsidRPr="009F5B52">
        <w:rPr>
          <w:b/>
          <w:szCs w:val="24"/>
          <w:lang w:val="sr-Cyrl-CS"/>
        </w:rPr>
        <w:t>, као</w:t>
      </w:r>
      <w:r w:rsidRPr="009F5B52">
        <w:rPr>
          <w:b/>
          <w:szCs w:val="24"/>
          <w:lang w:val="sr-Cyrl-CS"/>
        </w:rPr>
        <w:t xml:space="preserve"> и међународних извора. </w:t>
      </w:r>
    </w:p>
    <w:p w:rsidR="007834C8" w:rsidRPr="009F5B52" w:rsidRDefault="007834C8" w:rsidP="007834C8">
      <w:pPr>
        <w:rPr>
          <w:lang w:val="sr-Cyrl-CS"/>
        </w:rPr>
      </w:pPr>
      <w:r w:rsidRPr="009F5B52">
        <w:rPr>
          <w:rFonts w:cs="Times New Roman"/>
          <w:szCs w:val="24"/>
          <w:lang w:val="sr-Cyrl-CS"/>
        </w:rPr>
        <w:t xml:space="preserve">Због фрагментираног правног и институционалног окружења, </w:t>
      </w:r>
      <w:r w:rsidRPr="009F5B52">
        <w:rPr>
          <w:rFonts w:cs="Times New Roman"/>
          <w:b/>
          <w:szCs w:val="24"/>
          <w:lang w:val="sr-Cyrl-CS"/>
        </w:rPr>
        <w:t>успостављање Фонда за социјално укључивање не треба да буде надлежност једног министарства</w:t>
      </w:r>
      <w:r w:rsidRPr="009F5B52">
        <w:rPr>
          <w:rFonts w:cs="Times New Roman"/>
          <w:szCs w:val="24"/>
          <w:lang w:val="sr-Cyrl-CS"/>
        </w:rPr>
        <w:t xml:space="preserve"> које је надлежно за један аспекат социјалног укључивања. </w:t>
      </w:r>
      <w:r w:rsidRPr="009F5B52">
        <w:rPr>
          <w:lang w:val="sr-Cyrl-CS"/>
        </w:rPr>
        <w:t>Неопходно је постићи консензус међу свим заинтересованим странама о целокупној координацији процеса социјалног укључивања. Такође, неопходно је постићи консензус о ефикаснијој примени политика социјалног укључивања и, нарочито, успостављању тела задуженог за спровођење политика социјалног укључивања – Фонда за социјално укључивање.</w:t>
      </w:r>
      <w:r w:rsidRPr="009F5B52">
        <w:rPr>
          <w:rFonts w:cs="Times New Roman"/>
          <w:szCs w:val="24"/>
          <w:lang w:val="sr-Cyrl-CS"/>
        </w:rPr>
        <w:t xml:space="preserve"> Према томе, централна позиција у структури Владе може бити бољи оквир за оснивање</w:t>
      </w:r>
      <w:r w:rsidR="00172313" w:rsidRPr="009F5B52">
        <w:rPr>
          <w:rFonts w:cs="Times New Roman"/>
          <w:szCs w:val="24"/>
          <w:lang w:val="sr-Cyrl-CS"/>
        </w:rPr>
        <w:t xml:space="preserve"> Фонда</w:t>
      </w:r>
      <w:r w:rsidRPr="009F5B52">
        <w:rPr>
          <w:rFonts w:cs="Times New Roman"/>
          <w:szCs w:val="24"/>
          <w:lang w:val="sr-Cyrl-CS"/>
        </w:rPr>
        <w:t>.</w:t>
      </w:r>
    </w:p>
    <w:p w:rsidR="00207887" w:rsidRPr="009F5B52" w:rsidRDefault="007834C8" w:rsidP="007834C8">
      <w:pPr>
        <w:rPr>
          <w:rFonts w:cs="Times New Roman"/>
          <w:szCs w:val="24"/>
          <w:lang w:val="sr-Cyrl-CS"/>
        </w:rPr>
      </w:pPr>
      <w:r w:rsidRPr="009F5B52">
        <w:rPr>
          <w:rFonts w:cs="Times New Roman"/>
          <w:szCs w:val="24"/>
          <w:lang w:val="sr-Cyrl-CS"/>
        </w:rPr>
        <w:t xml:space="preserve">Како би могао </w:t>
      </w:r>
      <w:r w:rsidR="003B1F78" w:rsidRPr="009F5B52">
        <w:rPr>
          <w:rFonts w:cs="Times New Roman"/>
          <w:szCs w:val="24"/>
          <w:lang w:val="sr-Cyrl-CS"/>
        </w:rPr>
        <w:t xml:space="preserve">ефикасно и делотворно </w:t>
      </w:r>
      <w:r w:rsidRPr="009F5B52">
        <w:rPr>
          <w:rFonts w:cs="Times New Roman"/>
          <w:szCs w:val="24"/>
          <w:lang w:val="sr-Cyrl-CS"/>
        </w:rPr>
        <w:t>да врши функцију управљања средствима из буџета и</w:t>
      </w:r>
      <w:r w:rsidR="00EB57E7" w:rsidRPr="009F5B52">
        <w:rPr>
          <w:rFonts w:cs="Times New Roman"/>
          <w:szCs w:val="24"/>
          <w:lang w:val="sr-Cyrl-CS"/>
        </w:rPr>
        <w:t>, потенцијално,</w:t>
      </w:r>
      <w:r w:rsidRPr="009F5B52">
        <w:rPr>
          <w:rFonts w:cs="Times New Roman"/>
          <w:szCs w:val="24"/>
          <w:lang w:val="sr-Cyrl-CS"/>
        </w:rPr>
        <w:t xml:space="preserve"> фондова ЕУ, као и функцију управљања шемама за доделу бесповратних средстава, Фонд за социјално укључивање мора имати </w:t>
      </w:r>
      <w:r w:rsidRPr="009F5B52">
        <w:rPr>
          <w:rFonts w:cs="Times New Roman"/>
          <w:b/>
          <w:szCs w:val="24"/>
          <w:lang w:val="sr-Cyrl-CS"/>
        </w:rPr>
        <w:t>статус правног лица</w:t>
      </w:r>
      <w:r w:rsidRPr="009F5B52">
        <w:rPr>
          <w:rFonts w:cs="Times New Roman"/>
          <w:szCs w:val="24"/>
          <w:lang w:val="sr-Cyrl-CS"/>
        </w:rPr>
        <w:t xml:space="preserve"> и остваривати </w:t>
      </w:r>
      <w:r w:rsidRPr="009F5B52">
        <w:rPr>
          <w:rFonts w:cs="Times New Roman"/>
          <w:b/>
          <w:szCs w:val="24"/>
          <w:lang w:val="sr-Cyrl-CS"/>
        </w:rPr>
        <w:t xml:space="preserve">блиску сарадњу са релевантним заинтересованим странама </w:t>
      </w:r>
      <w:r w:rsidRPr="009F5B52">
        <w:rPr>
          <w:rFonts w:cs="Times New Roman"/>
          <w:szCs w:val="24"/>
          <w:lang w:val="sr-Cyrl-CS"/>
        </w:rPr>
        <w:t xml:space="preserve">(министарствима, цивилним друштвом, итд). </w:t>
      </w:r>
    </w:p>
    <w:p w:rsidR="007834C8" w:rsidRPr="009F5B52" w:rsidRDefault="007834C8" w:rsidP="007834C8">
      <w:pPr>
        <w:rPr>
          <w:rFonts w:cs="Times New Roman"/>
          <w:szCs w:val="24"/>
          <w:lang w:val="sr-Cyrl-CS"/>
        </w:rPr>
      </w:pPr>
      <w:r w:rsidRPr="009F5B52">
        <w:rPr>
          <w:rFonts w:cs="Times New Roman"/>
          <w:szCs w:val="24"/>
          <w:lang w:val="sr-Cyrl-CS"/>
        </w:rPr>
        <w:lastRenderedPageBreak/>
        <w:t xml:space="preserve">Фонд не би </w:t>
      </w:r>
      <w:r w:rsidR="00207887" w:rsidRPr="009F5B52">
        <w:rPr>
          <w:rFonts w:cs="Times New Roman"/>
          <w:szCs w:val="24"/>
          <w:lang w:val="sr-Cyrl-CS"/>
        </w:rPr>
        <w:t xml:space="preserve">требало да </w:t>
      </w:r>
      <w:r w:rsidRPr="009F5B52">
        <w:rPr>
          <w:rFonts w:cs="Times New Roman"/>
          <w:szCs w:val="24"/>
          <w:lang w:val="sr-Cyrl-CS"/>
        </w:rPr>
        <w:t xml:space="preserve">представља додатно административно оптерећење </w:t>
      </w:r>
      <w:r w:rsidRPr="009F5B52">
        <w:rPr>
          <w:rFonts w:cs="Times New Roman"/>
          <w:b/>
          <w:szCs w:val="24"/>
          <w:lang w:val="sr-Cyrl-CS"/>
        </w:rPr>
        <w:t>уколико би преузео лица запослена у постојећим структурама</w:t>
      </w:r>
      <w:r w:rsidR="00207887" w:rsidRPr="009F5B52">
        <w:rPr>
          <w:rFonts w:cs="Times New Roman"/>
          <w:b/>
          <w:szCs w:val="24"/>
          <w:lang w:val="sr-Cyrl-CS"/>
        </w:rPr>
        <w:t xml:space="preserve"> (нпр. постојећи буџетски фондови)</w:t>
      </w:r>
      <w:r w:rsidRPr="009F5B52">
        <w:rPr>
          <w:rFonts w:cs="Times New Roman"/>
          <w:szCs w:val="24"/>
          <w:lang w:val="sr-Cyrl-CS"/>
        </w:rPr>
        <w:t xml:space="preserve">. </w:t>
      </w:r>
    </w:p>
    <w:p w:rsidR="007834C8" w:rsidRPr="009F5B52" w:rsidRDefault="007834C8" w:rsidP="007834C8">
      <w:pPr>
        <w:rPr>
          <w:szCs w:val="24"/>
          <w:lang w:val="sr-Cyrl-CS"/>
        </w:rPr>
      </w:pPr>
      <w:r w:rsidRPr="009F5B52">
        <w:rPr>
          <w:szCs w:val="24"/>
          <w:lang w:val="sr-Cyrl-CS"/>
        </w:rPr>
        <w:t xml:space="preserve">Ова студија указује да је најадекватније и одрживо решење за </w:t>
      </w:r>
      <w:r w:rsidRPr="009F5B52">
        <w:rPr>
          <w:b/>
          <w:szCs w:val="24"/>
          <w:lang w:val="sr-Cyrl-CS"/>
        </w:rPr>
        <w:t>успостављање Фонда за социјално укључивање оснивањем путем посебног закона</w:t>
      </w:r>
      <w:r w:rsidRPr="009F5B52">
        <w:rPr>
          <w:szCs w:val="24"/>
          <w:lang w:val="sr-Cyrl-CS"/>
        </w:rPr>
        <w:t>, иако је ова опција најзахтевнија са становишта консензуса доносилаца одлука.</w:t>
      </w:r>
      <w:r w:rsidRPr="009F5B52" w:rsidDel="00FB3D0F">
        <w:rPr>
          <w:szCs w:val="24"/>
          <w:lang w:val="sr-Cyrl-CS"/>
        </w:rPr>
        <w:t xml:space="preserve"> </w:t>
      </w:r>
    </w:p>
    <w:p w:rsidR="009A5953" w:rsidRPr="009F5B52" w:rsidRDefault="007834C8" w:rsidP="009A5953">
      <w:pPr>
        <w:rPr>
          <w:szCs w:val="24"/>
          <w:lang w:val="sr-Cyrl-CS"/>
        </w:rPr>
      </w:pPr>
      <w:r w:rsidRPr="009F5B52">
        <w:rPr>
          <w:b/>
          <w:szCs w:val="24"/>
          <w:u w:val="single"/>
          <w:lang w:val="sr-Cyrl-CS"/>
        </w:rPr>
        <w:t xml:space="preserve">Налази </w:t>
      </w:r>
      <w:r w:rsidR="0046476F" w:rsidRPr="009F5B52">
        <w:rPr>
          <w:b/>
          <w:szCs w:val="24"/>
          <w:u w:val="single"/>
          <w:lang w:val="sr-Cyrl-CS"/>
        </w:rPr>
        <w:t>у вези са апсорпцијом фондова ЕУ</w:t>
      </w:r>
      <w:r w:rsidR="009A5953" w:rsidRPr="009F5B52">
        <w:rPr>
          <w:szCs w:val="24"/>
          <w:lang w:val="sr-Cyrl-CS"/>
        </w:rPr>
        <w:t>:</w:t>
      </w:r>
    </w:p>
    <w:p w:rsidR="00D506D4" w:rsidRPr="009F5B52" w:rsidRDefault="00044891" w:rsidP="00044891">
      <w:pPr>
        <w:rPr>
          <w:szCs w:val="24"/>
          <w:lang w:val="sr-Cyrl-CS"/>
        </w:rPr>
      </w:pPr>
      <w:r w:rsidRPr="009F5B52">
        <w:rPr>
          <w:szCs w:val="24"/>
          <w:lang w:val="sr-Cyrl-CS"/>
        </w:rPr>
        <w:t xml:space="preserve">Дугорочно гледано, </w:t>
      </w:r>
      <w:r w:rsidRPr="009F5B52">
        <w:rPr>
          <w:i/>
          <w:szCs w:val="24"/>
          <w:lang w:val="sr-Cyrl-CS"/>
        </w:rPr>
        <w:t xml:space="preserve">Инструмент за претприступну помоћ </w:t>
      </w:r>
      <w:r w:rsidRPr="009F5B52">
        <w:rPr>
          <w:szCs w:val="24"/>
          <w:lang w:val="sr-Cyrl-CS"/>
        </w:rPr>
        <w:t>(ИПА) представља припрему за коришћење структурних фондова ЕУ, одражавајући институционални оквир и одредбе о примени који су неопходни за апсорпцију фондова ЕУ. Краткорочно до средњерочно гледано, ИПА пружа могућност за коришћење расположивих средстава у циљу спровођења политик</w:t>
      </w:r>
      <w:r w:rsidR="00666623" w:rsidRPr="009F5B52">
        <w:rPr>
          <w:szCs w:val="24"/>
          <w:lang w:val="sr-Cyrl-CS"/>
        </w:rPr>
        <w:t>а</w:t>
      </w:r>
      <w:r w:rsidRPr="009F5B52">
        <w:rPr>
          <w:szCs w:val="24"/>
          <w:lang w:val="sr-Cyrl-CS"/>
        </w:rPr>
        <w:t xml:space="preserve"> социјалног укључивања и </w:t>
      </w:r>
      <w:r w:rsidRPr="009F5B52">
        <w:rPr>
          <w:b/>
          <w:szCs w:val="24"/>
          <w:lang w:val="sr-Cyrl-CS"/>
        </w:rPr>
        <w:t>реализацију конкретних резултата у борби против социјалне искључености.</w:t>
      </w:r>
      <w:r w:rsidR="009A5953" w:rsidRPr="009F5B52">
        <w:rPr>
          <w:szCs w:val="24"/>
          <w:lang w:val="sr-Cyrl-CS"/>
        </w:rPr>
        <w:t xml:space="preserve">   </w:t>
      </w:r>
    </w:p>
    <w:p w:rsidR="008A5091" w:rsidRPr="009F5B52" w:rsidRDefault="00207887" w:rsidP="008A5091">
      <w:pPr>
        <w:rPr>
          <w:szCs w:val="24"/>
          <w:lang w:val="sr-Cyrl-CS"/>
        </w:rPr>
      </w:pPr>
      <w:r w:rsidRPr="009F5B52">
        <w:rPr>
          <w:szCs w:val="24"/>
          <w:lang w:val="sr-Cyrl-CS"/>
        </w:rPr>
        <w:t>П</w:t>
      </w:r>
      <w:r w:rsidR="00044891" w:rsidRPr="009F5B52">
        <w:rPr>
          <w:szCs w:val="24"/>
          <w:lang w:val="sr-Cyrl-CS"/>
        </w:rPr>
        <w:t xml:space="preserve">рема начелу </w:t>
      </w:r>
      <w:r w:rsidR="00044891" w:rsidRPr="009F5B52">
        <w:rPr>
          <w:b/>
          <w:szCs w:val="24"/>
          <w:lang w:val="sr-Cyrl-CS"/>
        </w:rPr>
        <w:t xml:space="preserve">поделе </w:t>
      </w:r>
      <w:r w:rsidR="00942E56" w:rsidRPr="009F5B52">
        <w:rPr>
          <w:b/>
          <w:szCs w:val="24"/>
          <w:lang w:val="sr-Cyrl-CS"/>
        </w:rPr>
        <w:t>одговорности</w:t>
      </w:r>
      <w:r w:rsidRPr="009F5B52">
        <w:rPr>
          <w:szCs w:val="24"/>
          <w:lang w:val="sr-Cyrl-CS"/>
        </w:rPr>
        <w:t xml:space="preserve"> децентрализованог управљања фондовима ЕУ,</w:t>
      </w:r>
      <w:r w:rsidR="008A5091" w:rsidRPr="009F5B52">
        <w:rPr>
          <w:szCs w:val="24"/>
          <w:lang w:val="sr-Cyrl-CS"/>
        </w:rPr>
        <w:t xml:space="preserve"> различити задаци </w:t>
      </w:r>
      <w:r w:rsidRPr="009F5B52">
        <w:rPr>
          <w:szCs w:val="24"/>
          <w:lang w:val="sr-Cyrl-CS"/>
        </w:rPr>
        <w:t xml:space="preserve">се </w:t>
      </w:r>
      <w:r w:rsidR="008A5091" w:rsidRPr="009F5B52">
        <w:rPr>
          <w:szCs w:val="24"/>
          <w:lang w:val="sr-Cyrl-CS"/>
        </w:rPr>
        <w:t xml:space="preserve">делегирају различитим запосленима, како би се осигурало да не постоји сукоб интереса. Ово се посебно односи на програмирање и </w:t>
      </w:r>
      <w:r w:rsidR="002C29FB" w:rsidRPr="009F5B52">
        <w:rPr>
          <w:szCs w:val="24"/>
          <w:lang w:val="sr-Cyrl-CS"/>
        </w:rPr>
        <w:t>имплементацију</w:t>
      </w:r>
      <w:r w:rsidR="008A5091" w:rsidRPr="009F5B52">
        <w:rPr>
          <w:szCs w:val="24"/>
          <w:lang w:val="sr-Cyrl-CS"/>
        </w:rPr>
        <w:t xml:space="preserve"> (спровођење </w:t>
      </w:r>
      <w:r w:rsidR="002C29FB" w:rsidRPr="009F5B52">
        <w:rPr>
          <w:szCs w:val="24"/>
          <w:lang w:val="sr-Cyrl-CS"/>
        </w:rPr>
        <w:t xml:space="preserve">поступка </w:t>
      </w:r>
      <w:r w:rsidR="00942E56" w:rsidRPr="009F5B52">
        <w:rPr>
          <w:szCs w:val="24"/>
          <w:lang w:val="sr-Cyrl-CS"/>
        </w:rPr>
        <w:t xml:space="preserve">јавних набавки </w:t>
      </w:r>
      <w:r w:rsidR="002C29FB" w:rsidRPr="009F5B52">
        <w:rPr>
          <w:szCs w:val="24"/>
          <w:lang w:val="sr-Cyrl-CS"/>
        </w:rPr>
        <w:t>и уговарање</w:t>
      </w:r>
      <w:r w:rsidR="008A5091" w:rsidRPr="009F5B52">
        <w:rPr>
          <w:szCs w:val="24"/>
          <w:lang w:val="sr-Cyrl-CS"/>
        </w:rPr>
        <w:t xml:space="preserve">). Имајући ово у виду, увођење </w:t>
      </w:r>
      <w:r w:rsidR="008A5091" w:rsidRPr="009F5B52">
        <w:rPr>
          <w:b/>
          <w:szCs w:val="24"/>
          <w:lang w:val="sr-Cyrl-CS"/>
        </w:rPr>
        <w:t>тела чији ће рад бити усмерен искључиво на аспекат имплементације у оквиру циклуса</w:t>
      </w:r>
      <w:r w:rsidR="00942E56" w:rsidRPr="009F5B52">
        <w:rPr>
          <w:b/>
          <w:szCs w:val="24"/>
          <w:lang w:val="sr-Cyrl-CS"/>
        </w:rPr>
        <w:t xml:space="preserve"> политика</w:t>
      </w:r>
      <w:r w:rsidR="008A5091" w:rsidRPr="009F5B52">
        <w:rPr>
          <w:szCs w:val="24"/>
          <w:lang w:val="sr-Cyrl-CS"/>
        </w:rPr>
        <w:t xml:space="preserve">, у складу са решењем које даје Уредба </w:t>
      </w:r>
      <w:r w:rsidR="00942E56" w:rsidRPr="009F5B52">
        <w:rPr>
          <w:szCs w:val="24"/>
          <w:lang w:val="sr-Cyrl-CS"/>
        </w:rPr>
        <w:t>о</w:t>
      </w:r>
      <w:r w:rsidR="008A5091" w:rsidRPr="009F5B52">
        <w:rPr>
          <w:szCs w:val="24"/>
          <w:lang w:val="sr-Cyrl-CS"/>
        </w:rPr>
        <w:t xml:space="preserve"> спровођењ</w:t>
      </w:r>
      <w:r w:rsidR="00942E56" w:rsidRPr="009F5B52">
        <w:rPr>
          <w:szCs w:val="24"/>
          <w:lang w:val="sr-Cyrl-CS"/>
        </w:rPr>
        <w:t>у</w:t>
      </w:r>
      <w:r w:rsidR="008A5091" w:rsidRPr="009F5B52">
        <w:rPr>
          <w:szCs w:val="24"/>
          <w:lang w:val="sr-Cyrl-CS"/>
        </w:rPr>
        <w:t xml:space="preserve"> ИПА, </w:t>
      </w:r>
      <w:r w:rsidR="008A5091" w:rsidRPr="009F5B52">
        <w:rPr>
          <w:b/>
          <w:szCs w:val="24"/>
          <w:lang w:val="sr-Cyrl-CS"/>
        </w:rPr>
        <w:t xml:space="preserve">представља стратешко решење којим се оснажује управљање фондовима ЕУ. </w:t>
      </w:r>
    </w:p>
    <w:p w:rsidR="009A5953" w:rsidRPr="009F5B52" w:rsidRDefault="008A5091" w:rsidP="00995DE6">
      <w:pPr>
        <w:rPr>
          <w:szCs w:val="24"/>
          <w:lang w:val="sr-Cyrl-CS"/>
        </w:rPr>
      </w:pPr>
      <w:r w:rsidRPr="009F5B52">
        <w:rPr>
          <w:szCs w:val="24"/>
          <w:lang w:val="sr-Cyrl-CS"/>
        </w:rPr>
        <w:t xml:space="preserve">Административни капацитети за управљање фондовима ЕУ постају све сложенији, ако се у обзир узму </w:t>
      </w:r>
      <w:r w:rsidR="00995DE6" w:rsidRPr="009F5B52">
        <w:rPr>
          <w:szCs w:val="24"/>
          <w:lang w:val="sr-Cyrl-CS"/>
        </w:rPr>
        <w:t xml:space="preserve">временска ограничења за спровођење ИПА програма </w:t>
      </w:r>
      <w:r w:rsidR="009A5953" w:rsidRPr="009F5B52">
        <w:rPr>
          <w:szCs w:val="24"/>
          <w:lang w:val="sr-Cyrl-CS"/>
        </w:rPr>
        <w:t>(</w:t>
      </w:r>
      <w:r w:rsidR="00995DE6" w:rsidRPr="009F5B52">
        <w:rPr>
          <w:b/>
          <w:szCs w:val="24"/>
          <w:lang w:val="sr-Cyrl-CS"/>
        </w:rPr>
        <w:t>правило</w:t>
      </w:r>
      <w:r w:rsidR="00995DE6" w:rsidRPr="009F5B52">
        <w:rPr>
          <w:szCs w:val="24"/>
          <w:lang w:val="sr-Cyrl-CS"/>
        </w:rPr>
        <w:t xml:space="preserve"> </w:t>
      </w:r>
      <w:r w:rsidR="009A5953" w:rsidRPr="009F5B52">
        <w:rPr>
          <w:b/>
          <w:szCs w:val="24"/>
          <w:lang w:val="sr-Cyrl-CS"/>
        </w:rPr>
        <w:t>N+3</w:t>
      </w:r>
      <w:r w:rsidR="009A5953" w:rsidRPr="009F5B52">
        <w:rPr>
          <w:szCs w:val="24"/>
          <w:lang w:val="sr-Cyrl-CS"/>
        </w:rPr>
        <w:t xml:space="preserve">). </w:t>
      </w:r>
      <w:r w:rsidR="00995DE6" w:rsidRPr="009F5B52">
        <w:rPr>
          <w:szCs w:val="24"/>
          <w:lang w:val="sr-Cyrl-CS"/>
        </w:rPr>
        <w:t>Овај аспекат постаје све важнији када органи имају обавезу управљања великим скупом мањих пројеката у току одређеног периода</w:t>
      </w:r>
      <w:r w:rsidR="009A5953" w:rsidRPr="009F5B52">
        <w:rPr>
          <w:szCs w:val="24"/>
          <w:lang w:val="sr-Cyrl-CS"/>
        </w:rPr>
        <w:t xml:space="preserve">. </w:t>
      </w:r>
    </w:p>
    <w:p w:rsidR="009A5953" w:rsidRPr="009F5B52" w:rsidRDefault="00995DE6" w:rsidP="002C29FB">
      <w:pPr>
        <w:rPr>
          <w:lang w:val="sr-Cyrl-CS"/>
        </w:rPr>
      </w:pPr>
      <w:r w:rsidRPr="009F5B52">
        <w:rPr>
          <w:lang w:val="sr-Cyrl-CS"/>
        </w:rPr>
        <w:t xml:space="preserve">Фонд </w:t>
      </w:r>
      <w:r w:rsidR="00712907" w:rsidRPr="009F5B52">
        <w:rPr>
          <w:lang w:val="sr-Cyrl-CS"/>
        </w:rPr>
        <w:t xml:space="preserve">може </w:t>
      </w:r>
      <w:r w:rsidRPr="009F5B52">
        <w:rPr>
          <w:lang w:val="sr-Cyrl-CS"/>
        </w:rPr>
        <w:t xml:space="preserve">да буде адекватна структура која би реализовала </w:t>
      </w:r>
      <w:r w:rsidRPr="009F5B52">
        <w:rPr>
          <w:b/>
          <w:lang w:val="sr-Cyrl-CS"/>
        </w:rPr>
        <w:t>обавезе кофинансирања и предфинансирања</w:t>
      </w:r>
      <w:r w:rsidRPr="009F5B52">
        <w:rPr>
          <w:lang w:val="sr-Cyrl-CS"/>
        </w:rPr>
        <w:t>:</w:t>
      </w:r>
      <w:r w:rsidR="002C29FB" w:rsidRPr="009F5B52">
        <w:rPr>
          <w:lang w:val="sr-Cyrl-CS"/>
        </w:rPr>
        <w:t xml:space="preserve"> у случају </w:t>
      </w:r>
      <w:r w:rsidR="00207887" w:rsidRPr="009F5B52">
        <w:rPr>
          <w:lang w:val="sr-Cyrl-CS"/>
        </w:rPr>
        <w:t xml:space="preserve">будуће </w:t>
      </w:r>
      <w:r w:rsidR="002C29FB" w:rsidRPr="009F5B52">
        <w:rPr>
          <w:lang w:val="sr-Cyrl-CS"/>
        </w:rPr>
        <w:t xml:space="preserve">ИПА </w:t>
      </w:r>
      <w:r w:rsidR="00207887" w:rsidRPr="009F5B52">
        <w:rPr>
          <w:lang w:val="sr-Cyrl-CS"/>
        </w:rPr>
        <w:t>области „запошљавање, социјалне политике и развој људских ресурса“</w:t>
      </w:r>
      <w:r w:rsidR="002C29FB" w:rsidRPr="009F5B52">
        <w:rPr>
          <w:lang w:val="sr-Cyrl-CS"/>
        </w:rPr>
        <w:t xml:space="preserve">, Фонд </w:t>
      </w:r>
      <w:r w:rsidR="00710DA3" w:rsidRPr="009F5B52">
        <w:rPr>
          <w:lang w:val="sr-Cyrl-CS"/>
        </w:rPr>
        <w:t>би могао</w:t>
      </w:r>
      <w:r w:rsidR="002C29FB" w:rsidRPr="009F5B52">
        <w:rPr>
          <w:lang w:val="sr-Cyrl-CS"/>
        </w:rPr>
        <w:t xml:space="preserve"> да омогући бржу доделу средстава кофинансирања за вишегодишње програме ЕУ у поређењу са другим телима Владе кој</w:t>
      </w:r>
      <w:r w:rsidR="003B561A" w:rsidRPr="009F5B52">
        <w:rPr>
          <w:lang w:val="sr-Cyrl-CS"/>
        </w:rPr>
        <w:t>а</w:t>
      </w:r>
      <w:r w:rsidR="002C29FB" w:rsidRPr="009F5B52">
        <w:rPr>
          <w:lang w:val="sr-Cyrl-CS"/>
        </w:rPr>
        <w:t xml:space="preserve"> поседују годишње буџете и ограничен</w:t>
      </w:r>
      <w:r w:rsidR="003B561A" w:rsidRPr="009F5B52">
        <w:rPr>
          <w:lang w:val="sr-Cyrl-CS"/>
        </w:rPr>
        <w:t>а</w:t>
      </w:r>
      <w:r w:rsidR="002C29FB" w:rsidRPr="009F5B52">
        <w:rPr>
          <w:lang w:val="sr-Cyrl-CS"/>
        </w:rPr>
        <w:t xml:space="preserve"> су у погледу расподеле средстава за предстојећи период (посебно уколико се програмирање нове ИПА продужи са три на седам година</w:t>
      </w:r>
      <w:r w:rsidR="0037671F" w:rsidRPr="009F5B52">
        <w:rPr>
          <w:lang w:val="sr-Cyrl-CS"/>
        </w:rPr>
        <w:t>).</w:t>
      </w:r>
    </w:p>
    <w:p w:rsidR="00E82F86" w:rsidRPr="009F5B52" w:rsidRDefault="00E82F86" w:rsidP="00E82F86">
      <w:pPr>
        <w:rPr>
          <w:szCs w:val="24"/>
          <w:lang w:val="sr-Cyrl-CS"/>
        </w:rPr>
      </w:pPr>
      <w:r w:rsidRPr="009F5B52">
        <w:rPr>
          <w:szCs w:val="24"/>
          <w:lang w:val="sr-Cyrl-CS"/>
        </w:rPr>
        <w:t xml:space="preserve">Ово почетно истраживање указује на потребу за успостављањем Фонда за социјално укључивање који би </w:t>
      </w:r>
      <w:r w:rsidR="00EE0B86" w:rsidRPr="009F5B52">
        <w:rPr>
          <w:szCs w:val="24"/>
          <w:lang w:val="sr-Cyrl-CS"/>
        </w:rPr>
        <w:t xml:space="preserve">такође могао да </w:t>
      </w:r>
      <w:r w:rsidRPr="009F5B52">
        <w:rPr>
          <w:szCs w:val="24"/>
          <w:lang w:val="sr-Cyrl-CS"/>
        </w:rPr>
        <w:t xml:space="preserve">врши улогу овлашћеног (посредничког) тела за спровођење програма социјалног укључивања у оквиру ИПА. </w:t>
      </w:r>
    </w:p>
    <w:p w:rsidR="009A5953" w:rsidRPr="009F5B52" w:rsidRDefault="00464C2D" w:rsidP="009A5953">
      <w:pPr>
        <w:rPr>
          <w:szCs w:val="24"/>
          <w:lang w:val="sr-Cyrl-CS"/>
        </w:rPr>
      </w:pPr>
      <w:r w:rsidRPr="009F5B52">
        <w:rPr>
          <w:b/>
          <w:szCs w:val="24"/>
          <w:u w:val="single"/>
          <w:lang w:val="sr-Cyrl-CS"/>
        </w:rPr>
        <w:t>Препоруке у вези са кључним функцијама Фонда за социјално укључивање</w:t>
      </w:r>
      <w:r w:rsidR="009A5953" w:rsidRPr="009F5B52">
        <w:rPr>
          <w:szCs w:val="24"/>
          <w:lang w:val="sr-Cyrl-CS"/>
        </w:rPr>
        <w:t>:</w:t>
      </w:r>
    </w:p>
    <w:p w:rsidR="0047484D" w:rsidRPr="009F5B52" w:rsidRDefault="0047484D" w:rsidP="0047484D">
      <w:pPr>
        <w:pStyle w:val="ListParagraph"/>
        <w:numPr>
          <w:ilvl w:val="0"/>
          <w:numId w:val="30"/>
        </w:numPr>
        <w:rPr>
          <w:szCs w:val="24"/>
          <w:lang w:val="sr-Cyrl-CS"/>
        </w:rPr>
      </w:pPr>
      <w:r w:rsidRPr="009F5B52">
        <w:rPr>
          <w:szCs w:val="24"/>
          <w:lang w:val="sr-Cyrl-CS"/>
        </w:rPr>
        <w:t>верификовање тендерске документације/смерница за реализацију позива за достављање предлога пројеката које достављају ресорна министарства</w:t>
      </w:r>
      <w:r w:rsidR="00E77F1F" w:rsidRPr="009F5B52">
        <w:rPr>
          <w:szCs w:val="24"/>
          <w:lang w:val="sr-Cyrl-CS"/>
        </w:rPr>
        <w:t xml:space="preserve"> надлежна за социјално укључивање</w:t>
      </w:r>
      <w:r w:rsidRPr="009F5B52">
        <w:rPr>
          <w:szCs w:val="24"/>
          <w:lang w:val="sr-Cyrl-CS"/>
        </w:rPr>
        <w:t xml:space="preserve">, као и припрема целокупних </w:t>
      </w:r>
      <w:r w:rsidRPr="009F5B52">
        <w:rPr>
          <w:b/>
          <w:szCs w:val="24"/>
          <w:lang w:val="sr-Cyrl-CS"/>
        </w:rPr>
        <w:t>тендерских досијеа/</w:t>
      </w:r>
      <w:r w:rsidR="00DE18A0" w:rsidRPr="009F5B52">
        <w:rPr>
          <w:b/>
          <w:szCs w:val="24"/>
          <w:lang w:val="sr-Cyrl-CS"/>
        </w:rPr>
        <w:t>образаца за пријаву пројеката</w:t>
      </w:r>
      <w:r w:rsidRPr="009F5B52">
        <w:rPr>
          <w:szCs w:val="24"/>
          <w:lang w:val="sr-Cyrl-CS"/>
        </w:rPr>
        <w:t>;</w:t>
      </w:r>
    </w:p>
    <w:p w:rsidR="0047484D" w:rsidRPr="009F5B52" w:rsidRDefault="0047484D" w:rsidP="0047484D">
      <w:pPr>
        <w:pStyle w:val="ListParagraph"/>
        <w:numPr>
          <w:ilvl w:val="0"/>
          <w:numId w:val="30"/>
        </w:numPr>
        <w:rPr>
          <w:szCs w:val="24"/>
          <w:lang w:val="sr-Cyrl-CS"/>
        </w:rPr>
      </w:pPr>
      <w:r w:rsidRPr="009F5B52">
        <w:rPr>
          <w:szCs w:val="24"/>
          <w:lang w:val="sr-Cyrl-CS"/>
        </w:rPr>
        <w:t xml:space="preserve">припрема  поступака </w:t>
      </w:r>
      <w:r w:rsidR="00DE18A0" w:rsidRPr="009F5B52">
        <w:rPr>
          <w:b/>
          <w:szCs w:val="24"/>
          <w:lang w:val="sr-Cyrl-CS"/>
        </w:rPr>
        <w:t>јавних набавки</w:t>
      </w:r>
      <w:r w:rsidR="00DE18A0" w:rsidRPr="009F5B52">
        <w:rPr>
          <w:szCs w:val="24"/>
          <w:lang w:val="sr-Cyrl-CS"/>
        </w:rPr>
        <w:t xml:space="preserve"> </w:t>
      </w:r>
      <w:r w:rsidRPr="009F5B52">
        <w:rPr>
          <w:szCs w:val="24"/>
          <w:lang w:val="sr-Cyrl-CS"/>
        </w:rPr>
        <w:t xml:space="preserve">и </w:t>
      </w:r>
      <w:r w:rsidRPr="009F5B52">
        <w:rPr>
          <w:b/>
          <w:szCs w:val="24"/>
          <w:lang w:val="sr-Cyrl-CS"/>
        </w:rPr>
        <w:t>поступака за доделу уговора</w:t>
      </w:r>
      <w:r w:rsidRPr="009F5B52">
        <w:rPr>
          <w:szCs w:val="24"/>
          <w:lang w:val="sr-Cyrl-CS"/>
        </w:rPr>
        <w:t>;</w:t>
      </w:r>
    </w:p>
    <w:p w:rsidR="0047484D" w:rsidRPr="009F5B52" w:rsidRDefault="0047484D" w:rsidP="0047484D">
      <w:pPr>
        <w:pStyle w:val="ListParagraph"/>
        <w:numPr>
          <w:ilvl w:val="0"/>
          <w:numId w:val="30"/>
        </w:numPr>
        <w:rPr>
          <w:szCs w:val="24"/>
          <w:lang w:val="sr-Cyrl-CS"/>
        </w:rPr>
      </w:pPr>
      <w:r w:rsidRPr="009F5B52">
        <w:rPr>
          <w:szCs w:val="24"/>
          <w:lang w:val="sr-Cyrl-CS"/>
        </w:rPr>
        <w:lastRenderedPageBreak/>
        <w:t xml:space="preserve">улога </w:t>
      </w:r>
      <w:r w:rsidR="00BD6DEE" w:rsidRPr="009F5B52">
        <w:rPr>
          <w:b/>
          <w:szCs w:val="24"/>
          <w:lang w:val="sr-Cyrl-CS"/>
        </w:rPr>
        <w:t>тела за уговарање</w:t>
      </w:r>
      <w:r w:rsidRPr="009F5B52">
        <w:rPr>
          <w:b/>
          <w:szCs w:val="24"/>
          <w:lang w:val="sr-Cyrl-CS"/>
        </w:rPr>
        <w:t xml:space="preserve"> </w:t>
      </w:r>
      <w:r w:rsidRPr="009F5B52">
        <w:rPr>
          <w:szCs w:val="24"/>
          <w:lang w:val="sr-Cyrl-CS"/>
        </w:rPr>
        <w:t>и надзор над спровођењем уговора (укључујући исплаћивање и повраћај новца);</w:t>
      </w:r>
    </w:p>
    <w:p w:rsidR="0047484D" w:rsidRPr="009F5B52" w:rsidRDefault="0047484D" w:rsidP="0047484D">
      <w:pPr>
        <w:pStyle w:val="ListParagraph"/>
        <w:numPr>
          <w:ilvl w:val="0"/>
          <w:numId w:val="30"/>
        </w:numPr>
        <w:rPr>
          <w:szCs w:val="24"/>
          <w:lang w:val="sr-Cyrl-CS"/>
        </w:rPr>
      </w:pPr>
      <w:r w:rsidRPr="009F5B52">
        <w:rPr>
          <w:szCs w:val="24"/>
          <w:lang w:val="sr-Cyrl-CS"/>
        </w:rPr>
        <w:t xml:space="preserve">спровођење </w:t>
      </w:r>
      <w:r w:rsidRPr="009F5B52">
        <w:rPr>
          <w:b/>
          <w:szCs w:val="24"/>
          <w:lang w:val="sr-Cyrl-CS"/>
        </w:rPr>
        <w:t>верификације</w:t>
      </w:r>
      <w:r w:rsidRPr="009F5B52">
        <w:rPr>
          <w:szCs w:val="24"/>
          <w:lang w:val="sr-Cyrl-CS"/>
        </w:rPr>
        <w:t xml:space="preserve"> како би се осигурало да су пријављени трошкови реализовани у складу са важећим прописима, да су производи и услуге реализовани у складу са одобреном одлуком и да су налози крајњег ко</w:t>
      </w:r>
      <w:r w:rsidR="00712907" w:rsidRPr="009F5B52">
        <w:rPr>
          <w:szCs w:val="24"/>
          <w:lang w:val="sr-Cyrl-CS"/>
        </w:rPr>
        <w:t xml:space="preserve">рисника за уплату исправни. Ово </w:t>
      </w:r>
      <w:r w:rsidRPr="009F5B52">
        <w:rPr>
          <w:szCs w:val="24"/>
          <w:lang w:val="sr-Cyrl-CS"/>
        </w:rPr>
        <w:t>обухвата административне, финансијске, техничке</w:t>
      </w:r>
      <w:r w:rsidR="00C45E08" w:rsidRPr="009F5B52">
        <w:rPr>
          <w:szCs w:val="24"/>
          <w:lang w:val="sr-Cyrl-CS"/>
        </w:rPr>
        <w:t>,</w:t>
      </w:r>
      <w:r w:rsidRPr="009F5B52">
        <w:rPr>
          <w:szCs w:val="24"/>
          <w:lang w:val="sr-Cyrl-CS"/>
        </w:rPr>
        <w:t xml:space="preserve"> физичке </w:t>
      </w:r>
      <w:r w:rsidR="00C45E08" w:rsidRPr="009F5B52">
        <w:rPr>
          <w:szCs w:val="24"/>
          <w:lang w:val="sr-Cyrl-CS"/>
        </w:rPr>
        <w:t xml:space="preserve">и функционалне </w:t>
      </w:r>
      <w:r w:rsidRPr="009F5B52">
        <w:rPr>
          <w:szCs w:val="24"/>
          <w:lang w:val="sr-Cyrl-CS"/>
        </w:rPr>
        <w:t xml:space="preserve">аспекте </w:t>
      </w:r>
      <w:r w:rsidR="00C45E08" w:rsidRPr="009F5B52">
        <w:rPr>
          <w:szCs w:val="24"/>
          <w:lang w:val="sr-Cyrl-CS"/>
        </w:rPr>
        <w:t>операција</w:t>
      </w:r>
      <w:r w:rsidRPr="009F5B52">
        <w:rPr>
          <w:szCs w:val="24"/>
          <w:lang w:val="sr-Cyrl-CS"/>
        </w:rPr>
        <w:t xml:space="preserve">, </w:t>
      </w:r>
      <w:r w:rsidR="00C45E08" w:rsidRPr="009F5B52">
        <w:rPr>
          <w:szCs w:val="24"/>
          <w:lang w:val="sr-Cyrl-CS"/>
        </w:rPr>
        <w:t>у зависности од случаја</w:t>
      </w:r>
      <w:r w:rsidRPr="009F5B52">
        <w:rPr>
          <w:szCs w:val="24"/>
          <w:lang w:val="sr-Cyrl-CS"/>
        </w:rPr>
        <w:t>;</w:t>
      </w:r>
    </w:p>
    <w:p w:rsidR="0047484D" w:rsidRPr="009F5B52" w:rsidRDefault="0047484D" w:rsidP="0047484D">
      <w:pPr>
        <w:pStyle w:val="ListParagraph"/>
        <w:numPr>
          <w:ilvl w:val="0"/>
          <w:numId w:val="30"/>
        </w:numPr>
        <w:rPr>
          <w:szCs w:val="24"/>
          <w:lang w:val="sr-Cyrl-CS"/>
        </w:rPr>
      </w:pPr>
      <w:r w:rsidRPr="009F5B52">
        <w:rPr>
          <w:szCs w:val="24"/>
          <w:lang w:val="sr-Cyrl-CS"/>
        </w:rPr>
        <w:t xml:space="preserve">улога </w:t>
      </w:r>
      <w:r w:rsidRPr="009F5B52">
        <w:rPr>
          <w:b/>
          <w:szCs w:val="24"/>
          <w:lang w:val="sr-Cyrl-CS"/>
        </w:rPr>
        <w:t>праћења</w:t>
      </w:r>
      <w:r w:rsidR="00E77F1F" w:rsidRPr="009F5B52">
        <w:rPr>
          <w:b/>
          <w:szCs w:val="24"/>
          <w:lang w:val="sr-Cyrl-CS"/>
        </w:rPr>
        <w:t xml:space="preserve"> и оцене</w:t>
      </w:r>
      <w:r w:rsidRPr="009F5B52">
        <w:rPr>
          <w:szCs w:val="24"/>
          <w:lang w:val="sr-Cyrl-CS"/>
        </w:rPr>
        <w:t xml:space="preserve">, кроз подршку изради докумената о напретку у реализацији релевантних мера које су дефинисане на нивоу јавних политика; </w:t>
      </w:r>
    </w:p>
    <w:p w:rsidR="0047484D" w:rsidRPr="009F5B52" w:rsidRDefault="0047484D" w:rsidP="0047484D">
      <w:pPr>
        <w:pStyle w:val="ListParagraph"/>
        <w:numPr>
          <w:ilvl w:val="0"/>
          <w:numId w:val="30"/>
        </w:numPr>
        <w:rPr>
          <w:szCs w:val="24"/>
          <w:lang w:val="sr-Cyrl-CS"/>
        </w:rPr>
      </w:pPr>
      <w:r w:rsidRPr="009F5B52">
        <w:rPr>
          <w:szCs w:val="24"/>
          <w:lang w:val="sr-Cyrl-CS"/>
        </w:rPr>
        <w:t xml:space="preserve">чување документације и осигуравање доступности свих релевантних информација са циљем реализације </w:t>
      </w:r>
      <w:r w:rsidRPr="009F5B52">
        <w:rPr>
          <w:b/>
          <w:szCs w:val="24"/>
          <w:lang w:val="sr-Cyrl-CS"/>
        </w:rPr>
        <w:t xml:space="preserve">ревизорског </w:t>
      </w:r>
      <w:r w:rsidR="00C45E08" w:rsidRPr="009F5B52">
        <w:rPr>
          <w:b/>
          <w:szCs w:val="24"/>
          <w:lang w:val="sr-Cyrl-CS"/>
        </w:rPr>
        <w:t>трага</w:t>
      </w:r>
      <w:r w:rsidRPr="009F5B52">
        <w:rPr>
          <w:szCs w:val="24"/>
          <w:lang w:val="sr-Cyrl-CS"/>
        </w:rPr>
        <w:t>;</w:t>
      </w:r>
    </w:p>
    <w:p w:rsidR="00E77F1F" w:rsidRPr="009F5B52" w:rsidRDefault="0047484D" w:rsidP="0047484D">
      <w:pPr>
        <w:pStyle w:val="ListParagraph"/>
        <w:numPr>
          <w:ilvl w:val="0"/>
          <w:numId w:val="30"/>
        </w:numPr>
        <w:jc w:val="left"/>
        <w:rPr>
          <w:rFonts w:asciiTheme="majorHAnsi" w:eastAsiaTheme="majorEastAsia" w:hAnsiTheme="majorHAnsi" w:cstheme="majorBidi"/>
          <w:b/>
          <w:bCs/>
          <w:color w:val="365F91" w:themeColor="accent1" w:themeShade="BF"/>
          <w:sz w:val="28"/>
          <w:szCs w:val="24"/>
          <w:lang w:val="sr-Cyrl-CS"/>
        </w:rPr>
      </w:pPr>
      <w:r w:rsidRPr="009F5B52">
        <w:rPr>
          <w:b/>
          <w:szCs w:val="24"/>
          <w:lang w:val="sr-Cyrl-CS"/>
        </w:rPr>
        <w:t>извештавање о неправилностима</w:t>
      </w:r>
      <w:r w:rsidR="00E77F1F" w:rsidRPr="009F5B52">
        <w:rPr>
          <w:b/>
          <w:szCs w:val="24"/>
          <w:lang w:val="sr-Cyrl-CS"/>
        </w:rPr>
        <w:t>;</w:t>
      </w:r>
    </w:p>
    <w:p w:rsidR="00E77F1F" w:rsidRPr="009F5B52" w:rsidRDefault="00E77F1F" w:rsidP="00E77F1F">
      <w:pPr>
        <w:pStyle w:val="ListParagraph"/>
        <w:numPr>
          <w:ilvl w:val="0"/>
          <w:numId w:val="30"/>
        </w:numPr>
        <w:rPr>
          <w:rFonts w:asciiTheme="majorHAnsi" w:eastAsiaTheme="majorEastAsia" w:hAnsiTheme="majorHAnsi" w:cstheme="majorBidi"/>
          <w:b/>
          <w:bCs/>
          <w:color w:val="365F91" w:themeColor="accent1" w:themeShade="BF"/>
          <w:sz w:val="28"/>
          <w:szCs w:val="24"/>
          <w:lang w:val="sr-Cyrl-CS"/>
        </w:rPr>
      </w:pPr>
      <w:r w:rsidRPr="009F5B52">
        <w:rPr>
          <w:b/>
          <w:szCs w:val="24"/>
          <w:lang w:val="sr-Cyrl-CS"/>
        </w:rPr>
        <w:t xml:space="preserve">вршење функције ресурсног центра </w:t>
      </w:r>
      <w:r w:rsidR="00710DA3" w:rsidRPr="009F5B52">
        <w:rPr>
          <w:b/>
          <w:szCs w:val="24"/>
          <w:lang w:val="sr-Cyrl-CS"/>
        </w:rPr>
        <w:t xml:space="preserve">и консултативног партнера </w:t>
      </w:r>
      <w:r w:rsidRPr="009F5B52">
        <w:rPr>
          <w:b/>
          <w:szCs w:val="24"/>
          <w:lang w:val="sr-Cyrl-CS"/>
        </w:rPr>
        <w:t>за доносиоце јавних политика и потенцијалне кориснике Фонда</w:t>
      </w:r>
      <w:r w:rsidRPr="009F5B52">
        <w:rPr>
          <w:szCs w:val="24"/>
          <w:lang w:val="sr-Cyrl-CS"/>
        </w:rPr>
        <w:t>, посебно кроз (ко)организовање активности као што су: развијање стандарда за израду јавних политика, промовисање примера добре праксе, фандрејзинг, спровођење обука на тему пројектног и финансијског управљања, припрема публикација, пружање информација (</w:t>
      </w:r>
      <w:r w:rsidRPr="009F5B52">
        <w:rPr>
          <w:i/>
          <w:szCs w:val="24"/>
          <w:lang w:val="sr-Cyrl-CS"/>
        </w:rPr>
        <w:t>help desk</w:t>
      </w:r>
      <w:r w:rsidRPr="009F5B52">
        <w:rPr>
          <w:szCs w:val="24"/>
          <w:lang w:val="sr-Cyrl-CS"/>
        </w:rPr>
        <w:t>), и др.</w:t>
      </w:r>
    </w:p>
    <w:p w:rsidR="00E1620D" w:rsidRPr="009F5B52" w:rsidRDefault="00E1620D" w:rsidP="0047484D">
      <w:pPr>
        <w:pStyle w:val="ListParagraph"/>
        <w:numPr>
          <w:ilvl w:val="0"/>
          <w:numId w:val="30"/>
        </w:numPr>
        <w:jc w:val="left"/>
        <w:rPr>
          <w:rFonts w:asciiTheme="majorHAnsi" w:eastAsiaTheme="majorEastAsia" w:hAnsiTheme="majorHAnsi" w:cstheme="majorBidi"/>
          <w:b/>
          <w:bCs/>
          <w:color w:val="365F91" w:themeColor="accent1" w:themeShade="BF"/>
          <w:sz w:val="28"/>
          <w:szCs w:val="24"/>
          <w:lang w:val="sr-Cyrl-CS"/>
        </w:rPr>
      </w:pPr>
      <w:r w:rsidRPr="009F5B52">
        <w:rPr>
          <w:szCs w:val="24"/>
          <w:lang w:val="sr-Cyrl-CS"/>
        </w:rPr>
        <w:br w:type="page"/>
      </w:r>
    </w:p>
    <w:p w:rsidR="009A5953" w:rsidRPr="009F5B52" w:rsidRDefault="003F343E" w:rsidP="003F343E">
      <w:pPr>
        <w:pStyle w:val="Heading1"/>
        <w:numPr>
          <w:ilvl w:val="0"/>
          <w:numId w:val="0"/>
        </w:numPr>
        <w:ind w:left="360" w:hanging="360"/>
        <w:rPr>
          <w:rStyle w:val="IntenseReference"/>
          <w:b/>
          <w:bCs/>
          <w:smallCaps w:val="0"/>
          <w:color w:val="365F91" w:themeColor="accent1" w:themeShade="BF"/>
          <w:spacing w:val="0"/>
          <w:lang w:val="sr-Cyrl-CS"/>
        </w:rPr>
      </w:pPr>
      <w:bookmarkStart w:id="1" w:name="_Toc328377409"/>
      <w:bookmarkStart w:id="2" w:name="_Toc330562288"/>
      <w:bookmarkStart w:id="3" w:name="_Toc323810571"/>
      <w:r w:rsidRPr="009F5B52">
        <w:rPr>
          <w:lang w:val="sr-Cyrl-CS"/>
        </w:rPr>
        <w:lastRenderedPageBreak/>
        <w:t>Увод</w:t>
      </w:r>
      <w:bookmarkEnd w:id="1"/>
      <w:bookmarkEnd w:id="2"/>
    </w:p>
    <w:bookmarkEnd w:id="3"/>
    <w:p w:rsidR="009A5953" w:rsidRPr="009F5B52" w:rsidRDefault="00C277DA" w:rsidP="00C277DA">
      <w:pPr>
        <w:rPr>
          <w:lang w:val="sr-Cyrl-CS"/>
        </w:rPr>
      </w:pPr>
      <w:r w:rsidRPr="009F5B52">
        <w:rPr>
          <w:lang w:val="sr-Cyrl-CS"/>
        </w:rPr>
        <w:t>Тим за социјално укључивање и смањење сиромаштва Владе Републике Србије ангажовао је Европски пројектни центар</w:t>
      </w:r>
      <w:r w:rsidR="001009D3" w:rsidRPr="009F5B52">
        <w:rPr>
          <w:rStyle w:val="FootnoteReference"/>
          <w:lang w:val="sr-Cyrl-CS"/>
        </w:rPr>
        <w:footnoteReference w:id="1"/>
      </w:r>
      <w:r w:rsidRPr="009F5B52">
        <w:rPr>
          <w:lang w:val="sr-Cyrl-CS"/>
        </w:rPr>
        <w:t xml:space="preserve"> да спроведе студију </w:t>
      </w:r>
      <w:r w:rsidRPr="009F5B52">
        <w:rPr>
          <w:b/>
          <w:lang w:val="sr-Cyrl-CS"/>
        </w:rPr>
        <w:t>најделотворнијих опција за успостављање Фонда за социјално укључивање у Републици Србији</w:t>
      </w:r>
      <w:r w:rsidR="009A5953" w:rsidRPr="009F5B52">
        <w:rPr>
          <w:lang w:val="sr-Cyrl-CS"/>
        </w:rPr>
        <w:t>.</w:t>
      </w:r>
    </w:p>
    <w:p w:rsidR="00540525" w:rsidRPr="009F5B52" w:rsidRDefault="00540525" w:rsidP="00540525">
      <w:pPr>
        <w:rPr>
          <w:b/>
          <w:lang w:val="sr-Cyrl-CS"/>
        </w:rPr>
      </w:pPr>
      <w:bookmarkStart w:id="4" w:name="_Toc328377410"/>
      <w:r w:rsidRPr="009F5B52">
        <w:rPr>
          <w:b/>
          <w:lang w:val="sr-Cyrl-CS"/>
        </w:rPr>
        <w:t xml:space="preserve">Циљ ове </w:t>
      </w:r>
      <w:r w:rsidR="00172313" w:rsidRPr="009F5B52">
        <w:rPr>
          <w:b/>
          <w:lang w:val="sr-Cyrl-CS"/>
        </w:rPr>
        <w:t>анализе</w:t>
      </w:r>
      <w:r w:rsidRPr="009F5B52">
        <w:rPr>
          <w:b/>
          <w:lang w:val="sr-Cyrl-CS"/>
        </w:rPr>
        <w:t xml:space="preserve"> је да се идентификује најадекватнији модел подршке </w:t>
      </w:r>
      <w:r w:rsidR="00710DA3" w:rsidRPr="009F5B52">
        <w:rPr>
          <w:b/>
          <w:lang w:val="sr-Cyrl-CS"/>
        </w:rPr>
        <w:t>спровођењу</w:t>
      </w:r>
      <w:r w:rsidRPr="009F5B52">
        <w:rPr>
          <w:b/>
          <w:lang w:val="sr-Cyrl-CS"/>
        </w:rPr>
        <w:t xml:space="preserve"> програма социјалног укључивања осетљивих група у Републици Србији и да се пружи допринос ефикаснијем и успешнијем коришћењу расположивих националних фондова, као и будућих ЕУ фондова намењених социјалном укључивању. </w:t>
      </w:r>
    </w:p>
    <w:p w:rsidR="009A5953" w:rsidRPr="009F5B52" w:rsidRDefault="00C277DA" w:rsidP="00F4424E">
      <w:pPr>
        <w:pStyle w:val="Heading2"/>
        <w:rPr>
          <w:lang w:val="sr-Cyrl-CS"/>
        </w:rPr>
      </w:pPr>
      <w:bookmarkStart w:id="5" w:name="_Toc330562289"/>
      <w:r w:rsidRPr="009F5B52">
        <w:rPr>
          <w:lang w:val="sr-Cyrl-CS"/>
        </w:rPr>
        <w:t>Контекст</w:t>
      </w:r>
      <w:bookmarkEnd w:id="4"/>
      <w:bookmarkEnd w:id="5"/>
    </w:p>
    <w:p w:rsidR="00C277DA" w:rsidRPr="009F5B52" w:rsidRDefault="00C277DA" w:rsidP="00C277DA">
      <w:pPr>
        <w:rPr>
          <w:lang w:val="sr-Cyrl-CS"/>
        </w:rPr>
      </w:pPr>
      <w:r w:rsidRPr="009F5B52">
        <w:rPr>
          <w:b/>
          <w:szCs w:val="24"/>
          <w:lang w:val="sr-Cyrl-CS"/>
        </w:rPr>
        <w:t>Први национални извештај о социјалном укључивању и смањењу сиромаштва</w:t>
      </w:r>
      <w:r w:rsidRPr="009F5B52">
        <w:rPr>
          <w:szCs w:val="24"/>
          <w:lang w:val="sr-Cyrl-CS"/>
        </w:rPr>
        <w:t>, који је Влада усвојила у марту 2011. године</w:t>
      </w:r>
      <w:r w:rsidR="00D01FDB" w:rsidRPr="009F5B52">
        <w:rPr>
          <w:rStyle w:val="FootnoteReference"/>
          <w:szCs w:val="24"/>
          <w:lang w:val="sr-Cyrl-CS"/>
        </w:rPr>
        <w:footnoteReference w:id="2"/>
      </w:r>
      <w:r w:rsidR="00D01FDB" w:rsidRPr="009F5B52">
        <w:rPr>
          <w:szCs w:val="24"/>
          <w:lang w:val="sr-Cyrl-CS"/>
        </w:rPr>
        <w:t xml:space="preserve">, </w:t>
      </w:r>
      <w:r w:rsidRPr="009F5B52">
        <w:rPr>
          <w:szCs w:val="24"/>
          <w:lang w:val="sr-Cyrl-CS"/>
        </w:rPr>
        <w:t>наводи следећи изазов (стр. 33</w:t>
      </w:r>
      <w:r w:rsidR="00D058DD" w:rsidRPr="009F5B52">
        <w:rPr>
          <w:szCs w:val="24"/>
          <w:lang w:val="sr-Cyrl-CS"/>
        </w:rPr>
        <w:t>)</w:t>
      </w:r>
      <w:r w:rsidRPr="009F5B52">
        <w:rPr>
          <w:szCs w:val="24"/>
          <w:lang w:val="sr-Cyrl-CS"/>
        </w:rPr>
        <w:t>: „</w:t>
      </w:r>
      <w:r w:rsidRPr="009F5B52">
        <w:rPr>
          <w:i/>
          <w:lang w:val="sr-Cyrl-CS"/>
        </w:rPr>
        <w:t xml:space="preserve">Поред јачања постојећих структура за коришћење средстава европских фондова намењених социјалном укључивању и смањењу сиромаштва (нпр. Националне службе за запошљавање), </w:t>
      </w:r>
      <w:r w:rsidRPr="009F5B52">
        <w:rPr>
          <w:b/>
          <w:i/>
          <w:lang w:val="sr-Cyrl-CS"/>
        </w:rPr>
        <w:t>неопходно је успоставити Фонд за социјално укључивање који би подржавао програме социјалног укључивања осетљивијих група и утицао на ефикасније и успешније коришћење расположивих средстава ЕУ намењених социјалном укључивању</w:t>
      </w:r>
      <w:r w:rsidRPr="009F5B52">
        <w:rPr>
          <w:i/>
          <w:lang w:val="sr-Cyrl-CS"/>
        </w:rPr>
        <w:t>. Фонд би представљао механизам подршке спровођењу политике развоја људских ресурса која ће, у складу за обавезама у процесу европских интеграција, обухватити и развој социјалних иновација. Преко овог механизма била би промовисана координација спровођења мера у области запошљавања, образовања, социјалне и здравствене заштите, као и координација мера руралног и регионалног развоја са мерама социјалног укључивања и смањења сиромаштва. Оснивање таквог фонда у складу је са потребом успостављања националног фонда еквивалентног Европском социјалном фонду</w:t>
      </w:r>
      <w:r w:rsidRPr="009F5B52">
        <w:rPr>
          <w:lang w:val="sr-Cyrl-CS"/>
        </w:rPr>
        <w:t>.</w:t>
      </w:r>
      <w:r w:rsidR="00E0770C" w:rsidRPr="009F5B52">
        <w:rPr>
          <w:lang w:val="sr-Cyrl-CS"/>
        </w:rPr>
        <w:t>”</w:t>
      </w:r>
    </w:p>
    <w:p w:rsidR="009A5953" w:rsidRPr="009F5B52" w:rsidRDefault="00C277DA" w:rsidP="0052374F">
      <w:pPr>
        <w:pStyle w:val="Default"/>
        <w:jc w:val="both"/>
        <w:rPr>
          <w:rFonts w:ascii="Times New Roman" w:hAnsi="Times New Roman" w:cs="Times New Roman"/>
          <w:noProof/>
          <w:lang w:val="sr-Cyrl-CS"/>
        </w:rPr>
      </w:pPr>
      <w:r w:rsidRPr="009F5B52">
        <w:rPr>
          <w:rFonts w:ascii="Times New Roman" w:hAnsi="Times New Roman" w:cs="Times New Roman"/>
          <w:lang w:val="sr-Cyrl-CS"/>
        </w:rPr>
        <w:t>Поред тога, у Аналитичком извештају Европске комисије</w:t>
      </w:r>
      <w:r w:rsidR="009A5953" w:rsidRPr="009F5B52">
        <w:rPr>
          <w:rFonts w:ascii="Times New Roman" w:hAnsi="Times New Roman" w:cs="Times New Roman"/>
          <w:lang w:val="sr-Cyrl-CS"/>
        </w:rPr>
        <w:t xml:space="preserve"> (</w:t>
      </w:r>
      <w:r w:rsidRPr="009F5B52">
        <w:rPr>
          <w:rFonts w:ascii="Times New Roman" w:hAnsi="Times New Roman" w:cs="Times New Roman"/>
          <w:lang w:val="sr-Cyrl-CS"/>
        </w:rPr>
        <w:t>стр</w:t>
      </w:r>
      <w:r w:rsidR="009A5953" w:rsidRPr="009F5B52">
        <w:rPr>
          <w:rFonts w:ascii="Times New Roman" w:hAnsi="Times New Roman" w:cs="Times New Roman"/>
          <w:lang w:val="sr-Cyrl-CS"/>
        </w:rPr>
        <w:t>. 95)</w:t>
      </w:r>
      <w:r w:rsidR="00027C04" w:rsidRPr="009F5B52">
        <w:rPr>
          <w:rStyle w:val="FootnoteReference"/>
          <w:rFonts w:ascii="Times New Roman" w:hAnsi="Times New Roman" w:cs="Times New Roman"/>
          <w:lang w:val="sr-Cyrl-CS"/>
        </w:rPr>
        <w:footnoteReference w:id="3"/>
      </w:r>
      <w:r w:rsidRPr="009F5B52">
        <w:rPr>
          <w:rFonts w:ascii="Times New Roman" w:hAnsi="Times New Roman" w:cs="Times New Roman"/>
          <w:lang w:val="sr-Cyrl-CS"/>
        </w:rPr>
        <w:t xml:space="preserve"> такође се наводи</w:t>
      </w:r>
      <w:r w:rsidR="009A5953" w:rsidRPr="009F5B52">
        <w:rPr>
          <w:rFonts w:ascii="Times New Roman" w:hAnsi="Times New Roman" w:cs="Times New Roman"/>
          <w:lang w:val="sr-Cyrl-CS"/>
        </w:rPr>
        <w:t>:</w:t>
      </w:r>
      <w:r w:rsidR="00027C04" w:rsidRPr="009F5B52">
        <w:rPr>
          <w:rFonts w:ascii="Times New Roman" w:hAnsi="Times New Roman" w:cs="Times New Roman"/>
          <w:lang w:val="sr-Cyrl-CS"/>
        </w:rPr>
        <w:t xml:space="preserve"> </w:t>
      </w:r>
      <w:r w:rsidR="0052374F" w:rsidRPr="009F5B52">
        <w:rPr>
          <w:rFonts w:ascii="Times New Roman" w:hAnsi="Times New Roman" w:cs="Times New Roman"/>
          <w:lang w:val="sr-Cyrl-CS"/>
        </w:rPr>
        <w:t>„</w:t>
      </w:r>
      <w:r w:rsidR="0052374F" w:rsidRPr="009F5B52">
        <w:rPr>
          <w:rFonts w:ascii="Times New Roman" w:eastAsiaTheme="minorHAnsi" w:hAnsi="Times New Roman" w:cs="Times New Roman"/>
          <w:i/>
          <w:lang w:val="sr-Cyrl-CS" w:eastAsia="en-US"/>
        </w:rPr>
        <w:t xml:space="preserve">Уопштено </w:t>
      </w:r>
      <w:r w:rsidR="0052374F" w:rsidRPr="009F5B52">
        <w:rPr>
          <w:rFonts w:ascii="Times New Roman" w:hAnsi="Times New Roman" w:cs="Times New Roman"/>
          <w:i/>
          <w:lang w:val="sr-Cyrl-CS"/>
        </w:rPr>
        <w:t xml:space="preserve">говорећи, изградња капацитета за израду политика, спровођење и надзор је и даље велики изазов, такође и у краткорочном периоду у смислу припрема за децентрализовано управљање компонентом IV ИПА фондова. </w:t>
      </w:r>
      <w:r w:rsidR="009A5953" w:rsidRPr="009F5B52">
        <w:rPr>
          <w:rFonts w:ascii="Times New Roman" w:hAnsi="Times New Roman" w:cs="Times New Roman"/>
          <w:i/>
          <w:lang w:val="sr-Cyrl-CS"/>
        </w:rPr>
        <w:t>[…]</w:t>
      </w:r>
      <w:r w:rsidR="0052374F" w:rsidRPr="009F5B52">
        <w:rPr>
          <w:rFonts w:ascii="Times New Roman" w:hAnsi="Times New Roman" w:cs="Times New Roman"/>
          <w:i/>
          <w:lang w:val="sr-Cyrl-CS"/>
        </w:rPr>
        <w:t xml:space="preserve"> Она ће такође морати да се даље припреми за учешће у процесима сарадње развијеним на европском нивоу у областима запошљавања, социјалног укључивања и социјалне заштите</w:t>
      </w:r>
      <w:r w:rsidR="0052374F" w:rsidRPr="009F5B52">
        <w:rPr>
          <w:rFonts w:ascii="Times New Roman" w:hAnsi="Times New Roman" w:cs="Times New Roman"/>
          <w:lang w:val="sr-Cyrl-CS"/>
        </w:rPr>
        <w:t>.</w:t>
      </w:r>
      <w:r w:rsidR="00E0770C" w:rsidRPr="009F5B52">
        <w:rPr>
          <w:rFonts w:ascii="Times New Roman" w:hAnsi="Times New Roman" w:cs="Times New Roman"/>
          <w:lang w:val="sr-Cyrl-CS"/>
        </w:rPr>
        <w:t>”</w:t>
      </w:r>
    </w:p>
    <w:p w:rsidR="00C277DA" w:rsidRPr="009F5B52" w:rsidRDefault="00C277DA" w:rsidP="009A5953">
      <w:pPr>
        <w:rPr>
          <w:lang w:val="sr-Cyrl-CS"/>
        </w:rPr>
      </w:pPr>
      <w:r w:rsidRPr="009F5B52">
        <w:rPr>
          <w:szCs w:val="24"/>
          <w:lang w:val="sr-Cyrl-CS"/>
        </w:rPr>
        <w:t xml:space="preserve">Поред препознате потребе да се активности у области социјалног укључивања и смањења сиромаштва морају интензивирати, овом студијом анализира се и оквир за коришћење фондова ЕУ у оквиру претприступне помоћи, као и оквир за стварање окружења за апсорпцију структурних фондова у наредном периоду. У корист значаја правовремене изградње адекватних капацитета говори и пример једног броја нових </w:t>
      </w:r>
      <w:r w:rsidRPr="009F5B52">
        <w:rPr>
          <w:szCs w:val="24"/>
          <w:lang w:val="sr-Cyrl-CS"/>
        </w:rPr>
        <w:lastRenderedPageBreak/>
        <w:t>држава чланица које нису апсорбовале расположива средства услед непостојања добро организованих система и снажних институционалних решења.</w:t>
      </w:r>
    </w:p>
    <w:p w:rsidR="009A5953" w:rsidRPr="009F5B52" w:rsidRDefault="009020BA" w:rsidP="00F4424E">
      <w:pPr>
        <w:pStyle w:val="Heading2"/>
        <w:rPr>
          <w:lang w:val="sr-Cyrl-CS"/>
        </w:rPr>
      </w:pPr>
      <w:bookmarkStart w:id="6" w:name="_Toc328377411"/>
      <w:bookmarkStart w:id="7" w:name="_Toc330562290"/>
      <w:r w:rsidRPr="009F5B52">
        <w:rPr>
          <w:lang w:val="sr-Cyrl-CS"/>
        </w:rPr>
        <w:t>Истраживачка методологија</w:t>
      </w:r>
      <w:bookmarkEnd w:id="6"/>
      <w:bookmarkEnd w:id="7"/>
    </w:p>
    <w:p w:rsidR="009A5953" w:rsidRPr="009F5B52" w:rsidRDefault="009020BA" w:rsidP="009A5953">
      <w:pPr>
        <w:rPr>
          <w:szCs w:val="24"/>
          <w:lang w:val="sr-Cyrl-CS"/>
        </w:rPr>
      </w:pPr>
      <w:r w:rsidRPr="009F5B52">
        <w:rPr>
          <w:szCs w:val="24"/>
          <w:lang w:val="sr-Cyrl-CS"/>
        </w:rPr>
        <w:t xml:space="preserve">Истраживање је спроведено у три фазе </w:t>
      </w:r>
      <w:r w:rsidR="009A5953" w:rsidRPr="009F5B52">
        <w:rPr>
          <w:szCs w:val="24"/>
          <w:lang w:val="sr-Cyrl-CS"/>
        </w:rPr>
        <w:t>:</w:t>
      </w:r>
    </w:p>
    <w:p w:rsidR="009020BA" w:rsidRPr="009F5B52" w:rsidRDefault="009020BA" w:rsidP="009A5953">
      <w:pPr>
        <w:rPr>
          <w:szCs w:val="24"/>
          <w:lang w:val="sr-Cyrl-CS"/>
        </w:rPr>
      </w:pPr>
      <w:r w:rsidRPr="009F5B52">
        <w:rPr>
          <w:b/>
          <w:i/>
          <w:szCs w:val="24"/>
          <w:lang w:val="sr-Cyrl-CS"/>
        </w:rPr>
        <w:t>Фаза</w:t>
      </w:r>
      <w:r w:rsidR="009A5953" w:rsidRPr="009F5B52">
        <w:rPr>
          <w:b/>
          <w:i/>
          <w:szCs w:val="24"/>
          <w:lang w:val="sr-Cyrl-CS"/>
        </w:rPr>
        <w:t xml:space="preserve"> </w:t>
      </w:r>
      <w:r w:rsidR="00FA2F9B" w:rsidRPr="009F5B52">
        <w:rPr>
          <w:b/>
          <w:i/>
          <w:szCs w:val="24"/>
          <w:lang w:val="sr-Cyrl-CS"/>
        </w:rPr>
        <w:t>1</w:t>
      </w:r>
      <w:r w:rsidR="009A5953" w:rsidRPr="009F5B52">
        <w:rPr>
          <w:b/>
          <w:i/>
          <w:szCs w:val="24"/>
          <w:lang w:val="sr-Cyrl-CS"/>
        </w:rPr>
        <w:t xml:space="preserve">: </w:t>
      </w:r>
      <w:r w:rsidRPr="009F5B52">
        <w:rPr>
          <w:b/>
          <w:i/>
          <w:szCs w:val="24"/>
          <w:lang w:val="sr-Cyrl-CS"/>
        </w:rPr>
        <w:t>Покретање иницијативе и мобилизација</w:t>
      </w:r>
      <w:r w:rsidRPr="009F5B52">
        <w:rPr>
          <w:i/>
          <w:szCs w:val="24"/>
          <w:lang w:val="sr-Cyrl-CS"/>
        </w:rPr>
        <w:t xml:space="preserve">. </w:t>
      </w:r>
      <w:r w:rsidRPr="009F5B52">
        <w:rPr>
          <w:szCs w:val="24"/>
          <w:lang w:val="sr-Cyrl-CS"/>
        </w:rPr>
        <w:t>Ова фаза обухватила је преглед литературе и састанке на тему обухвата, методологије и заинтересованих страна. Истраживачки тим израдио је предлог за спровођење студије и кључне елементе студије.</w:t>
      </w:r>
    </w:p>
    <w:p w:rsidR="009A5953" w:rsidRPr="009F5B52" w:rsidRDefault="009020BA" w:rsidP="009020BA">
      <w:pPr>
        <w:rPr>
          <w:szCs w:val="24"/>
          <w:lang w:val="sr-Cyrl-CS"/>
        </w:rPr>
      </w:pPr>
      <w:r w:rsidRPr="009F5B52">
        <w:rPr>
          <w:b/>
          <w:i/>
          <w:szCs w:val="24"/>
          <w:lang w:val="sr-Cyrl-CS"/>
        </w:rPr>
        <w:t>Фаза</w:t>
      </w:r>
      <w:r w:rsidR="009A5953" w:rsidRPr="009F5B52">
        <w:rPr>
          <w:b/>
          <w:i/>
          <w:szCs w:val="24"/>
          <w:lang w:val="sr-Cyrl-CS"/>
        </w:rPr>
        <w:t xml:space="preserve"> </w:t>
      </w:r>
      <w:r w:rsidR="00FA2F9B" w:rsidRPr="009F5B52">
        <w:rPr>
          <w:b/>
          <w:i/>
          <w:szCs w:val="24"/>
          <w:lang w:val="sr-Cyrl-CS"/>
        </w:rPr>
        <w:t>2</w:t>
      </w:r>
      <w:r w:rsidR="009A5953" w:rsidRPr="009F5B52">
        <w:rPr>
          <w:b/>
          <w:i/>
          <w:szCs w:val="24"/>
          <w:lang w:val="sr-Cyrl-CS"/>
        </w:rPr>
        <w:t xml:space="preserve">: </w:t>
      </w:r>
      <w:r w:rsidRPr="009F5B52">
        <w:rPr>
          <w:b/>
          <w:i/>
          <w:szCs w:val="24"/>
          <w:lang w:val="sr-Cyrl-CS"/>
        </w:rPr>
        <w:t>Представљање циљева истраживања и спровођење интервјуа</w:t>
      </w:r>
      <w:r w:rsidRPr="009F5B52">
        <w:rPr>
          <w:i/>
          <w:szCs w:val="24"/>
          <w:lang w:val="sr-Cyrl-CS"/>
        </w:rPr>
        <w:t xml:space="preserve">. </w:t>
      </w:r>
      <w:r w:rsidRPr="009F5B52">
        <w:rPr>
          <w:szCs w:val="24"/>
          <w:lang w:val="sr-Cyrl-CS"/>
        </w:rPr>
        <w:t>Први шири консултативни састанак на којем је представљена идеја истраживања одржао је Тим за социјално укључивање и смањење сиромаштва 9. априла 2012. године са одабраним организацијама цивилног друштва</w:t>
      </w:r>
      <w:r w:rsidR="009A5953" w:rsidRPr="009F5B52">
        <w:rPr>
          <w:szCs w:val="24"/>
          <w:lang w:val="sr-Cyrl-CS"/>
        </w:rPr>
        <w:t xml:space="preserve"> (</w:t>
      </w:r>
      <w:r w:rsidRPr="009F5B52">
        <w:rPr>
          <w:i/>
          <w:szCs w:val="24"/>
          <w:lang w:val="sr-Cyrl-CS"/>
        </w:rPr>
        <w:t xml:space="preserve">Анекс </w:t>
      </w:r>
      <w:r w:rsidR="009A5953" w:rsidRPr="009F5B52">
        <w:rPr>
          <w:i/>
          <w:szCs w:val="24"/>
          <w:lang w:val="sr-Cyrl-CS"/>
        </w:rPr>
        <w:t>1</w:t>
      </w:r>
      <w:r w:rsidR="009A5953" w:rsidRPr="009F5B52">
        <w:rPr>
          <w:szCs w:val="24"/>
          <w:lang w:val="sr-Cyrl-CS"/>
        </w:rPr>
        <w:t xml:space="preserve">). </w:t>
      </w:r>
    </w:p>
    <w:p w:rsidR="009A5953" w:rsidRPr="009F5B52" w:rsidRDefault="009020BA" w:rsidP="00826947">
      <w:pPr>
        <w:rPr>
          <w:szCs w:val="24"/>
          <w:lang w:val="sr-Cyrl-CS"/>
        </w:rPr>
      </w:pPr>
      <w:r w:rsidRPr="009F5B52">
        <w:rPr>
          <w:szCs w:val="24"/>
          <w:lang w:val="sr-Cyrl-CS"/>
        </w:rPr>
        <w:t>Консултативни састанци са органима Владе и организацијама цивилног друштва организовани су у последњој недељи априла 2012. године. Саговорници су одабрани на основу њихове улоге и учешћа у инцијативама социјалног укључивања у Србији</w:t>
      </w:r>
      <w:r w:rsidR="003B4400" w:rsidRPr="009F5B52">
        <w:rPr>
          <w:szCs w:val="24"/>
          <w:lang w:val="sr-Cyrl-CS"/>
        </w:rPr>
        <w:t xml:space="preserve"> (</w:t>
      </w:r>
      <w:r w:rsidR="003B4400" w:rsidRPr="009F5B52">
        <w:rPr>
          <w:i/>
          <w:szCs w:val="24"/>
          <w:lang w:val="sr-Cyrl-CS"/>
        </w:rPr>
        <w:t>Анекс 2</w:t>
      </w:r>
      <w:r w:rsidR="003B4400" w:rsidRPr="009F5B52">
        <w:rPr>
          <w:szCs w:val="24"/>
          <w:lang w:val="sr-Cyrl-CS"/>
        </w:rPr>
        <w:t>)</w:t>
      </w:r>
      <w:r w:rsidRPr="009F5B52">
        <w:rPr>
          <w:szCs w:val="24"/>
          <w:lang w:val="sr-Cyrl-CS"/>
        </w:rPr>
        <w:t xml:space="preserve">. Сврха састанака </w:t>
      </w:r>
      <w:r w:rsidR="00826947" w:rsidRPr="009F5B52">
        <w:rPr>
          <w:szCs w:val="24"/>
          <w:lang w:val="sr-Cyrl-CS"/>
        </w:rPr>
        <w:t xml:space="preserve">било је добијање стручног мишљења о иницијативи. </w:t>
      </w:r>
    </w:p>
    <w:p w:rsidR="009A5953" w:rsidRPr="009F5B52" w:rsidRDefault="00826947" w:rsidP="00826947">
      <w:pPr>
        <w:rPr>
          <w:szCs w:val="24"/>
          <w:lang w:val="sr-Cyrl-CS"/>
        </w:rPr>
      </w:pPr>
      <w:r w:rsidRPr="009F5B52">
        <w:rPr>
          <w:szCs w:val="24"/>
          <w:lang w:val="sr-Cyrl-CS"/>
        </w:rPr>
        <w:t>У погледу иницијатива социјалног укључивања, сви саговорници нагласили су потребу за снажнијом координацијом. Поред тога, већина је напоменула фрагментирано спровођење политике социјалног укључивања и потребу за кохерентнијим приступом, укључујући унапређење система праћења и извештавања о ефектима спроведених активности</w:t>
      </w:r>
      <w:r w:rsidR="009A5953" w:rsidRPr="009F5B52">
        <w:rPr>
          <w:szCs w:val="24"/>
          <w:lang w:val="sr-Cyrl-CS"/>
        </w:rPr>
        <w:t>.</w:t>
      </w:r>
    </w:p>
    <w:p w:rsidR="008D62BD" w:rsidRPr="009F5B52" w:rsidRDefault="00826947" w:rsidP="00826947">
      <w:pPr>
        <w:rPr>
          <w:szCs w:val="24"/>
          <w:lang w:val="sr-Cyrl-CS"/>
        </w:rPr>
      </w:pPr>
      <w:r w:rsidRPr="009F5B52">
        <w:rPr>
          <w:b/>
          <w:i/>
          <w:szCs w:val="24"/>
          <w:lang w:val="sr-Cyrl-CS"/>
        </w:rPr>
        <w:t xml:space="preserve">Фаза </w:t>
      </w:r>
      <w:r w:rsidR="00FA2F9B" w:rsidRPr="009F5B52">
        <w:rPr>
          <w:b/>
          <w:i/>
          <w:szCs w:val="24"/>
          <w:lang w:val="sr-Cyrl-CS"/>
        </w:rPr>
        <w:t>3:</w:t>
      </w:r>
      <w:r w:rsidR="009A5953" w:rsidRPr="009F5B52">
        <w:rPr>
          <w:b/>
          <w:i/>
          <w:szCs w:val="24"/>
          <w:lang w:val="sr-Cyrl-CS"/>
        </w:rPr>
        <w:t xml:space="preserve"> </w:t>
      </w:r>
      <w:r w:rsidRPr="009F5B52">
        <w:rPr>
          <w:b/>
          <w:i/>
          <w:szCs w:val="24"/>
          <w:lang w:val="sr-Cyrl-CS"/>
        </w:rPr>
        <w:t>Израда извештаја и дефинисање закључака.</w:t>
      </w:r>
      <w:r w:rsidR="009020BA" w:rsidRPr="009F5B52">
        <w:rPr>
          <w:i/>
          <w:szCs w:val="24"/>
          <w:lang w:val="sr-Cyrl-CS"/>
        </w:rPr>
        <w:t xml:space="preserve"> </w:t>
      </w:r>
      <w:r w:rsidRPr="009F5B52">
        <w:rPr>
          <w:szCs w:val="24"/>
          <w:lang w:val="sr-Cyrl-CS"/>
        </w:rPr>
        <w:t>На основу консултација са заинтересованим странама, а посебном Тимом за социјално укључивање и смањење сиромаштва, извештај је припремљен уз интегрисање релевантних предлога. Препоруке су засноване на добијеним информацијама.</w:t>
      </w:r>
    </w:p>
    <w:p w:rsidR="008D62BD" w:rsidRPr="009F5B52" w:rsidRDefault="008D62BD" w:rsidP="008D62BD">
      <w:pPr>
        <w:rPr>
          <w:szCs w:val="24"/>
          <w:lang w:val="sr-Cyrl-CS"/>
        </w:rPr>
      </w:pPr>
      <w:r w:rsidRPr="009F5B52">
        <w:rPr>
          <w:szCs w:val="24"/>
          <w:lang w:val="sr-Cyrl-CS"/>
        </w:rPr>
        <w:t xml:space="preserve">Истраживање садржи три поглавља: </w:t>
      </w:r>
    </w:p>
    <w:p w:rsidR="00AD5CAB" w:rsidRPr="009F5B52" w:rsidRDefault="008D62BD" w:rsidP="008D62BD">
      <w:pPr>
        <w:pStyle w:val="ListParagraph"/>
        <w:numPr>
          <w:ilvl w:val="0"/>
          <w:numId w:val="38"/>
        </w:numPr>
        <w:rPr>
          <w:lang w:val="sr-Cyrl-CS"/>
        </w:rPr>
      </w:pPr>
      <w:r w:rsidRPr="009F5B52">
        <w:rPr>
          <w:b/>
          <w:lang w:val="sr-Cyrl-CS"/>
        </w:rPr>
        <w:t>Поглавље 1</w:t>
      </w:r>
      <w:r w:rsidRPr="009F5B52">
        <w:rPr>
          <w:lang w:val="sr-Cyrl-CS"/>
        </w:rPr>
        <w:t xml:space="preserve"> </w:t>
      </w:r>
      <w:r w:rsidR="00AD5CAB" w:rsidRPr="009F5B52">
        <w:rPr>
          <w:lang w:val="sr-Cyrl-CS"/>
        </w:rPr>
        <w:t xml:space="preserve">обухвата регулаторни и институционални оквир у Србији, као и детаље о актуелном процесу израде и примене јавних политика у области социјалног укључивања из домаћих извора и развојне помоћи, на основу искустава у сродним пројектима и иницијативама. </w:t>
      </w:r>
    </w:p>
    <w:p w:rsidR="008D62BD" w:rsidRPr="009F5B52" w:rsidRDefault="008D62BD" w:rsidP="008D62BD">
      <w:pPr>
        <w:pStyle w:val="ListParagraph"/>
        <w:numPr>
          <w:ilvl w:val="0"/>
          <w:numId w:val="38"/>
        </w:numPr>
        <w:rPr>
          <w:lang w:val="sr-Cyrl-CS"/>
        </w:rPr>
      </w:pPr>
      <w:r w:rsidRPr="009F5B52">
        <w:rPr>
          <w:b/>
          <w:lang w:val="sr-Cyrl-CS"/>
        </w:rPr>
        <w:t>Поглавље 2</w:t>
      </w:r>
      <w:r w:rsidRPr="009F5B52">
        <w:rPr>
          <w:lang w:val="sr-Cyrl-CS"/>
        </w:rPr>
        <w:t xml:space="preserve"> садржи релевантне информације о </w:t>
      </w:r>
      <w:r w:rsidR="00AD5CAB" w:rsidRPr="009F5B52">
        <w:rPr>
          <w:lang w:val="sr-Cyrl-CS"/>
        </w:rPr>
        <w:t xml:space="preserve">управљању фондовима ЕУ, кључним изазовима и искуствима других земаља. </w:t>
      </w:r>
      <w:r w:rsidRPr="009F5B52">
        <w:rPr>
          <w:lang w:val="sr-Cyrl-CS"/>
        </w:rPr>
        <w:t xml:space="preserve"> </w:t>
      </w:r>
    </w:p>
    <w:p w:rsidR="008D62BD" w:rsidRPr="009F5B52" w:rsidRDefault="008D62BD" w:rsidP="008D62BD">
      <w:pPr>
        <w:pStyle w:val="ListParagraph"/>
        <w:numPr>
          <w:ilvl w:val="0"/>
          <w:numId w:val="38"/>
        </w:numPr>
        <w:rPr>
          <w:lang w:val="sr-Cyrl-CS"/>
        </w:rPr>
      </w:pPr>
      <w:r w:rsidRPr="009F5B52">
        <w:rPr>
          <w:b/>
          <w:lang w:val="sr-Cyrl-CS"/>
        </w:rPr>
        <w:t>Поглавље 3</w:t>
      </w:r>
      <w:r w:rsidRPr="009F5B52">
        <w:rPr>
          <w:lang w:val="sr-Cyrl-CS"/>
        </w:rPr>
        <w:t xml:space="preserve"> садржи препоруке за организациону и правну поставку Фонда за социјално укључивање, и анализира питање финансијског планирања и буџетских алокација за рад Фонда. Овде је дата и мапа пута за успостављање Фонда. </w:t>
      </w:r>
    </w:p>
    <w:p w:rsidR="009A5953" w:rsidRPr="009F5B52" w:rsidRDefault="009A5953" w:rsidP="00826947">
      <w:pPr>
        <w:rPr>
          <w:szCs w:val="24"/>
          <w:lang w:val="sr-Cyrl-CS"/>
        </w:rPr>
      </w:pPr>
    </w:p>
    <w:p w:rsidR="008D62BD" w:rsidRPr="009F5B52" w:rsidRDefault="00172313" w:rsidP="00172313">
      <w:pPr>
        <w:pStyle w:val="Heading1"/>
        <w:rPr>
          <w:lang w:val="sr-Cyrl-CS"/>
        </w:rPr>
      </w:pPr>
      <w:bookmarkStart w:id="8" w:name="_Toc327447124"/>
      <w:bookmarkStart w:id="9" w:name="_Toc330562291"/>
      <w:r w:rsidRPr="009F5B52">
        <w:rPr>
          <w:lang w:val="sr-Cyrl-CS"/>
        </w:rPr>
        <w:lastRenderedPageBreak/>
        <w:t xml:space="preserve">Национални оквир и </w:t>
      </w:r>
      <w:bookmarkEnd w:id="8"/>
      <w:r w:rsidRPr="009F5B52">
        <w:rPr>
          <w:lang w:val="sr-Cyrl-CS"/>
        </w:rPr>
        <w:t>претходна искуства</w:t>
      </w:r>
      <w:bookmarkEnd w:id="9"/>
    </w:p>
    <w:p w:rsidR="008D62BD" w:rsidRPr="009F5B52" w:rsidRDefault="008D62BD" w:rsidP="008D62BD">
      <w:pPr>
        <w:pBdr>
          <w:top w:val="single" w:sz="4" w:space="1" w:color="auto"/>
          <w:left w:val="single" w:sz="4" w:space="4" w:color="auto"/>
          <w:bottom w:val="single" w:sz="4" w:space="1" w:color="auto"/>
          <w:right w:val="single" w:sz="4" w:space="4" w:color="auto"/>
        </w:pBdr>
        <w:rPr>
          <w:rFonts w:cs="Times New Roman"/>
          <w:szCs w:val="24"/>
          <w:lang w:val="sr-Cyrl-CS"/>
        </w:rPr>
      </w:pPr>
      <w:r w:rsidRPr="009F5B52">
        <w:rPr>
          <w:rFonts w:cs="Times New Roman"/>
          <w:szCs w:val="24"/>
          <w:lang w:val="sr-Cyrl-CS"/>
        </w:rPr>
        <w:t xml:space="preserve">Основна идеја овог истраживања јесте израда почетне анализе у вези са оснивањем Фонда за социјално укључивање, имајући у виду национални </w:t>
      </w:r>
      <w:r w:rsidR="007261F9" w:rsidRPr="009F5B52">
        <w:rPr>
          <w:rFonts w:cs="Times New Roman"/>
          <w:szCs w:val="24"/>
          <w:lang w:val="sr-Cyrl-CS"/>
        </w:rPr>
        <w:t xml:space="preserve">и европски </w:t>
      </w:r>
      <w:r w:rsidRPr="009F5B52">
        <w:rPr>
          <w:rFonts w:cs="Times New Roman"/>
          <w:szCs w:val="24"/>
          <w:lang w:val="sr-Cyrl-CS"/>
        </w:rPr>
        <w:t>регулаторни оквир</w:t>
      </w:r>
      <w:r w:rsidR="007261F9" w:rsidRPr="009F5B52">
        <w:rPr>
          <w:rFonts w:cs="Times New Roman"/>
          <w:szCs w:val="24"/>
          <w:lang w:val="sr-Cyrl-CS"/>
        </w:rPr>
        <w:t xml:space="preserve"> и финансијску перспективу</w:t>
      </w:r>
      <w:r w:rsidRPr="009F5B52">
        <w:rPr>
          <w:rFonts w:cs="Times New Roman"/>
          <w:szCs w:val="24"/>
          <w:lang w:val="sr-Cyrl-CS"/>
        </w:rPr>
        <w:t>.</w:t>
      </w:r>
    </w:p>
    <w:p w:rsidR="008D62BD" w:rsidRPr="009F5B52" w:rsidRDefault="008D62BD" w:rsidP="008D62BD">
      <w:pPr>
        <w:pBdr>
          <w:top w:val="single" w:sz="4" w:space="1" w:color="auto"/>
          <w:left w:val="single" w:sz="4" w:space="4" w:color="auto"/>
          <w:bottom w:val="single" w:sz="4" w:space="1" w:color="auto"/>
          <w:right w:val="single" w:sz="4" w:space="4" w:color="auto"/>
        </w:pBdr>
        <w:rPr>
          <w:rFonts w:cs="Times New Roman"/>
          <w:szCs w:val="24"/>
          <w:lang w:val="sr-Cyrl-CS"/>
        </w:rPr>
      </w:pPr>
      <w:r w:rsidRPr="009F5B52">
        <w:rPr>
          <w:rFonts w:cs="Times New Roman"/>
          <w:szCs w:val="24"/>
          <w:lang w:val="sr-Cyrl-CS"/>
        </w:rPr>
        <w:t xml:space="preserve">Ово истраживање пружа почетне идеје у вези са </w:t>
      </w:r>
      <w:r w:rsidRPr="009F5B52">
        <w:rPr>
          <w:rFonts w:cs="Times New Roman"/>
          <w:b/>
          <w:szCs w:val="24"/>
          <w:lang w:val="sr-Cyrl-CS"/>
        </w:rPr>
        <w:t xml:space="preserve">управљачком структуром </w:t>
      </w:r>
      <w:r w:rsidRPr="009F5B52">
        <w:rPr>
          <w:rFonts w:cs="Times New Roman"/>
          <w:szCs w:val="24"/>
          <w:lang w:val="sr-Cyrl-CS"/>
        </w:rPr>
        <w:t xml:space="preserve">и </w:t>
      </w:r>
      <w:r w:rsidRPr="009F5B52">
        <w:rPr>
          <w:rFonts w:cs="Times New Roman"/>
          <w:b/>
          <w:szCs w:val="24"/>
          <w:lang w:val="sr-Cyrl-CS"/>
        </w:rPr>
        <w:t>областима деловања</w:t>
      </w:r>
      <w:r w:rsidRPr="009F5B52">
        <w:rPr>
          <w:rFonts w:cs="Times New Roman"/>
          <w:szCs w:val="24"/>
          <w:lang w:val="sr-Cyrl-CS"/>
        </w:rPr>
        <w:t>. Управљачка структура зависи од обима активности, мисије Фонда и правног и институционалног окружења у којем ће Фонд деловати. Анализа почива на следећим претпоставкама:</w:t>
      </w:r>
    </w:p>
    <w:p w:rsidR="008D62BD" w:rsidRPr="009F5B52" w:rsidRDefault="008D62BD" w:rsidP="00172313">
      <w:pPr>
        <w:pBdr>
          <w:top w:val="single" w:sz="4" w:space="1" w:color="auto"/>
          <w:left w:val="single" w:sz="4" w:space="4" w:color="auto"/>
          <w:bottom w:val="single" w:sz="4" w:space="1" w:color="auto"/>
          <w:right w:val="single" w:sz="4" w:space="4" w:color="auto"/>
        </w:pBdr>
        <w:spacing w:before="0" w:after="0"/>
        <w:rPr>
          <w:rFonts w:cs="Times New Roman"/>
          <w:szCs w:val="24"/>
          <w:lang w:val="sr-Cyrl-CS"/>
        </w:rPr>
      </w:pPr>
      <w:r w:rsidRPr="009F5B52">
        <w:rPr>
          <w:rFonts w:cs="Times New Roman"/>
          <w:szCs w:val="24"/>
          <w:lang w:val="sr-Cyrl-CS"/>
        </w:rPr>
        <w:t>- Фонд за социјално укључивање бавиће се међусекторском проблематиком социјалног укључивања, што је потребно додатно разрадити с обзиром на контекст и</w:t>
      </w:r>
    </w:p>
    <w:p w:rsidR="008D62BD" w:rsidRPr="009F5B52" w:rsidRDefault="008D62BD" w:rsidP="00172313">
      <w:pPr>
        <w:pBdr>
          <w:top w:val="single" w:sz="4" w:space="1" w:color="auto"/>
          <w:left w:val="single" w:sz="4" w:space="4" w:color="auto"/>
          <w:bottom w:val="single" w:sz="4" w:space="1" w:color="auto"/>
          <w:right w:val="single" w:sz="4" w:space="4" w:color="auto"/>
        </w:pBdr>
        <w:spacing w:before="0" w:after="0"/>
        <w:rPr>
          <w:rFonts w:cs="Times New Roman"/>
          <w:szCs w:val="24"/>
          <w:lang w:val="sr-Cyrl-CS"/>
        </w:rPr>
      </w:pPr>
      <w:r w:rsidRPr="009F5B52">
        <w:rPr>
          <w:rFonts w:cs="Times New Roman"/>
          <w:szCs w:val="24"/>
          <w:lang w:val="sr-Cyrl-CS"/>
        </w:rPr>
        <w:t xml:space="preserve">- Фонд за социјално укључивање </w:t>
      </w:r>
      <w:r w:rsidR="00710DA3" w:rsidRPr="009F5B52">
        <w:rPr>
          <w:rFonts w:cs="Times New Roman"/>
          <w:szCs w:val="24"/>
          <w:lang w:val="sr-Cyrl-CS"/>
        </w:rPr>
        <w:t>ће поштовати</w:t>
      </w:r>
      <w:r w:rsidRPr="009F5B52">
        <w:rPr>
          <w:rFonts w:cs="Times New Roman"/>
          <w:szCs w:val="24"/>
          <w:lang w:val="sr-Cyrl-CS"/>
        </w:rPr>
        <w:t xml:space="preserve"> постојећ</w:t>
      </w:r>
      <w:r w:rsidR="00710DA3" w:rsidRPr="009F5B52">
        <w:rPr>
          <w:rFonts w:cs="Times New Roman"/>
          <w:szCs w:val="24"/>
          <w:lang w:val="sr-Cyrl-CS"/>
        </w:rPr>
        <w:t>е</w:t>
      </w:r>
      <w:r w:rsidRPr="009F5B52">
        <w:rPr>
          <w:rFonts w:cs="Times New Roman"/>
          <w:szCs w:val="24"/>
          <w:lang w:val="sr-Cyrl-CS"/>
        </w:rPr>
        <w:t xml:space="preserve"> правн</w:t>
      </w:r>
      <w:r w:rsidR="00710DA3" w:rsidRPr="009F5B52">
        <w:rPr>
          <w:rFonts w:cs="Times New Roman"/>
          <w:szCs w:val="24"/>
          <w:lang w:val="sr-Cyrl-CS"/>
        </w:rPr>
        <w:t>о</w:t>
      </w:r>
      <w:r w:rsidRPr="009F5B52">
        <w:rPr>
          <w:rFonts w:cs="Times New Roman"/>
          <w:szCs w:val="24"/>
          <w:lang w:val="sr-Cyrl-CS"/>
        </w:rPr>
        <w:t xml:space="preserve"> и институционално окружења.</w:t>
      </w:r>
    </w:p>
    <w:p w:rsidR="008D62BD" w:rsidRPr="009F5B52" w:rsidRDefault="008D62BD" w:rsidP="008D62BD">
      <w:pPr>
        <w:pBdr>
          <w:top w:val="single" w:sz="4" w:space="1" w:color="auto"/>
          <w:left w:val="single" w:sz="4" w:space="4" w:color="auto"/>
          <w:bottom w:val="single" w:sz="4" w:space="1" w:color="auto"/>
          <w:right w:val="single" w:sz="4" w:space="4" w:color="auto"/>
        </w:pBdr>
        <w:rPr>
          <w:rFonts w:cs="Times New Roman"/>
          <w:szCs w:val="24"/>
          <w:lang w:val="sr-Cyrl-CS"/>
        </w:rPr>
      </w:pPr>
      <w:r w:rsidRPr="009F5B52">
        <w:rPr>
          <w:rFonts w:cs="Times New Roman"/>
          <w:szCs w:val="24"/>
          <w:lang w:val="sr-Cyrl-CS"/>
        </w:rPr>
        <w:t>Ово истраживање такође се ослања на искуства стечена кроз раније интервенције и постојеће структуре у вези са процесом социјалног укључивања у Републици Србији.</w:t>
      </w:r>
    </w:p>
    <w:p w:rsidR="008D62BD" w:rsidRPr="009F5B52" w:rsidRDefault="008D62BD" w:rsidP="008D62BD">
      <w:pPr>
        <w:pStyle w:val="Heading2"/>
        <w:rPr>
          <w:rStyle w:val="IntenseReference"/>
          <w:b/>
          <w:bCs/>
          <w:smallCaps w:val="0"/>
          <w:color w:val="4F81BD" w:themeColor="accent1"/>
          <w:spacing w:val="0"/>
          <w:u w:val="none"/>
          <w:lang w:val="sr-Cyrl-CS"/>
        </w:rPr>
      </w:pPr>
      <w:bookmarkStart w:id="10" w:name="_Toc323810582"/>
      <w:bookmarkStart w:id="11" w:name="_Toc327447125"/>
      <w:bookmarkStart w:id="12" w:name="_Toc330562292"/>
      <w:r w:rsidRPr="009F5B52">
        <w:rPr>
          <w:rStyle w:val="IntenseReference"/>
          <w:b/>
          <w:bCs/>
          <w:smallCaps w:val="0"/>
          <w:color w:val="4F81BD" w:themeColor="accent1"/>
          <w:spacing w:val="0"/>
          <w:u w:val="none"/>
          <w:lang w:val="sr-Cyrl-CS"/>
        </w:rPr>
        <w:t>1.1. Кључни аспекти и принципи</w:t>
      </w:r>
      <w:bookmarkEnd w:id="10"/>
      <w:bookmarkEnd w:id="11"/>
      <w:bookmarkEnd w:id="12"/>
    </w:p>
    <w:p w:rsidR="00710DA3" w:rsidRPr="009F5B52" w:rsidRDefault="00710DA3" w:rsidP="00710DA3">
      <w:pPr>
        <w:autoSpaceDE w:val="0"/>
        <w:autoSpaceDN w:val="0"/>
        <w:adjustRightInd w:val="0"/>
        <w:rPr>
          <w:rFonts w:cs="Times New Roman"/>
          <w:szCs w:val="24"/>
          <w:lang w:val="sr-Cyrl-CS"/>
        </w:rPr>
      </w:pPr>
      <w:r w:rsidRPr="009F5B52">
        <w:rPr>
          <w:rFonts w:eastAsia="TimesNewRoman" w:cs="Times New Roman"/>
          <w:szCs w:val="24"/>
          <w:lang w:val="sr-Cyrl-CS"/>
        </w:rPr>
        <w:t>Република Србија је, као један од важних задатака у процесу европских интеграција, дефинисала активно учешће у европском процесу социјалног укључивања. У протеклих неколико година процеса интеграције</w:t>
      </w:r>
      <w:r w:rsidRPr="009F5B52">
        <w:rPr>
          <w:rFonts w:cs="Times New Roman"/>
          <w:szCs w:val="24"/>
          <w:lang w:val="sr-Cyrl-CS"/>
        </w:rPr>
        <w:t xml:space="preserve">, бројни закони који су ступили на снагу одражавају потребу за интегрисањем стратешких области, координацијом и разумевањем социјалних ризика у ширем контексту социјалне искључености. Међутим, мали број закона садржи конкретне мере кроз које се реализује политика социјалног укључивања. </w:t>
      </w:r>
    </w:p>
    <w:p w:rsidR="007261F9" w:rsidRPr="009F5B52" w:rsidRDefault="008D62BD" w:rsidP="00710DA3">
      <w:pPr>
        <w:rPr>
          <w:rFonts w:cs="Times New Roman"/>
          <w:szCs w:val="24"/>
          <w:lang w:val="sr-Cyrl-CS"/>
        </w:rPr>
      </w:pPr>
      <w:r w:rsidRPr="009F5B52">
        <w:rPr>
          <w:rFonts w:cs="Times New Roman"/>
          <w:szCs w:val="24"/>
          <w:lang w:val="sr-Cyrl-CS"/>
        </w:rPr>
        <w:t>Једна од анализа услуга на локалном нивоу такође указује на слабу међусекторску сарадњу</w:t>
      </w:r>
      <w:r w:rsidRPr="009F5B52">
        <w:rPr>
          <w:rStyle w:val="FootnoteReference"/>
          <w:rFonts w:cs="Times New Roman"/>
          <w:szCs w:val="24"/>
          <w:lang w:val="sr-Cyrl-CS"/>
        </w:rPr>
        <w:footnoteReference w:id="4"/>
      </w:r>
      <w:r w:rsidRPr="009F5B52">
        <w:rPr>
          <w:rFonts w:cs="Times New Roman"/>
          <w:szCs w:val="24"/>
          <w:lang w:val="sr-Cyrl-CS"/>
        </w:rPr>
        <w:t xml:space="preserve">. </w:t>
      </w:r>
      <w:r w:rsidR="007261F9" w:rsidRPr="009F5B52">
        <w:rPr>
          <w:rFonts w:cs="Times New Roman"/>
          <w:szCs w:val="24"/>
          <w:lang w:val="sr-Cyrl-CS"/>
        </w:rPr>
        <w:t xml:space="preserve">Такође, неопходно је напоменути да спровођење појединих стратешких докумената захтева постојање сложених оквира за спровођење, услед природе иновативних међусекторских услуга које су намењене осетљивим групама становништва (нпр. Стратегија за унапређивање положаја Рома). </w:t>
      </w:r>
    </w:p>
    <w:p w:rsidR="008D62BD" w:rsidRPr="009F5B52" w:rsidRDefault="00172313" w:rsidP="008D62BD">
      <w:pPr>
        <w:rPr>
          <w:rFonts w:cs="Times New Roman"/>
          <w:szCs w:val="24"/>
          <w:lang w:val="sr-Cyrl-CS"/>
        </w:rPr>
      </w:pPr>
      <w:r w:rsidRPr="009F5B52">
        <w:rPr>
          <w:rFonts w:cs="Times New Roman"/>
          <w:noProof/>
          <w:szCs w:val="24"/>
          <w:lang w:val="sr-Cyrl-RS" w:eastAsia="sr-Cyrl-RS"/>
        </w:rPr>
        <mc:AlternateContent>
          <mc:Choice Requires="wps">
            <w:drawing>
              <wp:anchor distT="0" distB="0" distL="114300" distR="114300" simplePos="0" relativeHeight="251710464" behindDoc="0" locked="0" layoutInCell="1" allowOverlap="1" wp14:anchorId="00555911" wp14:editId="65469E8A">
                <wp:simplePos x="0" y="0"/>
                <wp:positionH relativeFrom="column">
                  <wp:posOffset>-21590</wp:posOffset>
                </wp:positionH>
                <wp:positionV relativeFrom="paragraph">
                  <wp:posOffset>841375</wp:posOffset>
                </wp:positionV>
                <wp:extent cx="5835650" cy="775970"/>
                <wp:effectExtent l="0" t="0" r="12700" b="24130"/>
                <wp:wrapNone/>
                <wp:docPr id="10"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775970"/>
                        </a:xfrm>
                        <a:prstGeom prst="rect">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172313" w:rsidRPr="00CA59AF" w:rsidRDefault="00172313" w:rsidP="008D62BD">
                            <w:pPr>
                              <w:rPr>
                                <w:b/>
                                <w:i/>
                                <w:lang w:val="sr-Cyrl-CS"/>
                              </w:rPr>
                            </w:pPr>
                            <w:r w:rsidRPr="00CA59AF">
                              <w:rPr>
                                <w:b/>
                                <w:i/>
                                <w:lang w:val="sr-Cyrl-CS"/>
                              </w:rPr>
                              <w:t xml:space="preserve">Неопходно је постићи консензус међу свим заинтересованим странама </w:t>
                            </w:r>
                            <w:r>
                              <w:rPr>
                                <w:b/>
                                <w:i/>
                                <w:lang w:val="sr-Cyrl-CS"/>
                              </w:rPr>
                              <w:t>надлежним</w:t>
                            </w:r>
                            <w:r w:rsidRPr="00CA59AF">
                              <w:rPr>
                                <w:b/>
                                <w:i/>
                                <w:lang w:val="sr-Cyrl-CS"/>
                              </w:rPr>
                              <w:t xml:space="preserve"> за </w:t>
                            </w:r>
                            <w:r>
                              <w:rPr>
                                <w:b/>
                                <w:i/>
                                <w:lang w:val="sr-Cyrl-CS"/>
                              </w:rPr>
                              <w:t>област</w:t>
                            </w:r>
                            <w:r w:rsidRPr="00CA59AF">
                              <w:rPr>
                                <w:b/>
                                <w:i/>
                                <w:lang w:val="sr-Cyrl-CS"/>
                              </w:rPr>
                              <w:t xml:space="preserve"> социјалног укључивања о успостављању јединственог, свеобухватног тела задуженог за спровођење </w:t>
                            </w:r>
                            <w:r>
                              <w:rPr>
                                <w:b/>
                                <w:i/>
                                <w:lang w:val="sr-Cyrl-CS"/>
                              </w:rPr>
                              <w:t xml:space="preserve">политика </w:t>
                            </w:r>
                            <w:r w:rsidRPr="00CA59AF">
                              <w:rPr>
                                <w:b/>
                                <w:i/>
                                <w:lang w:val="sr-Cyrl-CS"/>
                              </w:rPr>
                              <w:t>социјалног укључивања.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ounded Rectangle 13" o:spid="_x0000_s1026" style="position:absolute;left:0;text-align:left;margin-left:-1.7pt;margin-top:66.25pt;width:459.5pt;height:6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" fillcolor="#d8d8d8 [2732]" strokecolor="black [3213]" strokeweight="1pt">
                <v:shadow color="black" opacity="24903f" origin=",.5" offset="0,.55556mm"/>
                <v:path arrowok="t"/>
                <v:textbox>
                  <w:txbxContent>
                    <w:p w:rsidR="00172313" w:rsidRPr="00CA59AF" w:rsidRDefault="00172313" w:rsidP="008D62BD">
                      <w:pPr>
                        <w:rPr>
                          <w:b/>
                          <w:i/>
                          <w:lang w:val="sr-Cyrl-CS"/>
                        </w:rPr>
                      </w:pPr>
                      <w:r w:rsidRPr="00CA59AF">
                        <w:rPr>
                          <w:b/>
                          <w:i/>
                          <w:lang w:val="sr-Cyrl-CS"/>
                        </w:rPr>
                        <w:t xml:space="preserve">Неопходно је постићи консензус међу свим заинтересованим странама </w:t>
                      </w:r>
                      <w:r>
                        <w:rPr>
                          <w:b/>
                          <w:i/>
                          <w:lang w:val="sr-Cyrl-CS"/>
                        </w:rPr>
                        <w:t>надлежним</w:t>
                      </w:r>
                      <w:r w:rsidRPr="00CA59AF">
                        <w:rPr>
                          <w:b/>
                          <w:i/>
                          <w:lang w:val="sr-Cyrl-CS"/>
                        </w:rPr>
                        <w:t xml:space="preserve"> за </w:t>
                      </w:r>
                      <w:r>
                        <w:rPr>
                          <w:b/>
                          <w:i/>
                          <w:lang w:val="sr-Cyrl-CS"/>
                        </w:rPr>
                        <w:t>област</w:t>
                      </w:r>
                      <w:r w:rsidRPr="00CA59AF">
                        <w:rPr>
                          <w:b/>
                          <w:i/>
                          <w:lang w:val="sr-Cyrl-CS"/>
                        </w:rPr>
                        <w:t xml:space="preserve"> социјалног укључивања о успостављању јединственог, свеобухватног тела задуженог за спровођење </w:t>
                      </w:r>
                      <w:r>
                        <w:rPr>
                          <w:b/>
                          <w:i/>
                          <w:lang w:val="sr-Cyrl-CS"/>
                        </w:rPr>
                        <w:t xml:space="preserve">политика </w:t>
                      </w:r>
                      <w:r w:rsidRPr="00CA59AF">
                        <w:rPr>
                          <w:b/>
                          <w:i/>
                          <w:lang w:val="sr-Cyrl-CS"/>
                        </w:rPr>
                        <w:t>социјалног укључивања.</w:t>
                      </w:r>
                    </w:p>
                  </w:txbxContent>
                </v:textbox>
              </v:rect>
            </w:pict>
          </mc:Fallback>
        </mc:AlternateContent>
      </w:r>
      <w:r w:rsidR="008D62BD" w:rsidRPr="009F5B52">
        <w:rPr>
          <w:rFonts w:cs="Times New Roman"/>
          <w:szCs w:val="24"/>
          <w:lang w:val="sr-Cyrl-CS"/>
        </w:rPr>
        <w:t>Због фрагментираног правног и институционалног окружења, тешко је ослонити се на једно ресорно министарство приликом успостављања Фонда за социјално укључивање. Према томе, централна позиција у структури Владе може бити бољи оквир за оснивање Фонда за социјално укључивање.</w:t>
      </w:r>
    </w:p>
    <w:p w:rsidR="008D62BD" w:rsidRPr="009F5B52" w:rsidRDefault="008D62BD" w:rsidP="008D62BD">
      <w:pPr>
        <w:rPr>
          <w:rFonts w:cs="Times New Roman"/>
          <w:szCs w:val="24"/>
          <w:lang w:val="sr-Cyrl-CS"/>
        </w:rPr>
      </w:pPr>
    </w:p>
    <w:p w:rsidR="00172313" w:rsidRPr="009F5B52" w:rsidRDefault="00172313" w:rsidP="008D62BD">
      <w:pPr>
        <w:pStyle w:val="2"/>
        <w:rPr>
          <w:rStyle w:val="IntenseReference"/>
          <w:rFonts w:cs="Times New Roman"/>
          <w:smallCaps w:val="0"/>
          <w:color w:val="auto"/>
          <w:spacing w:val="0"/>
          <w:szCs w:val="24"/>
          <w:u w:val="none"/>
          <w:lang w:val="sr-Cyrl-CS"/>
        </w:rPr>
      </w:pPr>
    </w:p>
    <w:p w:rsidR="008D62BD" w:rsidRPr="009F5B52" w:rsidRDefault="00710DA3" w:rsidP="008D62BD">
      <w:pPr>
        <w:pStyle w:val="2"/>
        <w:rPr>
          <w:rStyle w:val="IntenseReference"/>
          <w:rFonts w:cs="Times New Roman"/>
          <w:i w:val="0"/>
          <w:iCs/>
          <w:smallCaps w:val="0"/>
          <w:color w:val="auto"/>
          <w:spacing w:val="0"/>
          <w:szCs w:val="24"/>
          <w:u w:val="none"/>
          <w:lang w:val="sr-Cyrl-CS"/>
        </w:rPr>
      </w:pPr>
      <w:r w:rsidRPr="009F5B52">
        <w:rPr>
          <w:rStyle w:val="IntenseReference"/>
          <w:rFonts w:cs="Times New Roman"/>
          <w:smallCaps w:val="0"/>
          <w:color w:val="auto"/>
          <w:spacing w:val="0"/>
          <w:szCs w:val="24"/>
          <w:u w:val="none"/>
          <w:lang w:val="sr-Cyrl-CS"/>
        </w:rPr>
        <w:lastRenderedPageBreak/>
        <w:t>Мисија Фонда за социјално укључивање</w:t>
      </w:r>
    </w:p>
    <w:p w:rsidR="008D62BD" w:rsidRPr="009F5B52" w:rsidRDefault="008D62BD" w:rsidP="008D62BD">
      <w:pPr>
        <w:rPr>
          <w:rFonts w:cs="Times New Roman"/>
          <w:szCs w:val="24"/>
          <w:lang w:val="sr-Cyrl-CS"/>
        </w:rPr>
      </w:pPr>
      <w:r w:rsidRPr="009F5B52">
        <w:rPr>
          <w:rFonts w:cs="Times New Roman"/>
          <w:szCs w:val="24"/>
          <w:lang w:val="sr-Cyrl-CS"/>
        </w:rPr>
        <w:t>Структура организације би требало да прати њену мисију. Активности доделе бесповратних средстава могу да имају различите димензије: развој услуга; иновације, тестирање и примену у читавом систему; изградњу капацитета, транспарентно коришћење средстава итд. Пошто тек предстоји утврђивање прецизне мисије будућег Фонда за социјално укључивање, поједина питања захтевају озбиљно промишљање и анализу. Ово укључује, између осталог, следеће аспекте:</w:t>
      </w:r>
    </w:p>
    <w:p w:rsidR="008D62BD" w:rsidRPr="009F5B52" w:rsidRDefault="008D62BD" w:rsidP="008D62BD">
      <w:pPr>
        <w:pStyle w:val="ListParagraph"/>
        <w:numPr>
          <w:ilvl w:val="0"/>
          <w:numId w:val="12"/>
        </w:numPr>
        <w:rPr>
          <w:rFonts w:cs="Times New Roman"/>
          <w:szCs w:val="24"/>
          <w:lang w:val="sr-Cyrl-CS"/>
        </w:rPr>
      </w:pPr>
      <w:r w:rsidRPr="009F5B52">
        <w:rPr>
          <w:rFonts w:cs="Times New Roman"/>
          <w:b/>
          <w:szCs w:val="24"/>
          <w:lang w:val="sr-Cyrl-CS"/>
        </w:rPr>
        <w:t>Учење на основу пројеката и локалних иницијатива</w:t>
      </w:r>
      <w:r w:rsidRPr="009F5B52">
        <w:rPr>
          <w:rFonts w:cs="Times New Roman"/>
          <w:szCs w:val="24"/>
          <w:lang w:val="sr-Cyrl-CS"/>
        </w:rPr>
        <w:t xml:space="preserve">. Учење се јавља искључиво када су актери заинтересовани за учење и када постоје системски подстицаји за укључивање у тај процес. У том смислу, потребно је посебну пажњу посветити програмима кроз које се осмишљавају методологије, приступи, услуге итд. у оквиру јавног сектора. Потенцијал за учење из </w:t>
      </w:r>
      <w:r w:rsidRPr="009F5B52">
        <w:rPr>
          <w:rFonts w:cs="Times New Roman"/>
          <w:i/>
          <w:szCs w:val="24"/>
          <w:lang w:val="sr-Cyrl-CS"/>
        </w:rPr>
        <w:t xml:space="preserve">ad hoc </w:t>
      </w:r>
      <w:r w:rsidRPr="009F5B52">
        <w:rPr>
          <w:rFonts w:cs="Times New Roman"/>
          <w:szCs w:val="24"/>
          <w:lang w:val="sr-Cyrl-CS"/>
        </w:rPr>
        <w:t>пројеката изузетно је ограничен, нарочито код краткорочних пројеката које спроводе консултантска предузећа.</w:t>
      </w:r>
    </w:p>
    <w:p w:rsidR="008D62BD" w:rsidRPr="009F5B52" w:rsidRDefault="008D62BD" w:rsidP="008D62BD">
      <w:pPr>
        <w:pStyle w:val="ListParagraph"/>
        <w:numPr>
          <w:ilvl w:val="0"/>
          <w:numId w:val="12"/>
        </w:numPr>
        <w:rPr>
          <w:rFonts w:cs="Times New Roman"/>
          <w:szCs w:val="24"/>
          <w:lang w:val="sr-Cyrl-CS"/>
        </w:rPr>
      </w:pPr>
      <w:r w:rsidRPr="009F5B52">
        <w:rPr>
          <w:rFonts w:cs="Times New Roman"/>
          <w:b/>
          <w:szCs w:val="24"/>
          <w:lang w:val="sr-Cyrl-CS"/>
        </w:rPr>
        <w:t>Врсте финансираних пројеката</w:t>
      </w:r>
      <w:r w:rsidRPr="009F5B52">
        <w:rPr>
          <w:rFonts w:cs="Times New Roman"/>
          <w:szCs w:val="24"/>
          <w:lang w:val="sr-Cyrl-CS"/>
        </w:rPr>
        <w:t>. Пројекти које ће финансирати будући Фонд за социјално укључивање могу да буду усмерени на пружање услуга, односно на вршење утицаја на јавне политике. Пројектима се утиче на јавне политике када се кроз њих тестирају иновативни приступи и политике, када их спроводе јавне институције и други актери, к</w:t>
      </w:r>
      <w:r w:rsidR="00E77F1F" w:rsidRPr="009F5B52">
        <w:rPr>
          <w:rFonts w:cs="Times New Roman"/>
          <w:szCs w:val="24"/>
          <w:lang w:val="sr-Cyrl-CS"/>
        </w:rPr>
        <w:t>а</w:t>
      </w:r>
      <w:r w:rsidRPr="009F5B52">
        <w:rPr>
          <w:rFonts w:cs="Times New Roman"/>
          <w:szCs w:val="24"/>
          <w:lang w:val="sr-Cyrl-CS"/>
        </w:rPr>
        <w:t>да се врши праћење и оцена ради будуће примене широм система итд. У том смислу, неопходна им је управљачка структура у којој су заступљени и различити правци за измену јавних политика.</w:t>
      </w:r>
    </w:p>
    <w:p w:rsidR="008D62BD" w:rsidRPr="009F5B52" w:rsidRDefault="008D62BD" w:rsidP="008D62BD">
      <w:pPr>
        <w:pStyle w:val="ListParagraph"/>
        <w:numPr>
          <w:ilvl w:val="0"/>
          <w:numId w:val="12"/>
        </w:numPr>
        <w:rPr>
          <w:rFonts w:cs="Times New Roman"/>
          <w:szCs w:val="24"/>
          <w:lang w:val="sr-Cyrl-CS"/>
        </w:rPr>
      </w:pPr>
      <w:r w:rsidRPr="009F5B52">
        <w:rPr>
          <w:rFonts w:cs="Times New Roman"/>
          <w:b/>
          <w:szCs w:val="24"/>
          <w:lang w:val="sr-Cyrl-CS"/>
        </w:rPr>
        <w:t>Одрживост</w:t>
      </w:r>
      <w:r w:rsidRPr="009F5B52">
        <w:rPr>
          <w:rFonts w:cs="Times New Roman"/>
          <w:szCs w:val="24"/>
          <w:lang w:val="sr-Cyrl-CS"/>
        </w:rPr>
        <w:t>. Уколико је пројекат осмишљен тако да се од самог почетка води рачуна о одрживости, висока је вероватноћа да ће се то и остварити. Уколико се од пројекта захтева да одрживост обезбеди касније током спровођења, вероватно је да у томе неће успети. Одрживост зависи од укључености локалне самоуправе и релевантних националних актера. На овом пољу потребан је опрез, пошто проширење управљачке структуре не води ефикаснијем раду.</w:t>
      </w:r>
    </w:p>
    <w:p w:rsidR="008D62BD" w:rsidRPr="009F5B52" w:rsidRDefault="008D62BD" w:rsidP="008D62BD">
      <w:pPr>
        <w:pStyle w:val="ListParagraph"/>
        <w:numPr>
          <w:ilvl w:val="0"/>
          <w:numId w:val="12"/>
        </w:numPr>
        <w:rPr>
          <w:rFonts w:cs="Times New Roman"/>
          <w:szCs w:val="24"/>
          <w:lang w:val="sr-Cyrl-CS"/>
        </w:rPr>
      </w:pPr>
      <w:r w:rsidRPr="009F5B52">
        <w:rPr>
          <w:rFonts w:cs="Times New Roman"/>
          <w:b/>
          <w:szCs w:val="24"/>
          <w:lang w:val="sr-Cyrl-CS"/>
        </w:rPr>
        <w:t>Координација</w:t>
      </w:r>
      <w:r w:rsidRPr="009F5B52">
        <w:rPr>
          <w:rFonts w:cs="Times New Roman"/>
          <w:szCs w:val="24"/>
          <w:lang w:val="sr-Cyrl-CS"/>
        </w:rPr>
        <w:t xml:space="preserve">. Будући Фонд за социјално укључивање суочиће се са питањима координације. Координација са дугорочним активностима ресорних министарстава (нпр. буџетски фондови) представљаће посебан изазов. Ови фондови налазе се на истој равни одговорности као и Фонд и поседују могућност утицаја на јавне политике коју поседују и ресорна министарства (за разлику од пројеката који се финансирају екстерним средствима). </w:t>
      </w:r>
    </w:p>
    <w:p w:rsidR="008D62BD" w:rsidRPr="009F5B52" w:rsidRDefault="008D62BD" w:rsidP="008D62BD">
      <w:pPr>
        <w:pStyle w:val="ListParagraph"/>
        <w:numPr>
          <w:ilvl w:val="0"/>
          <w:numId w:val="12"/>
        </w:numPr>
        <w:rPr>
          <w:rFonts w:cs="Times New Roman"/>
          <w:szCs w:val="24"/>
          <w:lang w:val="sr-Cyrl-CS"/>
        </w:rPr>
      </w:pPr>
      <w:r w:rsidRPr="009F5B52">
        <w:rPr>
          <w:rFonts w:cs="Times New Roman"/>
          <w:b/>
          <w:szCs w:val="24"/>
          <w:lang w:val="sr-Cyrl-CS"/>
        </w:rPr>
        <w:t>Партнерство</w:t>
      </w:r>
      <w:r w:rsidRPr="009F5B52">
        <w:rPr>
          <w:rFonts w:cs="Times New Roman"/>
          <w:szCs w:val="24"/>
          <w:lang w:val="sr-Cyrl-CS"/>
        </w:rPr>
        <w:t>. Партнерство између јавног и приватног сектора често се сматра средством за унапређење квалитета и доступности услуга. Међутим, партнерством се унапређује квалитет услуга у мери у којој је партнерство засновано на стручности, а не на критеријумима географске или организационе структуре (нпр. партнерство које окупља НВО, државне органе, локалну самоуправу итд.).</w:t>
      </w:r>
    </w:p>
    <w:p w:rsidR="008D62BD" w:rsidRPr="009F5B52" w:rsidRDefault="008D62BD" w:rsidP="008D62BD">
      <w:pPr>
        <w:pStyle w:val="Heading2"/>
        <w:rPr>
          <w:rStyle w:val="IntenseReference"/>
          <w:b/>
          <w:bCs/>
          <w:smallCaps w:val="0"/>
          <w:color w:val="4F81BD" w:themeColor="accent1"/>
          <w:spacing w:val="0"/>
          <w:u w:val="none"/>
          <w:lang w:val="sr-Cyrl-CS"/>
        </w:rPr>
      </w:pPr>
      <w:bookmarkStart w:id="13" w:name="_Toc327447126"/>
      <w:bookmarkStart w:id="14" w:name="_Toc330562293"/>
      <w:r w:rsidRPr="009F5B52">
        <w:rPr>
          <w:rStyle w:val="IntenseReference"/>
          <w:b/>
          <w:bCs/>
          <w:smallCaps w:val="0"/>
          <w:color w:val="4F81BD" w:themeColor="accent1"/>
          <w:spacing w:val="0"/>
          <w:u w:val="none"/>
          <w:lang w:val="sr-Cyrl-CS"/>
        </w:rPr>
        <w:lastRenderedPageBreak/>
        <w:t xml:space="preserve">1.2. </w:t>
      </w:r>
      <w:bookmarkEnd w:id="13"/>
      <w:r w:rsidRPr="009F5B52">
        <w:rPr>
          <w:rStyle w:val="IntenseReference"/>
          <w:b/>
          <w:bCs/>
          <w:smallCaps w:val="0"/>
          <w:color w:val="4F81BD" w:themeColor="accent1"/>
          <w:spacing w:val="0"/>
          <w:u w:val="none"/>
          <w:lang w:val="sr-Cyrl-CS"/>
        </w:rPr>
        <w:t>Министарства и државни органи</w:t>
      </w:r>
      <w:bookmarkEnd w:id="14"/>
    </w:p>
    <w:p w:rsidR="008D62BD" w:rsidRPr="009F5B52" w:rsidRDefault="008D62BD" w:rsidP="008D62BD">
      <w:pPr>
        <w:rPr>
          <w:rFonts w:cs="Times New Roman"/>
          <w:szCs w:val="24"/>
          <w:lang w:val="sr-Cyrl-CS"/>
        </w:rPr>
      </w:pPr>
      <w:r w:rsidRPr="009F5B52">
        <w:rPr>
          <w:rFonts w:cs="Times New Roman"/>
          <w:szCs w:val="24"/>
          <w:lang w:val="sr-Cyrl-CS"/>
        </w:rPr>
        <w:t>Делокруг рада министарстава Републике Србије дефинисан је Законом о министарствима</w:t>
      </w:r>
      <w:r w:rsidRPr="009F5B52">
        <w:rPr>
          <w:rStyle w:val="FootnoteReference"/>
          <w:rFonts w:cs="Times New Roman"/>
          <w:szCs w:val="24"/>
          <w:lang w:val="sr-Cyrl-CS"/>
        </w:rPr>
        <w:footnoteReference w:id="5"/>
      </w:r>
      <w:r w:rsidRPr="009F5B52">
        <w:rPr>
          <w:rFonts w:cs="Times New Roman"/>
          <w:szCs w:val="24"/>
          <w:lang w:val="sr-Cyrl-CS"/>
        </w:rPr>
        <w:t xml:space="preserve">. </w:t>
      </w:r>
      <w:r w:rsidR="009F5B52" w:rsidRPr="009F5B52">
        <w:rPr>
          <w:rFonts w:cs="Times New Roman"/>
          <w:szCs w:val="24"/>
          <w:lang w:val="sr-Cyrl-CS"/>
        </w:rPr>
        <w:t>T</w:t>
      </w:r>
      <w:r w:rsidRPr="009F5B52">
        <w:rPr>
          <w:rFonts w:cs="Times New Roman"/>
          <w:szCs w:val="24"/>
          <w:lang w:val="sr-Cyrl-CS"/>
        </w:rPr>
        <w:t>ренутно је неколико министарстава задужено за конкретне области социјалног укључивања</w:t>
      </w:r>
      <w:r w:rsidRPr="009F5B52">
        <w:rPr>
          <w:rStyle w:val="FootnoteReference"/>
          <w:rFonts w:cs="Times New Roman"/>
          <w:szCs w:val="24"/>
          <w:lang w:val="sr-Cyrl-CS"/>
        </w:rPr>
        <w:footnoteReference w:id="6"/>
      </w:r>
      <w:r w:rsidRPr="009F5B52">
        <w:rPr>
          <w:rFonts w:cs="Times New Roman"/>
          <w:szCs w:val="24"/>
          <w:lang w:val="sr-Cyrl-CS"/>
        </w:rPr>
        <w:t xml:space="preserve">: Министарство рада и социјалне политике, Министарство просвете и науке, Министарство економије и регионалног развоја, Министарство здравља и Министарство за људска и мањинска права, државну управу и локалну самоуправу. </w:t>
      </w:r>
    </w:p>
    <w:p w:rsidR="008D62BD" w:rsidRPr="009F5B52" w:rsidRDefault="008D62BD" w:rsidP="008D62BD">
      <w:pPr>
        <w:rPr>
          <w:rFonts w:cs="Times New Roman"/>
          <w:szCs w:val="24"/>
          <w:lang w:val="sr-Cyrl-CS"/>
        </w:rPr>
      </w:pPr>
      <w:r w:rsidRPr="009F5B52">
        <w:rPr>
          <w:rFonts w:cs="Times New Roman"/>
          <w:szCs w:val="24"/>
          <w:lang w:val="sr-Cyrl-CS"/>
        </w:rPr>
        <w:t xml:space="preserve">Најважније надлежности ових министарстава обухватају, између осталог: </w:t>
      </w:r>
    </w:p>
    <w:p w:rsidR="008D62BD" w:rsidRPr="009F5B52" w:rsidRDefault="008D62BD" w:rsidP="008D62BD">
      <w:pPr>
        <w:spacing w:after="0"/>
        <w:rPr>
          <w:rFonts w:cs="Times New Roman"/>
          <w:szCs w:val="24"/>
          <w:lang w:val="sr-Cyrl-CS"/>
        </w:rPr>
      </w:pPr>
      <w:r w:rsidRPr="009F5B52">
        <w:rPr>
          <w:rFonts w:cs="Times New Roman"/>
          <w:szCs w:val="24"/>
          <w:lang w:val="sr-Cyrl-CS"/>
        </w:rPr>
        <w:t xml:space="preserve">1. </w:t>
      </w:r>
      <w:r w:rsidRPr="009F5B52">
        <w:rPr>
          <w:rFonts w:cs="Times New Roman"/>
          <w:b/>
          <w:szCs w:val="24"/>
          <w:lang w:val="sr-Cyrl-CS"/>
        </w:rPr>
        <w:t>Mинистарство рада и социјалне политике</w:t>
      </w:r>
      <w:r w:rsidRPr="009F5B52">
        <w:rPr>
          <w:rFonts w:cs="Times New Roman"/>
          <w:szCs w:val="24"/>
          <w:lang w:val="sr-Cyrl-CS"/>
        </w:rPr>
        <w:t>:</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 xml:space="preserve">рад, безбедност и здравље на раду, </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борба против дискриминације,</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 xml:space="preserve">социјална заштита, брига о породици и деци, популациона политика, </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интеграција избеглица и интерно расељених лица, Рома, азиланата, итд,</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борачка заштита,</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 xml:space="preserve">родна равноправност (кроз Управу за родну равноправност); </w:t>
      </w:r>
    </w:p>
    <w:p w:rsidR="008D62BD" w:rsidRPr="009F5B52" w:rsidRDefault="008D62BD" w:rsidP="008D62BD">
      <w:pPr>
        <w:spacing w:after="0"/>
        <w:rPr>
          <w:rFonts w:cs="Times New Roman"/>
          <w:szCs w:val="24"/>
          <w:lang w:val="sr-Cyrl-CS"/>
        </w:rPr>
      </w:pPr>
      <w:r w:rsidRPr="009F5B52">
        <w:rPr>
          <w:rFonts w:cs="Times New Roman"/>
          <w:szCs w:val="24"/>
          <w:lang w:val="sr-Cyrl-CS"/>
        </w:rPr>
        <w:t xml:space="preserve">2. </w:t>
      </w:r>
      <w:r w:rsidRPr="009F5B52">
        <w:rPr>
          <w:rFonts w:cs="Times New Roman"/>
          <w:b/>
          <w:szCs w:val="24"/>
          <w:lang w:val="sr-Cyrl-CS"/>
        </w:rPr>
        <w:t>Министарство просвете и науке</w:t>
      </w:r>
      <w:r w:rsidRPr="009F5B52">
        <w:rPr>
          <w:rFonts w:cs="Times New Roman"/>
          <w:szCs w:val="24"/>
          <w:lang w:val="sr-Cyrl-CS"/>
        </w:rPr>
        <w:t>:</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предшколско, основно, средње и више образовање и васпитање,</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ђачки и студентски стандард,</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образовање одраслих,</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таленти,</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инклузивно образовање;</w:t>
      </w:r>
    </w:p>
    <w:p w:rsidR="008D62BD" w:rsidRPr="009F5B52" w:rsidRDefault="008D62BD" w:rsidP="008D62BD">
      <w:pPr>
        <w:spacing w:after="0"/>
        <w:rPr>
          <w:rFonts w:cs="Times New Roman"/>
          <w:szCs w:val="24"/>
          <w:lang w:val="sr-Cyrl-CS"/>
        </w:rPr>
      </w:pPr>
      <w:r w:rsidRPr="009F5B52">
        <w:rPr>
          <w:rFonts w:cs="Times New Roman"/>
          <w:szCs w:val="24"/>
          <w:lang w:val="sr-Cyrl-CS"/>
        </w:rPr>
        <w:t xml:space="preserve">3. </w:t>
      </w:r>
      <w:r w:rsidRPr="009F5B52">
        <w:rPr>
          <w:rFonts w:cs="Times New Roman"/>
          <w:b/>
          <w:szCs w:val="24"/>
          <w:lang w:val="sr-Cyrl-CS"/>
        </w:rPr>
        <w:t>Министарство економије и регионалног развоја</w:t>
      </w:r>
      <w:r w:rsidRPr="009F5B52">
        <w:rPr>
          <w:rFonts w:cs="Times New Roman"/>
          <w:szCs w:val="24"/>
          <w:lang w:val="sr-Cyrl-CS"/>
        </w:rPr>
        <w:t>:</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незапосленост, активне и пасивне мере тржишта рада, осигурање за случај незапослености,</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миграције на тржишту рада;</w:t>
      </w:r>
    </w:p>
    <w:p w:rsidR="008D62BD" w:rsidRPr="009F5B52" w:rsidRDefault="008D62BD" w:rsidP="008D62BD">
      <w:pPr>
        <w:spacing w:after="0"/>
        <w:rPr>
          <w:rFonts w:cs="Times New Roman"/>
          <w:szCs w:val="24"/>
          <w:lang w:val="sr-Cyrl-CS"/>
        </w:rPr>
      </w:pPr>
      <w:r w:rsidRPr="009F5B52">
        <w:rPr>
          <w:rFonts w:cs="Times New Roman"/>
          <w:szCs w:val="24"/>
          <w:lang w:val="sr-Cyrl-CS"/>
        </w:rPr>
        <w:t xml:space="preserve">4. </w:t>
      </w:r>
      <w:r w:rsidRPr="009F5B52">
        <w:rPr>
          <w:rFonts w:cs="Times New Roman"/>
          <w:b/>
          <w:szCs w:val="24"/>
          <w:lang w:val="sr-Cyrl-CS"/>
        </w:rPr>
        <w:t>Министарство здравља</w:t>
      </w:r>
      <w:r w:rsidRPr="009F5B52">
        <w:rPr>
          <w:rFonts w:cs="Times New Roman"/>
          <w:szCs w:val="24"/>
          <w:lang w:val="sr-Cyrl-CS"/>
        </w:rPr>
        <w:t>:</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систем здравствене заштите, здравствено осигурање;</w:t>
      </w:r>
    </w:p>
    <w:p w:rsidR="008D62BD" w:rsidRPr="009F5B52" w:rsidRDefault="008D62BD" w:rsidP="008D62BD">
      <w:pPr>
        <w:spacing w:after="0"/>
        <w:rPr>
          <w:rFonts w:cs="Times New Roman"/>
          <w:szCs w:val="24"/>
          <w:lang w:val="sr-Cyrl-CS"/>
        </w:rPr>
      </w:pPr>
      <w:r w:rsidRPr="009F5B52">
        <w:rPr>
          <w:rFonts w:cs="Times New Roman"/>
          <w:szCs w:val="24"/>
          <w:lang w:val="sr-Cyrl-CS"/>
        </w:rPr>
        <w:t xml:space="preserve">5. </w:t>
      </w:r>
      <w:r w:rsidRPr="009F5B52">
        <w:rPr>
          <w:rFonts w:cs="Times New Roman"/>
          <w:b/>
          <w:szCs w:val="24"/>
          <w:lang w:val="sr-Cyrl-CS"/>
        </w:rPr>
        <w:t>Mинистарство за људска и мањинска права, државну управу и локалну самоуправу</w:t>
      </w:r>
      <w:r w:rsidRPr="009F5B52">
        <w:rPr>
          <w:rFonts w:cs="Times New Roman"/>
          <w:szCs w:val="24"/>
          <w:lang w:val="sr-Cyrl-CS"/>
        </w:rPr>
        <w:t>:</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 xml:space="preserve">права националних мањина, људска и мањинска права, </w:t>
      </w:r>
    </w:p>
    <w:p w:rsidR="008D62BD" w:rsidRPr="009F5B52" w:rsidRDefault="008D62BD" w:rsidP="008D62BD">
      <w:pPr>
        <w:pStyle w:val="ListParagraph"/>
        <w:numPr>
          <w:ilvl w:val="0"/>
          <w:numId w:val="3"/>
        </w:numPr>
        <w:spacing w:after="0" w:line="240" w:lineRule="auto"/>
        <w:rPr>
          <w:rFonts w:cs="Times New Roman"/>
          <w:szCs w:val="24"/>
          <w:lang w:val="sr-Cyrl-CS"/>
        </w:rPr>
      </w:pPr>
      <w:r w:rsidRPr="009F5B52">
        <w:rPr>
          <w:rFonts w:cs="Times New Roman"/>
          <w:szCs w:val="24"/>
          <w:lang w:val="sr-Cyrl-CS"/>
        </w:rPr>
        <w:t>положај ромског становништва.</w:t>
      </w:r>
    </w:p>
    <w:p w:rsidR="008D62BD" w:rsidRPr="009F5B52" w:rsidRDefault="008D62BD" w:rsidP="008D62BD">
      <w:pPr>
        <w:rPr>
          <w:rFonts w:cs="Times New Roman"/>
          <w:szCs w:val="24"/>
          <w:lang w:val="sr-Cyrl-CS"/>
        </w:rPr>
      </w:pPr>
      <w:r w:rsidRPr="009F5B52">
        <w:rPr>
          <w:rFonts w:cs="Times New Roman"/>
          <w:szCs w:val="24"/>
          <w:lang w:val="sr-Cyrl-CS"/>
        </w:rPr>
        <w:lastRenderedPageBreak/>
        <w:t>Очигледно је да се различити аспекти социјалног укључивања налазе у склопу мандата различитих министарстава. Окружење у Републици Србији садржи низ других релевантних актера:</w:t>
      </w:r>
    </w:p>
    <w:p w:rsidR="008D62BD" w:rsidRPr="009F5B52" w:rsidRDefault="008D62BD" w:rsidP="008D62BD">
      <w:pPr>
        <w:pStyle w:val="ListParagraph"/>
        <w:numPr>
          <w:ilvl w:val="0"/>
          <w:numId w:val="4"/>
        </w:numPr>
        <w:rPr>
          <w:rFonts w:cs="Times New Roman"/>
          <w:szCs w:val="24"/>
          <w:lang w:val="sr-Cyrl-CS"/>
        </w:rPr>
      </w:pPr>
      <w:r w:rsidRPr="009F5B52">
        <w:rPr>
          <w:rFonts w:cs="Times New Roman"/>
          <w:b/>
          <w:szCs w:val="24"/>
          <w:lang w:val="sr-Cyrl-CS"/>
        </w:rPr>
        <w:t>специјализоване органе</w:t>
      </w:r>
      <w:r w:rsidRPr="009F5B52">
        <w:rPr>
          <w:rFonts w:cs="Times New Roman"/>
          <w:szCs w:val="24"/>
          <w:lang w:val="sr-Cyrl-CS"/>
        </w:rPr>
        <w:t xml:space="preserve"> задужене за анализу, односно спровођење релевантних секторских политика, као што су: Републички завод за социјалну заштиту, Покрајински завод за социјалну заштиту и Национална служба за запошљавање;</w:t>
      </w:r>
    </w:p>
    <w:p w:rsidR="008D62BD" w:rsidRPr="009F5B52" w:rsidRDefault="008D62BD" w:rsidP="008D62BD">
      <w:pPr>
        <w:pStyle w:val="ListParagraph"/>
        <w:numPr>
          <w:ilvl w:val="0"/>
          <w:numId w:val="4"/>
        </w:numPr>
        <w:rPr>
          <w:rFonts w:cs="Times New Roman"/>
          <w:szCs w:val="24"/>
          <w:lang w:val="sr-Cyrl-CS"/>
        </w:rPr>
      </w:pPr>
      <w:r w:rsidRPr="009F5B52">
        <w:rPr>
          <w:rFonts w:cs="Times New Roman"/>
          <w:b/>
          <w:szCs w:val="24"/>
          <w:lang w:val="sr-Cyrl-CS"/>
        </w:rPr>
        <w:t>независн</w:t>
      </w:r>
      <w:r w:rsidR="005A542B" w:rsidRPr="009F5B52">
        <w:rPr>
          <w:rFonts w:cs="Times New Roman"/>
          <w:b/>
          <w:szCs w:val="24"/>
          <w:lang w:val="sr-Cyrl-CS"/>
        </w:rPr>
        <w:t>а</w:t>
      </w:r>
      <w:r w:rsidRPr="009F5B52">
        <w:rPr>
          <w:rFonts w:cs="Times New Roman"/>
          <w:b/>
          <w:szCs w:val="24"/>
          <w:lang w:val="sr-Cyrl-CS"/>
        </w:rPr>
        <w:t xml:space="preserve"> </w:t>
      </w:r>
      <w:r w:rsidR="005A542B" w:rsidRPr="009F5B52">
        <w:rPr>
          <w:rFonts w:cs="Times New Roman"/>
          <w:b/>
          <w:szCs w:val="24"/>
          <w:lang w:val="sr-Cyrl-CS"/>
        </w:rPr>
        <w:t>тела,</w:t>
      </w:r>
      <w:r w:rsidRPr="009F5B52">
        <w:rPr>
          <w:rFonts w:cs="Times New Roman"/>
          <w:szCs w:val="24"/>
          <w:lang w:val="sr-Cyrl-CS"/>
        </w:rPr>
        <w:t xml:space="preserve"> као што су Повереник за заштиту равноправности, Повереник за информације од јавног значаја и заштиту података о личности, канцеларија Заштитника грађана итд;</w:t>
      </w:r>
    </w:p>
    <w:p w:rsidR="008D62BD" w:rsidRPr="009F5B52" w:rsidRDefault="008D62BD" w:rsidP="008D62BD">
      <w:pPr>
        <w:pStyle w:val="ListParagraph"/>
        <w:numPr>
          <w:ilvl w:val="0"/>
          <w:numId w:val="4"/>
        </w:numPr>
        <w:rPr>
          <w:rFonts w:cs="Times New Roman"/>
          <w:szCs w:val="24"/>
          <w:lang w:val="sr-Cyrl-CS"/>
        </w:rPr>
      </w:pPr>
      <w:r w:rsidRPr="009F5B52">
        <w:rPr>
          <w:rFonts w:cs="Times New Roman"/>
          <w:b/>
          <w:szCs w:val="24"/>
          <w:lang w:val="sr-Cyrl-CS"/>
        </w:rPr>
        <w:t>остала релевантна тела</w:t>
      </w:r>
      <w:r w:rsidRPr="009F5B52">
        <w:rPr>
          <w:rFonts w:cs="Times New Roman"/>
          <w:szCs w:val="24"/>
          <w:lang w:val="sr-Cyrl-CS"/>
        </w:rPr>
        <w:t xml:space="preserve"> као што су: Социјално-економски савет, Савет за родну равноправност, Група за спровођење Стратегије за унапређивање положаја Рома (у склопу Министарства за људска и мањинска права);</w:t>
      </w:r>
    </w:p>
    <w:p w:rsidR="008D62BD" w:rsidRPr="009F5B52" w:rsidRDefault="008D62BD" w:rsidP="008D62BD">
      <w:pPr>
        <w:pStyle w:val="ListParagraph"/>
        <w:numPr>
          <w:ilvl w:val="0"/>
          <w:numId w:val="4"/>
        </w:numPr>
        <w:rPr>
          <w:rFonts w:cs="Times New Roman"/>
          <w:szCs w:val="24"/>
          <w:lang w:val="sr-Cyrl-CS"/>
        </w:rPr>
      </w:pPr>
      <w:r w:rsidRPr="009F5B52">
        <w:rPr>
          <w:rFonts w:cs="Times New Roman"/>
          <w:b/>
          <w:szCs w:val="24"/>
          <w:lang w:val="sr-Cyrl-CS"/>
        </w:rPr>
        <w:t>Тим за социјално укључивање и смањење сиромаштва</w:t>
      </w:r>
      <w:r w:rsidRPr="009F5B52">
        <w:rPr>
          <w:rFonts w:cs="Times New Roman"/>
          <w:szCs w:val="24"/>
          <w:lang w:val="sr-Cyrl-CS"/>
        </w:rPr>
        <w:t xml:space="preserve"> у Кабинету потпредседника Владе</w:t>
      </w:r>
      <w:r w:rsidR="005A542B" w:rsidRPr="009F5B52">
        <w:rPr>
          <w:rFonts w:cs="Times New Roman"/>
          <w:szCs w:val="24"/>
          <w:lang w:val="sr-Cyrl-CS"/>
        </w:rPr>
        <w:t xml:space="preserve"> за европске интеграције</w:t>
      </w:r>
      <w:r w:rsidRPr="009F5B52">
        <w:rPr>
          <w:rStyle w:val="FootnoteReference"/>
          <w:rFonts w:cs="Times New Roman"/>
          <w:szCs w:val="24"/>
          <w:lang w:val="sr-Cyrl-CS"/>
        </w:rPr>
        <w:footnoteReference w:id="7"/>
      </w:r>
      <w:r w:rsidR="00C73A6B" w:rsidRPr="009F5B52">
        <w:rPr>
          <w:rFonts w:cs="Times New Roman"/>
          <w:szCs w:val="24"/>
          <w:lang w:val="sr-Cyrl-CS"/>
        </w:rPr>
        <w:t>.</w:t>
      </w:r>
      <w:r w:rsidRPr="009F5B52">
        <w:rPr>
          <w:rFonts w:cs="Times New Roman"/>
          <w:szCs w:val="24"/>
          <w:lang w:val="sr-Cyrl-CS"/>
        </w:rPr>
        <w:t xml:space="preserve"> Одлуком Владе, улога координације министарстава и других органа Владе у вези са применом политика социјалног укључивања додељена је потпредседнику Владе, односно Тиму за социјално укључивање и смањење сиромаштва. Радна група за социјално укључивање образована је 2010. године на нивоу Владе Републике Србије. </w:t>
      </w:r>
    </w:p>
    <w:p w:rsidR="00C73A6B" w:rsidRPr="009F5B52" w:rsidRDefault="00C73A6B" w:rsidP="00C73A6B">
      <w:pPr>
        <w:pStyle w:val="Heading2"/>
        <w:rPr>
          <w:rStyle w:val="IntenseReference"/>
          <w:b/>
          <w:bCs/>
          <w:smallCaps w:val="0"/>
          <w:color w:val="4F81BD" w:themeColor="accent1"/>
          <w:spacing w:val="0"/>
          <w:u w:val="none"/>
          <w:lang w:val="sr-Cyrl-CS"/>
        </w:rPr>
      </w:pPr>
      <w:bookmarkStart w:id="15" w:name="_Toc328377431"/>
      <w:bookmarkStart w:id="16" w:name="_Toc330562294"/>
      <w:r w:rsidRPr="009F5B52">
        <w:rPr>
          <w:rStyle w:val="IntenseReference"/>
          <w:b/>
          <w:bCs/>
          <w:smallCaps w:val="0"/>
          <w:color w:val="4F81BD" w:themeColor="accent1"/>
          <w:spacing w:val="0"/>
          <w:u w:val="none"/>
          <w:lang w:val="sr-Cyrl-CS"/>
        </w:rPr>
        <w:t>1.3. Координирање међусекторских политика</w:t>
      </w:r>
      <w:bookmarkEnd w:id="15"/>
      <w:bookmarkEnd w:id="16"/>
    </w:p>
    <w:p w:rsidR="00C73A6B" w:rsidRPr="009F5B52" w:rsidRDefault="00C73A6B" w:rsidP="00C73A6B">
      <w:pPr>
        <w:rPr>
          <w:rFonts w:cs="Times New Roman"/>
          <w:szCs w:val="24"/>
          <w:lang w:val="sr-Cyrl-CS"/>
        </w:rPr>
      </w:pPr>
      <w:r w:rsidRPr="009F5B52">
        <w:rPr>
          <w:rFonts w:cs="Times New Roman"/>
          <w:szCs w:val="24"/>
          <w:lang w:val="sr-Cyrl-CS"/>
        </w:rPr>
        <w:t xml:space="preserve">Министарства у Републици Србији успостављена су на основу Закона о министарствима, и њихова структура и надлежности могу бити веома различити. Међутим, министарства увек имају </w:t>
      </w:r>
      <w:r w:rsidRPr="009F5B52">
        <w:rPr>
          <w:rFonts w:cs="Times New Roman"/>
          <w:b/>
          <w:szCs w:val="24"/>
          <w:lang w:val="sr-Cyrl-CS"/>
        </w:rPr>
        <w:t xml:space="preserve">строго подељене области за које су надлежна, што често знатно отежава управљање међусекторским и вишесекторским питањима. </w:t>
      </w:r>
      <w:r w:rsidRPr="009F5B52">
        <w:rPr>
          <w:rFonts w:cs="Times New Roman"/>
          <w:szCs w:val="24"/>
          <w:lang w:val="sr-Cyrl-CS"/>
        </w:rPr>
        <w:t>Ово је последица а) правног и институционалног окружења које одликују раздвојене надлежности, б) политичког система у којем најчешће једна странка има контролу над једним министарством и в) организационе културе која не подстиче мобилност државних службеника између министарстава</w:t>
      </w:r>
      <w:r w:rsidRPr="009F5B52">
        <w:rPr>
          <w:rStyle w:val="FootnoteReference"/>
          <w:rFonts w:cs="Times New Roman"/>
          <w:szCs w:val="24"/>
          <w:lang w:val="sr-Cyrl-CS"/>
        </w:rPr>
        <w:footnoteReference w:id="8"/>
      </w:r>
      <w:r w:rsidRPr="009F5B52">
        <w:rPr>
          <w:rFonts w:cs="Times New Roman"/>
          <w:szCs w:val="24"/>
          <w:lang w:val="sr-Cyrl-CS"/>
        </w:rPr>
        <w:t xml:space="preserve">. </w:t>
      </w:r>
    </w:p>
    <w:p w:rsidR="00B10A97" w:rsidRPr="009F5B52" w:rsidRDefault="00C73A6B" w:rsidP="00B10A97">
      <w:pPr>
        <w:rPr>
          <w:lang w:val="sr-Cyrl-CS"/>
        </w:rPr>
      </w:pPr>
      <w:r w:rsidRPr="009F5B52">
        <w:rPr>
          <w:lang w:val="sr-Cyrl-CS"/>
        </w:rPr>
        <w:t xml:space="preserve">Додатно, институционално окружење у Србији је презасићено различитим министарствима и јавним телима надлежним за питања социјалног укључивања. </w:t>
      </w:r>
      <w:r w:rsidRPr="009F5B52">
        <w:rPr>
          <w:rFonts w:cs="Times New Roman"/>
          <w:szCs w:val="24"/>
          <w:lang w:val="sr-Cyrl-CS"/>
        </w:rPr>
        <w:t xml:space="preserve">Према различитим анализама наведеним у овој студији, још увек постоји простор за унапређење сарадње међу њима. </w:t>
      </w:r>
      <w:r w:rsidRPr="009F5B52">
        <w:rPr>
          <w:lang w:val="sr-Cyrl-CS"/>
        </w:rPr>
        <w:t xml:space="preserve">Такође, присутан је недостатак захтева и подстицаја међусекторској сарадњи, као последица великог броја фактора, што доводи до </w:t>
      </w:r>
      <w:r w:rsidR="00B10A97" w:rsidRPr="009F5B52">
        <w:rPr>
          <w:lang w:val="sr-Cyrl-CS"/>
        </w:rPr>
        <w:t>фрагментиран</w:t>
      </w:r>
      <w:r w:rsidR="00F064E5" w:rsidRPr="009F5B52">
        <w:rPr>
          <w:lang w:val="sr-Cyrl-CS"/>
        </w:rPr>
        <w:t>их</w:t>
      </w:r>
      <w:r w:rsidR="00B10A97" w:rsidRPr="009F5B52">
        <w:rPr>
          <w:lang w:val="sr-Cyrl-CS"/>
        </w:rPr>
        <w:t xml:space="preserve"> и недовољно ефикасних секторских мера намењених социјалном </w:t>
      </w:r>
      <w:r w:rsidR="00B10A97" w:rsidRPr="009F5B52">
        <w:rPr>
          <w:lang w:val="sr-Cyrl-CS"/>
        </w:rPr>
        <w:lastRenderedPageBreak/>
        <w:t xml:space="preserve">укључивању. Већина мера социјалног укључивања (нпр. унапређење положаја Рома, инклузивно образовање, активно старење, разноврсне услуге социјалне заштите у заједници, итд) по својој природи захтевају ближу сарадњу између министарстава, и још важније – свакодневни </w:t>
      </w:r>
      <w:r w:rsidR="002B41CF" w:rsidRPr="009F5B52">
        <w:rPr>
          <w:lang w:val="sr-Cyrl-CS"/>
        </w:rPr>
        <w:t xml:space="preserve">заједнички </w:t>
      </w:r>
      <w:r w:rsidR="00B10A97" w:rsidRPr="009F5B52">
        <w:rPr>
          <w:lang w:val="sr-Cyrl-CS"/>
        </w:rPr>
        <w:t xml:space="preserve">рад у фази спровођења. </w:t>
      </w:r>
    </w:p>
    <w:p w:rsidR="00C73A6B" w:rsidRPr="009F5B52" w:rsidRDefault="00C73A6B" w:rsidP="00C73A6B">
      <w:pPr>
        <w:rPr>
          <w:rFonts w:cs="Times New Roman"/>
          <w:szCs w:val="24"/>
          <w:lang w:val="sr-Cyrl-CS"/>
        </w:rPr>
      </w:pPr>
      <w:r w:rsidRPr="009F5B52">
        <w:rPr>
          <w:rFonts w:cs="Times New Roman"/>
          <w:b/>
          <w:szCs w:val="24"/>
          <w:lang w:val="sr-Cyrl-CS"/>
        </w:rPr>
        <w:t>Стратешки приступ који министарства често примењују јесте креирање међуресорних тела или савета за координацију</w:t>
      </w:r>
      <w:r w:rsidRPr="009F5B52">
        <w:rPr>
          <w:rFonts w:cs="Times New Roman"/>
          <w:szCs w:val="24"/>
          <w:lang w:val="sr-Cyrl-CS"/>
        </w:rPr>
        <w:t>. Ова тела су често неефикасна из више разлога: државни службеници на нижим позицијама немају овлашћење да доносе одлуке, постоје правне и политичке препреке, итд. У складу са тим, низ програма је покушао да превазиђе проблем непостојања координације на националном нивоу креирањем различитих механизама координације на локалном нивоу. Расположиви подаци указују на то привремена координациона тела не успевају да утичу на питање координације јавн</w:t>
      </w:r>
      <w:r w:rsidR="00C7528D" w:rsidRPr="009F5B52">
        <w:rPr>
          <w:rFonts w:cs="Times New Roman"/>
          <w:szCs w:val="24"/>
          <w:lang w:val="sr-Cyrl-CS"/>
        </w:rPr>
        <w:t>и</w:t>
      </w:r>
      <w:r w:rsidRPr="009F5B52">
        <w:rPr>
          <w:rFonts w:cs="Times New Roman"/>
          <w:szCs w:val="24"/>
          <w:lang w:val="sr-Cyrl-CS"/>
        </w:rPr>
        <w:t>х политика уколико не дође и до промене правног и институционалног оквира</w:t>
      </w:r>
      <w:r w:rsidRPr="009F5B52">
        <w:rPr>
          <w:rStyle w:val="FootnoteReference"/>
          <w:rFonts w:cs="Times New Roman"/>
          <w:szCs w:val="24"/>
          <w:lang w:val="sr-Cyrl-CS"/>
        </w:rPr>
        <w:footnoteReference w:id="9"/>
      </w:r>
      <w:r w:rsidRPr="009F5B52">
        <w:rPr>
          <w:rFonts w:cs="Times New Roman"/>
          <w:szCs w:val="24"/>
          <w:lang w:val="sr-Cyrl-CS"/>
        </w:rPr>
        <w:t xml:space="preserve">. </w:t>
      </w:r>
    </w:p>
    <w:p w:rsidR="00C73A6B" w:rsidRPr="009F5B52" w:rsidRDefault="00C73A6B" w:rsidP="00C73A6B">
      <w:pPr>
        <w:rPr>
          <w:rFonts w:cs="Times New Roman"/>
          <w:szCs w:val="24"/>
          <w:lang w:val="sr-Cyrl-CS"/>
        </w:rPr>
      </w:pPr>
      <w:r w:rsidRPr="009F5B52">
        <w:rPr>
          <w:rFonts w:cs="Times New Roman"/>
          <w:szCs w:val="24"/>
          <w:lang w:val="sr-Cyrl-CS"/>
        </w:rPr>
        <w:t xml:space="preserve">Као што је наведено у извештају </w:t>
      </w:r>
      <w:r w:rsidRPr="009F5B52">
        <w:rPr>
          <w:rFonts w:cs="Times New Roman"/>
          <w:i/>
          <w:szCs w:val="24"/>
          <w:lang w:val="sr-Cyrl-CS"/>
        </w:rPr>
        <w:t>SIGMA 2011 Assessment Serbia</w:t>
      </w:r>
      <w:r w:rsidRPr="009F5B52">
        <w:rPr>
          <w:rStyle w:val="FootnoteReference"/>
          <w:rFonts w:cs="Times New Roman"/>
          <w:szCs w:val="24"/>
          <w:lang w:val="sr-Cyrl-CS"/>
        </w:rPr>
        <w:footnoteReference w:id="10"/>
      </w:r>
      <w:r w:rsidRPr="009F5B52">
        <w:rPr>
          <w:rFonts w:cs="Times New Roman"/>
          <w:szCs w:val="24"/>
          <w:lang w:val="sr-Cyrl-CS"/>
        </w:rPr>
        <w:t>, на нивоу Кабинета потпредседника Владе спроводи се ограничен ниво координације. У овом тренутку, ову координацију врши Тим за социјално укључивање и смањење сиромаштва (SIPRU) у оквиру Кабинета председника Владе. Испред Кабинета, Тим подстиче координацију рада министарстава у одређеним областима. Тим има ограничену стратешку улогу у у погледу социјалних питања, док други кабинети потпредседника Владе немају овакву функцију. На централном нивоу Владе не постоји систем стратешког планирања, као ни капацитети за пружање стратешког саветовања. Међутим, постоје планови за развијање система стратешког планирања, који се разматрају у Генералном секретаријату, иако их Влада још увек није одобрила</w:t>
      </w:r>
      <w:r w:rsidRPr="009F5B52">
        <w:rPr>
          <w:rStyle w:val="FootnoteReference"/>
          <w:rFonts w:cs="Times New Roman"/>
          <w:szCs w:val="24"/>
          <w:lang w:val="sr-Cyrl-CS"/>
        </w:rPr>
        <w:footnoteReference w:id="11"/>
      </w:r>
      <w:r w:rsidRPr="009F5B52">
        <w:rPr>
          <w:rFonts w:cs="Times New Roman"/>
          <w:szCs w:val="24"/>
          <w:lang w:val="sr-Cyrl-CS"/>
        </w:rPr>
        <w:t>.</w:t>
      </w:r>
    </w:p>
    <w:p w:rsidR="00C73A6B" w:rsidRPr="009F5B52" w:rsidRDefault="00C73A6B" w:rsidP="00C73A6B">
      <w:pPr>
        <w:rPr>
          <w:rFonts w:cs="Times New Roman"/>
          <w:szCs w:val="24"/>
          <w:lang w:val="sr-Cyrl-CS"/>
        </w:rPr>
      </w:pPr>
      <w:r w:rsidRPr="009F5B52">
        <w:rPr>
          <w:rFonts w:cs="Times New Roman"/>
          <w:szCs w:val="24"/>
          <w:lang w:val="sr-Cyrl-CS"/>
        </w:rPr>
        <w:t xml:space="preserve">Поред наведеног, Влада Републике Србије мора имати у виду потребу за координирањем различитих пројеката. Питање координације мора бити решено с обзиром на оквир планирања буџета ЕУ, као и оквире међународних финансијских институција и других релевантних донатора. Координирање рада пројеката представља изазов (јер их спроводе различита министарства и уговорне агенције, које имају различите нивое одговорности, итд). </w:t>
      </w:r>
    </w:p>
    <w:p w:rsidR="00D82D28" w:rsidRPr="009F5B52" w:rsidRDefault="00D82D28" w:rsidP="00C7528D">
      <w:pPr>
        <w:rPr>
          <w:rFonts w:cs="Times New Roman"/>
          <w:szCs w:val="24"/>
          <w:lang w:val="sr-Cyrl-CS"/>
        </w:rPr>
      </w:pPr>
      <w:r w:rsidRPr="009F5B52">
        <w:rPr>
          <w:rFonts w:cs="Times New Roman"/>
          <w:szCs w:val="24"/>
          <w:lang w:val="sr-Cyrl-CS"/>
        </w:rPr>
        <w:t>Коначно, потреба за ближом сарадњом ће бити очигледна у блиској будућности</w:t>
      </w:r>
      <w:r w:rsidR="00AA7B67" w:rsidRPr="009F5B52">
        <w:rPr>
          <w:rFonts w:cs="Times New Roman"/>
          <w:szCs w:val="24"/>
          <w:lang w:val="sr-Cyrl-CS"/>
        </w:rPr>
        <w:t>,</w:t>
      </w:r>
      <w:r w:rsidRPr="009F5B52">
        <w:rPr>
          <w:rFonts w:cs="Times New Roman"/>
          <w:szCs w:val="24"/>
          <w:lang w:val="sr-Cyrl-CS"/>
        </w:rPr>
        <w:t xml:space="preserve"> када Србија буде потписала Заједнички меморандум о укључивању (ЗМУ)</w:t>
      </w:r>
      <w:r w:rsidR="00C7528D" w:rsidRPr="009F5B52">
        <w:rPr>
          <w:rStyle w:val="FootnoteReference"/>
          <w:rFonts w:cs="Times New Roman"/>
          <w:szCs w:val="24"/>
          <w:lang w:val="sr-Cyrl-CS"/>
        </w:rPr>
        <w:footnoteReference w:id="12"/>
      </w:r>
      <w:r w:rsidR="00C7528D" w:rsidRPr="009F5B52">
        <w:rPr>
          <w:rFonts w:cs="Times New Roman"/>
          <w:szCs w:val="24"/>
          <w:lang w:val="sr-Cyrl-CS"/>
        </w:rPr>
        <w:t xml:space="preserve"> </w:t>
      </w:r>
      <w:r w:rsidRPr="009F5B52">
        <w:rPr>
          <w:rFonts w:cs="Times New Roman"/>
          <w:szCs w:val="24"/>
          <w:lang w:val="sr-Cyrl-CS"/>
        </w:rPr>
        <w:t xml:space="preserve">са Европском комисијом, као што је то био случај са осталим државама чланицама ЕУ. Ови документи се припремају ради подршке државама кандидатима за чланство да реформишу своје системе социјалне заштите. Они пружају чврсту основу за будуће </w:t>
      </w:r>
      <w:r w:rsidRPr="009F5B52">
        <w:rPr>
          <w:rFonts w:cs="Times New Roman"/>
          <w:szCs w:val="24"/>
          <w:lang w:val="sr-Cyrl-CS"/>
        </w:rPr>
        <w:lastRenderedPageBreak/>
        <w:t>учествовање у социјалном Отвореном методу координације</w:t>
      </w:r>
      <w:r w:rsidR="00C7528D" w:rsidRPr="009F5B52">
        <w:rPr>
          <w:rStyle w:val="FootnoteReference"/>
          <w:rFonts w:cs="Times New Roman"/>
          <w:szCs w:val="24"/>
          <w:lang w:val="sr-Cyrl-CS"/>
        </w:rPr>
        <w:footnoteReference w:id="13"/>
      </w:r>
      <w:r w:rsidR="00C7528D" w:rsidRPr="009F5B52">
        <w:rPr>
          <w:rFonts w:cs="Times New Roman"/>
          <w:szCs w:val="24"/>
          <w:lang w:val="sr-Cyrl-CS"/>
        </w:rPr>
        <w:t xml:space="preserve"> </w:t>
      </w:r>
      <w:r w:rsidRPr="009F5B52">
        <w:rPr>
          <w:rFonts w:cs="Times New Roman"/>
          <w:szCs w:val="24"/>
          <w:lang w:val="sr-Cyrl-CS"/>
        </w:rPr>
        <w:t xml:space="preserve">и помажу државама у усклађивању националних политика </w:t>
      </w:r>
      <w:r w:rsidR="00AA7B67" w:rsidRPr="009F5B52">
        <w:rPr>
          <w:rFonts w:cs="Times New Roman"/>
          <w:szCs w:val="24"/>
          <w:lang w:val="sr-Cyrl-CS"/>
        </w:rPr>
        <w:t>с</w:t>
      </w:r>
      <w:r w:rsidRPr="009F5B52">
        <w:rPr>
          <w:rFonts w:cs="Times New Roman"/>
          <w:szCs w:val="24"/>
          <w:lang w:val="sr-Cyrl-CS"/>
        </w:rPr>
        <w:t xml:space="preserve">а заједничким циљевима ЕУ. Међутим, најтежи посао </w:t>
      </w:r>
      <w:r w:rsidR="00AA7B67" w:rsidRPr="009F5B52">
        <w:rPr>
          <w:rFonts w:cs="Times New Roman"/>
          <w:szCs w:val="24"/>
          <w:lang w:val="sr-Cyrl-CS"/>
        </w:rPr>
        <w:t>следи</w:t>
      </w:r>
      <w:r w:rsidRPr="009F5B52">
        <w:rPr>
          <w:rFonts w:cs="Times New Roman"/>
          <w:szCs w:val="24"/>
          <w:lang w:val="sr-Cyrl-CS"/>
        </w:rPr>
        <w:t xml:space="preserve"> након што државе потпишу ЗМУ, </w:t>
      </w:r>
      <w:r w:rsidR="00AA7B67" w:rsidRPr="009F5B52">
        <w:rPr>
          <w:rFonts w:cs="Times New Roman"/>
          <w:szCs w:val="24"/>
          <w:lang w:val="sr-Cyrl-CS"/>
        </w:rPr>
        <w:t xml:space="preserve">када почиње процес праћења примене. То подразумева примену и праћење политика, са циљем унапређења социјалне укључености и социјалне заштите. </w:t>
      </w:r>
    </w:p>
    <w:p w:rsidR="008D62BD" w:rsidRPr="009F5B52" w:rsidRDefault="00E00747" w:rsidP="008D62BD">
      <w:pPr>
        <w:rPr>
          <w:rFonts w:cs="Times New Roman"/>
          <w:szCs w:val="24"/>
          <w:lang w:val="sr-Cyrl-CS"/>
        </w:rPr>
      </w:pPr>
      <w:r w:rsidRPr="009F5B52">
        <w:rPr>
          <w:rFonts w:cs="Times New Roman"/>
          <w:noProof/>
          <w:szCs w:val="24"/>
          <w:lang w:val="sr-Cyrl-RS" w:eastAsia="sr-Cyrl-RS"/>
        </w:rPr>
        <mc:AlternateContent>
          <mc:Choice Requires="wps">
            <w:drawing>
              <wp:anchor distT="0" distB="0" distL="114300" distR="114300" simplePos="0" relativeHeight="251709440" behindDoc="0" locked="0" layoutInCell="1" allowOverlap="1" wp14:anchorId="613D0B45" wp14:editId="7DE636F2">
                <wp:simplePos x="0" y="0"/>
                <wp:positionH relativeFrom="column">
                  <wp:posOffset>-95693</wp:posOffset>
                </wp:positionH>
                <wp:positionV relativeFrom="paragraph">
                  <wp:posOffset>8019</wp:posOffset>
                </wp:positionV>
                <wp:extent cx="5835650" cy="786809"/>
                <wp:effectExtent l="0" t="0" r="12700" b="13335"/>
                <wp:wrapNone/>
                <wp:docPr id="9"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786809"/>
                        </a:xfrm>
                        <a:prstGeom prst="rect">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172313" w:rsidRPr="0016541C" w:rsidRDefault="00172313" w:rsidP="008D62BD">
                            <w:pPr>
                              <w:rPr>
                                <w:b/>
                                <w:i/>
                                <w:lang w:val="sr-Cyrl-CS"/>
                              </w:rPr>
                            </w:pPr>
                            <w:r w:rsidRPr="0016541C">
                              <w:rPr>
                                <w:b/>
                                <w:i/>
                                <w:lang w:val="sr-Cyrl-CS"/>
                              </w:rPr>
                              <w:t>Сарадња међу министарствима и државним органима који покривају области социјалног укључивања и координациј</w:t>
                            </w:r>
                            <w:r>
                              <w:rPr>
                                <w:b/>
                                <w:i/>
                                <w:lang w:val="sr-Cyrl-CS"/>
                              </w:rPr>
                              <w:t>е</w:t>
                            </w:r>
                            <w:r w:rsidRPr="0016541C">
                              <w:rPr>
                                <w:b/>
                                <w:i/>
                                <w:lang w:val="sr-Cyrl-CS"/>
                              </w:rPr>
                              <w:t xml:space="preserve"> политика </w:t>
                            </w:r>
                            <w:r>
                              <w:rPr>
                                <w:b/>
                                <w:i/>
                                <w:lang w:val="sr-Cyrl-CS"/>
                              </w:rPr>
                              <w:t xml:space="preserve">у фази спровођења </w:t>
                            </w:r>
                            <w:r w:rsidRPr="0016541C">
                              <w:rPr>
                                <w:b/>
                                <w:i/>
                                <w:lang w:val="sr-Cyrl-CS"/>
                              </w:rPr>
                              <w:t xml:space="preserve">представља </w:t>
                            </w:r>
                            <w:r w:rsidRPr="00AD5263">
                              <w:rPr>
                                <w:rFonts w:cs="Times New Roman"/>
                                <w:b/>
                                <w:i/>
                                <w:szCs w:val="24"/>
                                <w:lang w:val="sr-Cyrl-CS"/>
                              </w:rPr>
                              <w:t xml:space="preserve">једно од горућих питања </w:t>
                            </w:r>
                            <w:r w:rsidRPr="0016541C">
                              <w:rPr>
                                <w:b/>
                                <w:i/>
                                <w:lang w:val="sr-Cyrl-CS"/>
                              </w:rPr>
                              <w:t>за Владу Републике Србије.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ounded Rectangle 12" o:spid="_x0000_s1027" style="position:absolute;left:0;text-align:left;margin-left:-7.55pt;margin-top:.65pt;width:459.5pt;height:6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" fillcolor="#d8d8d8 [2732]" strokecolor="black [3213]" strokeweight="1pt">
                <v:shadow color="black" opacity="24903f" origin=",.5" offset="0,.55556mm"/>
                <v:path arrowok="t"/>
                <v:textbox>
                  <w:txbxContent>
                    <w:p w:rsidR="00172313" w:rsidRPr="0016541C" w:rsidRDefault="00172313" w:rsidP="008D62BD">
                      <w:pPr>
                        <w:rPr>
                          <w:b/>
                          <w:i/>
                          <w:lang w:val="sr-Cyrl-CS"/>
                        </w:rPr>
                      </w:pPr>
                      <w:r w:rsidRPr="0016541C">
                        <w:rPr>
                          <w:b/>
                          <w:i/>
                          <w:lang w:val="sr-Cyrl-CS"/>
                        </w:rPr>
                        <w:t>Сарадња међу министарствима и државним органима који покривају области социјалног укључивања и координациј</w:t>
                      </w:r>
                      <w:r>
                        <w:rPr>
                          <w:b/>
                          <w:i/>
                          <w:lang w:val="sr-Cyrl-CS"/>
                        </w:rPr>
                        <w:t>е</w:t>
                      </w:r>
                      <w:r w:rsidRPr="0016541C">
                        <w:rPr>
                          <w:b/>
                          <w:i/>
                          <w:lang w:val="sr-Cyrl-CS"/>
                        </w:rPr>
                        <w:t xml:space="preserve"> политика </w:t>
                      </w:r>
                      <w:r>
                        <w:rPr>
                          <w:b/>
                          <w:i/>
                          <w:lang w:val="sr-Cyrl-CS"/>
                        </w:rPr>
                        <w:t xml:space="preserve">у фази спровођења </w:t>
                      </w:r>
                      <w:r w:rsidRPr="0016541C">
                        <w:rPr>
                          <w:b/>
                          <w:i/>
                          <w:lang w:val="sr-Cyrl-CS"/>
                        </w:rPr>
                        <w:t xml:space="preserve">представља </w:t>
                      </w:r>
                      <w:r w:rsidRPr="00AD5263">
                        <w:rPr>
                          <w:rFonts w:cs="Times New Roman"/>
                          <w:b/>
                          <w:i/>
                          <w:szCs w:val="24"/>
                          <w:lang w:val="sr-Cyrl-CS"/>
                        </w:rPr>
                        <w:t xml:space="preserve">једно од горућих питања </w:t>
                      </w:r>
                      <w:r w:rsidRPr="0016541C">
                        <w:rPr>
                          <w:b/>
                          <w:i/>
                          <w:lang w:val="sr-Cyrl-CS"/>
                        </w:rPr>
                        <w:t>за Владу Републике Србије.</w:t>
                      </w:r>
                    </w:p>
                  </w:txbxContent>
                </v:textbox>
              </v:rect>
            </w:pict>
          </mc:Fallback>
        </mc:AlternateContent>
      </w:r>
    </w:p>
    <w:p w:rsidR="008D62BD" w:rsidRPr="009F5B52" w:rsidRDefault="008D62BD" w:rsidP="008D62BD">
      <w:pPr>
        <w:rPr>
          <w:rFonts w:cs="Times New Roman"/>
          <w:szCs w:val="24"/>
          <w:lang w:val="sr-Cyrl-CS"/>
        </w:rPr>
      </w:pPr>
    </w:p>
    <w:p w:rsidR="008D62BD" w:rsidRPr="009F5B52" w:rsidRDefault="008D62BD" w:rsidP="008D62BD">
      <w:pPr>
        <w:rPr>
          <w:rFonts w:cs="Times New Roman"/>
          <w:szCs w:val="24"/>
          <w:lang w:val="sr-Cyrl-CS"/>
        </w:rPr>
      </w:pPr>
    </w:p>
    <w:p w:rsidR="008D62BD" w:rsidRPr="009F5B52" w:rsidRDefault="008D62BD" w:rsidP="008D62BD">
      <w:pPr>
        <w:pStyle w:val="Heading2"/>
        <w:rPr>
          <w:rStyle w:val="IntenseReference"/>
          <w:b/>
          <w:bCs/>
          <w:smallCaps w:val="0"/>
          <w:color w:val="4F81BD" w:themeColor="accent1"/>
          <w:spacing w:val="0"/>
          <w:u w:val="none"/>
          <w:lang w:val="sr-Cyrl-CS"/>
        </w:rPr>
      </w:pPr>
      <w:bookmarkStart w:id="17" w:name="_Toc327447127"/>
      <w:bookmarkStart w:id="18" w:name="_Toc330562295"/>
      <w:r w:rsidRPr="009F5B52">
        <w:rPr>
          <w:rStyle w:val="IntenseReference"/>
          <w:b/>
          <w:bCs/>
          <w:smallCaps w:val="0"/>
          <w:color w:val="4F81BD" w:themeColor="accent1"/>
          <w:spacing w:val="0"/>
          <w:u w:val="none"/>
          <w:lang w:val="sr-Cyrl-CS"/>
        </w:rPr>
        <w:t>1.</w:t>
      </w:r>
      <w:r w:rsidR="00D82D28" w:rsidRPr="009F5B52">
        <w:rPr>
          <w:rStyle w:val="IntenseReference"/>
          <w:b/>
          <w:bCs/>
          <w:smallCaps w:val="0"/>
          <w:color w:val="4F81BD" w:themeColor="accent1"/>
          <w:spacing w:val="0"/>
          <w:u w:val="none"/>
          <w:lang w:val="sr-Cyrl-CS"/>
        </w:rPr>
        <w:t>4</w:t>
      </w:r>
      <w:r w:rsidRPr="009F5B52">
        <w:rPr>
          <w:rStyle w:val="IntenseReference"/>
          <w:b/>
          <w:bCs/>
          <w:smallCaps w:val="0"/>
          <w:color w:val="4F81BD" w:themeColor="accent1"/>
          <w:spacing w:val="0"/>
          <w:u w:val="none"/>
          <w:lang w:val="sr-Cyrl-CS"/>
        </w:rPr>
        <w:t>. Социјално укључивање на нивоу локалне самоуправе</w:t>
      </w:r>
      <w:bookmarkEnd w:id="17"/>
      <w:bookmarkEnd w:id="18"/>
    </w:p>
    <w:p w:rsidR="008D62BD" w:rsidRPr="009F5B52" w:rsidRDefault="008D62BD" w:rsidP="008D62BD">
      <w:pPr>
        <w:rPr>
          <w:rFonts w:cs="Times New Roman"/>
          <w:szCs w:val="24"/>
          <w:lang w:val="sr-Cyrl-CS"/>
        </w:rPr>
      </w:pPr>
      <w:r w:rsidRPr="009F5B52">
        <w:rPr>
          <w:rFonts w:cs="Times New Roman"/>
          <w:szCs w:val="24"/>
          <w:lang w:val="sr-Cyrl-CS"/>
        </w:rPr>
        <w:t>Локалне самоуправе такође су релевантни и равноправни партнери на пољу социјалног укључивања. Њихов мандат дефинисан је низом прописа који обухватају, између осталог:</w:t>
      </w:r>
    </w:p>
    <w:p w:rsidR="008D62BD" w:rsidRPr="009F5B52" w:rsidRDefault="008D62BD" w:rsidP="008D62BD">
      <w:pPr>
        <w:rPr>
          <w:rFonts w:cs="Times New Roman"/>
          <w:i/>
          <w:szCs w:val="24"/>
          <w:u w:val="single"/>
          <w:lang w:val="sr-Cyrl-CS"/>
        </w:rPr>
      </w:pPr>
      <w:r w:rsidRPr="009F5B52">
        <w:rPr>
          <w:rFonts w:cs="Times New Roman"/>
          <w:i/>
          <w:szCs w:val="24"/>
          <w:u w:val="single"/>
          <w:lang w:val="sr-Cyrl-CS"/>
        </w:rPr>
        <w:t>Закон о социјалној заштити</w:t>
      </w:r>
    </w:p>
    <w:p w:rsidR="008D62BD" w:rsidRPr="009F5B52" w:rsidRDefault="008D62BD" w:rsidP="008D62BD">
      <w:pPr>
        <w:rPr>
          <w:rFonts w:cs="Times New Roman"/>
          <w:szCs w:val="24"/>
          <w:lang w:val="sr-Cyrl-CS"/>
        </w:rPr>
      </w:pPr>
      <w:r w:rsidRPr="009F5B52">
        <w:rPr>
          <w:rFonts w:cs="Times New Roman"/>
          <w:szCs w:val="24"/>
          <w:lang w:val="sr-Cyrl-CS"/>
        </w:rPr>
        <w:t>Овим законом утврђује се да су локалне самоуправе дужне да развију засебне програме за унапређење социјалне заштите, те да локалне власти морају да успоставе мере и активности за подстицај и развој постојећих и нових социјалних услуга. Средства за ове мере обезбеђују се из буџета локалних власти. У случају да су општине испод просечног нивоа развијености Републике, финансирање се обезбеђује „наменским” трансферима. У складу са чланом 207. овог закона, Влада утврђује износ и критеријуме за доделу ових трансфера.</w:t>
      </w:r>
    </w:p>
    <w:p w:rsidR="008D62BD" w:rsidRPr="009F5B52" w:rsidRDefault="008D62BD" w:rsidP="008D62BD">
      <w:pPr>
        <w:rPr>
          <w:rFonts w:cs="Times New Roman"/>
          <w:i/>
          <w:szCs w:val="24"/>
          <w:u w:val="single"/>
          <w:lang w:val="sr-Cyrl-CS"/>
        </w:rPr>
      </w:pPr>
      <w:r w:rsidRPr="009F5B52">
        <w:rPr>
          <w:rFonts w:cs="Times New Roman"/>
          <w:i/>
          <w:szCs w:val="24"/>
          <w:u w:val="single"/>
          <w:lang w:val="sr-Cyrl-CS"/>
        </w:rPr>
        <w:t>Закон о запошљавању и осигурању за случај незапослености</w:t>
      </w:r>
    </w:p>
    <w:p w:rsidR="008D62BD" w:rsidRPr="009F5B52" w:rsidRDefault="008D62BD" w:rsidP="008D62BD">
      <w:pPr>
        <w:rPr>
          <w:rFonts w:cs="Times New Roman"/>
          <w:szCs w:val="24"/>
          <w:lang w:val="sr-Cyrl-CS"/>
        </w:rPr>
      </w:pPr>
      <w:r w:rsidRPr="009F5B52">
        <w:rPr>
          <w:rFonts w:cs="Times New Roman"/>
          <w:szCs w:val="24"/>
          <w:lang w:val="sr-Cyrl-CS"/>
        </w:rPr>
        <w:t>Финансирање активне политике запошљавања дефинисано је члановима 59. и 60. овог закона, где се наводи да се активне мере запошљавања на општинском нивоу финансирају из локалних буџета кроз наменски одређена буџетска средства. Општине које обезбеде више од половине средстава за финансирање активних мера запошљавања могу да се пријаве за кофинансирање из националног буџета у складу са Националним акционим планом за запошљавање.</w:t>
      </w:r>
    </w:p>
    <w:p w:rsidR="008D62BD" w:rsidRPr="009F5B52" w:rsidRDefault="008D62BD" w:rsidP="008D62BD">
      <w:pPr>
        <w:rPr>
          <w:rFonts w:cs="Times New Roman"/>
          <w:i/>
          <w:szCs w:val="24"/>
          <w:u w:val="single"/>
          <w:lang w:val="sr-Cyrl-CS"/>
        </w:rPr>
      </w:pPr>
      <w:r w:rsidRPr="009F5B52">
        <w:rPr>
          <w:rFonts w:cs="Times New Roman"/>
          <w:i/>
          <w:szCs w:val="24"/>
          <w:u w:val="single"/>
          <w:lang w:val="sr-Cyrl-CS"/>
        </w:rPr>
        <w:t>Закон о основама система образовања и васпитања</w:t>
      </w:r>
    </w:p>
    <w:p w:rsidR="008D62BD" w:rsidRPr="009F5B52" w:rsidRDefault="008D62BD" w:rsidP="008D62BD">
      <w:pPr>
        <w:rPr>
          <w:rFonts w:cs="Times New Roman"/>
          <w:szCs w:val="24"/>
          <w:lang w:val="sr-Cyrl-CS"/>
        </w:rPr>
      </w:pPr>
      <w:r w:rsidRPr="009F5B52">
        <w:rPr>
          <w:rFonts w:cs="Times New Roman"/>
          <w:szCs w:val="24"/>
          <w:lang w:val="sr-Cyrl-CS"/>
        </w:rPr>
        <w:t xml:space="preserve">У складу са чланом 28. овог закона, Република Србија, аутономна покрајина, локална самоуправа, односно друго правно лице или приватно тело, могу да оснују образовну институцију. Овим законом утврђују се поступци за рад интерресорних комисија и детаљи у вези са индивидуалним образовним планом, индивидуалним програмом и индивидуализованим начином рада (члан 77.) за децу или студенте којима је потребна додатна подршка у образовању и васпитању због социјалне ускраћености, сметњи у </w:t>
      </w:r>
      <w:r w:rsidRPr="009F5B52">
        <w:rPr>
          <w:rFonts w:cs="Times New Roman"/>
          <w:szCs w:val="24"/>
          <w:lang w:val="sr-Cyrl-CS"/>
        </w:rPr>
        <w:lastRenderedPageBreak/>
        <w:t>развоју и физичког инвалидитета или других разлога. Ови аспекти социјалног укључивања у образовању, међутим, захтевају додатну изградњу капацитета и средства, што се често финансира екстерно. Успостављање Фонда за социјално укључивање може да обезбеди прилике образовним институцијама да делотворно спроводе ове одредбе Закона.</w:t>
      </w:r>
    </w:p>
    <w:p w:rsidR="008D62BD" w:rsidRPr="009F5B52" w:rsidRDefault="008D62BD" w:rsidP="008D62BD">
      <w:pPr>
        <w:rPr>
          <w:rFonts w:cs="Times New Roman"/>
          <w:szCs w:val="24"/>
          <w:lang w:val="sr-Cyrl-CS"/>
        </w:rPr>
      </w:pPr>
      <w:r w:rsidRPr="009F5B52">
        <w:rPr>
          <w:rFonts w:cs="Times New Roman"/>
          <w:szCs w:val="24"/>
          <w:lang w:val="sr-Cyrl-CS"/>
        </w:rPr>
        <w:t>У складу са препорукама Првог националног извештаја о социјалном укључивању и смањењу сиромаштва у Републици Србији, приоритет током предстојећег периода би требало да буде целовито преузимање већ пренетих овлашћења и успостављање партнерстава на локалном нивоу, укључујући међусекторску и међуопштинску сарадњу. Осим тога, према истом Извештају, неопходно је додатно ускладити политике финансирања локалних власти, развити информационе системе (што подразумева прикупљање и размену информација), јачати њихове капацитете, осигурати темељније укључивање у реформе у вези са процесом социјалног укључивања и смањења сиромаштва и сл.</w:t>
      </w:r>
    </w:p>
    <w:p w:rsidR="008D62BD" w:rsidRPr="009F5B52" w:rsidRDefault="008D62BD" w:rsidP="008D62BD">
      <w:pPr>
        <w:rPr>
          <w:rFonts w:cs="Times New Roman"/>
          <w:b/>
          <w:szCs w:val="24"/>
          <w:lang w:val="sr-Cyrl-CS"/>
        </w:rPr>
      </w:pPr>
      <w:r w:rsidRPr="009F5B52">
        <w:rPr>
          <w:rFonts w:cs="Times New Roman"/>
          <w:b/>
          <w:szCs w:val="24"/>
          <w:lang w:val="sr-Cyrl-CS"/>
        </w:rPr>
        <w:t xml:space="preserve">Фонд за социјално укључивање може да игра значајну улогу у будућем оснаживању надлежности локалних самоуправа за израду делотворних мера социјалног укључивања. </w:t>
      </w:r>
    </w:p>
    <w:p w:rsidR="000B0071" w:rsidRPr="009F5B52" w:rsidRDefault="000B0071" w:rsidP="000B0071">
      <w:pPr>
        <w:pStyle w:val="Heading2"/>
        <w:rPr>
          <w:rStyle w:val="IntenseReference"/>
          <w:b/>
          <w:bCs/>
          <w:smallCaps w:val="0"/>
          <w:color w:val="4F81BD" w:themeColor="accent1"/>
          <w:spacing w:val="0"/>
          <w:u w:val="none"/>
          <w:lang w:val="sr-Cyrl-CS"/>
        </w:rPr>
      </w:pPr>
      <w:bookmarkStart w:id="19" w:name="_Toc330562296"/>
      <w:r w:rsidRPr="009F5B52">
        <w:rPr>
          <w:rStyle w:val="IntenseReference"/>
          <w:b/>
          <w:bCs/>
          <w:smallCaps w:val="0"/>
          <w:color w:val="4F81BD" w:themeColor="accent1"/>
          <w:spacing w:val="0"/>
          <w:u w:val="none"/>
          <w:lang w:val="sr-Cyrl-CS"/>
        </w:rPr>
        <w:t>1.5. Финансијски инструменти на нивоу централне власти</w:t>
      </w:r>
      <w:bookmarkEnd w:id="19"/>
    </w:p>
    <w:p w:rsidR="007D070A" w:rsidRPr="009F5B52" w:rsidRDefault="007D070A" w:rsidP="000B0071">
      <w:pPr>
        <w:rPr>
          <w:lang w:val="sr-Cyrl-CS"/>
        </w:rPr>
      </w:pPr>
      <w:r w:rsidRPr="009F5B52">
        <w:rPr>
          <w:lang w:val="sr-Cyrl-CS"/>
        </w:rPr>
        <w:t xml:space="preserve">Као последица недовољног нивоа сарадње у изради политика, примена политика за смањење социјалне искључености је такође фрагментирана и недовољно усклађена. Презасићеност телима и министарствима надлежним за социјално укључивање довела је до презасићености фондовима и осталим иницијативама успостављеним као продужена рука политике социјалног укључивања. Наравно, ови фондови доводе до резултата и доприносе социјалном укључивању, али једноставна логика синергије захтева промишљање о промени постојећих структура и фондова. Додатна слабост коју су подвукли саговорници у изради ове студије је то што систем индикатора и праћење ефеката постојећих мера које се спроводе путем ових фондова не постоји, или није довољно развијен. </w:t>
      </w:r>
    </w:p>
    <w:p w:rsidR="007D070A" w:rsidRPr="009F5B52" w:rsidRDefault="007D070A" w:rsidP="000B0071">
      <w:pPr>
        <w:rPr>
          <w:lang w:val="sr-Cyrl-CS"/>
        </w:rPr>
      </w:pPr>
      <w:r w:rsidRPr="009F5B52">
        <w:rPr>
          <w:lang w:val="sr-Cyrl-CS"/>
        </w:rPr>
        <w:t>Према Закону о изменама и допунама Закона о буџету Републике Србије за 2011. годину, следећи одабрани фондови су намењени мерама социјалног укључивања:</w:t>
      </w:r>
    </w:p>
    <w:tbl>
      <w:tblPr>
        <w:tblStyle w:val="TableGrid"/>
        <w:tblW w:w="0" w:type="auto"/>
        <w:tblLook w:val="04A0" w:firstRow="1" w:lastRow="0" w:firstColumn="1" w:lastColumn="0" w:noHBand="0" w:noVBand="1"/>
      </w:tblPr>
      <w:tblGrid>
        <w:gridCol w:w="3763"/>
        <w:gridCol w:w="1831"/>
        <w:gridCol w:w="1994"/>
        <w:gridCol w:w="1655"/>
      </w:tblGrid>
      <w:tr w:rsidR="007D070A" w:rsidRPr="009F5B52" w:rsidTr="007D070A">
        <w:tc>
          <w:tcPr>
            <w:tcW w:w="3763" w:type="dxa"/>
          </w:tcPr>
          <w:p w:rsidR="007D070A" w:rsidRPr="009F5B52" w:rsidRDefault="007D070A" w:rsidP="00172313">
            <w:pPr>
              <w:spacing w:before="0" w:after="0"/>
              <w:jc w:val="center"/>
              <w:rPr>
                <w:rFonts w:cs="Times New Roman"/>
                <w:b/>
                <w:szCs w:val="24"/>
                <w:lang w:val="sr-Cyrl-CS"/>
              </w:rPr>
            </w:pPr>
          </w:p>
        </w:tc>
        <w:tc>
          <w:tcPr>
            <w:tcW w:w="1831" w:type="dxa"/>
          </w:tcPr>
          <w:p w:rsidR="007D070A" w:rsidRPr="009F5B52" w:rsidRDefault="007D070A" w:rsidP="00172313">
            <w:pPr>
              <w:spacing w:before="0" w:after="0" w:line="276" w:lineRule="auto"/>
              <w:jc w:val="center"/>
              <w:rPr>
                <w:rFonts w:cs="Times New Roman"/>
                <w:b/>
                <w:szCs w:val="24"/>
                <w:lang w:val="sr-Cyrl-CS"/>
              </w:rPr>
            </w:pPr>
            <w:r w:rsidRPr="009F5B52">
              <w:rPr>
                <w:rFonts w:cs="Times New Roman"/>
                <w:b/>
                <w:szCs w:val="24"/>
                <w:lang w:val="sr-Cyrl-CS"/>
              </w:rPr>
              <w:t>Буџ. година</w:t>
            </w:r>
          </w:p>
        </w:tc>
        <w:tc>
          <w:tcPr>
            <w:tcW w:w="1994" w:type="dxa"/>
          </w:tcPr>
          <w:p w:rsidR="007D070A" w:rsidRPr="009F5B52" w:rsidRDefault="007D070A" w:rsidP="00172313">
            <w:pPr>
              <w:spacing w:before="0" w:after="0" w:line="276" w:lineRule="auto"/>
              <w:jc w:val="center"/>
              <w:rPr>
                <w:rFonts w:cs="Times New Roman"/>
                <w:b/>
                <w:szCs w:val="24"/>
                <w:lang w:val="sr-Cyrl-CS"/>
              </w:rPr>
            </w:pPr>
            <w:r w:rsidRPr="009F5B52">
              <w:rPr>
                <w:rFonts w:cs="Times New Roman"/>
                <w:b/>
                <w:szCs w:val="24"/>
                <w:lang w:val="sr-Cyrl-CS"/>
              </w:rPr>
              <w:t>РСД</w:t>
            </w:r>
          </w:p>
        </w:tc>
        <w:tc>
          <w:tcPr>
            <w:tcW w:w="1655" w:type="dxa"/>
          </w:tcPr>
          <w:p w:rsidR="007D070A" w:rsidRPr="009F5B52" w:rsidRDefault="007D070A" w:rsidP="00172313">
            <w:pPr>
              <w:spacing w:before="0" w:after="0" w:line="276" w:lineRule="auto"/>
              <w:jc w:val="center"/>
              <w:rPr>
                <w:rFonts w:cs="Times New Roman"/>
                <w:b/>
                <w:szCs w:val="24"/>
                <w:lang w:val="sr-Cyrl-CS"/>
              </w:rPr>
            </w:pPr>
            <w:r w:rsidRPr="009F5B52">
              <w:rPr>
                <w:rFonts w:cs="Times New Roman"/>
                <w:b/>
                <w:szCs w:val="24"/>
                <w:lang w:val="sr-Cyrl-CS"/>
              </w:rPr>
              <w:t>ЕУР*</w:t>
            </w:r>
          </w:p>
        </w:tc>
      </w:tr>
      <w:tr w:rsidR="007D070A" w:rsidRPr="009F5B52" w:rsidTr="007D070A">
        <w:tc>
          <w:tcPr>
            <w:tcW w:w="9243" w:type="dxa"/>
            <w:gridSpan w:val="4"/>
          </w:tcPr>
          <w:p w:rsidR="007D070A" w:rsidRPr="009F5B52" w:rsidRDefault="007D070A" w:rsidP="00172313">
            <w:pPr>
              <w:spacing w:before="0" w:after="0" w:line="276" w:lineRule="auto"/>
              <w:jc w:val="center"/>
              <w:rPr>
                <w:rFonts w:cs="Times New Roman"/>
                <w:szCs w:val="24"/>
                <w:lang w:val="sr-Cyrl-CS"/>
              </w:rPr>
            </w:pPr>
            <w:r w:rsidRPr="009F5B52">
              <w:rPr>
                <w:rFonts w:cs="Times New Roman"/>
                <w:b/>
                <w:szCs w:val="24"/>
                <w:lang w:val="sr-Cyrl-CS"/>
              </w:rPr>
              <w:t>Министарство рада и социјалне политике</w:t>
            </w:r>
          </w:p>
        </w:tc>
      </w:tr>
      <w:tr w:rsidR="007D070A" w:rsidRPr="009F5B52" w:rsidTr="00B416D7">
        <w:tc>
          <w:tcPr>
            <w:tcW w:w="3763" w:type="dxa"/>
          </w:tcPr>
          <w:p w:rsidR="007D070A" w:rsidRPr="009F5B52" w:rsidRDefault="007D070A" w:rsidP="00172313">
            <w:pPr>
              <w:spacing w:before="0" w:after="0"/>
              <w:rPr>
                <w:rFonts w:cs="Times New Roman"/>
                <w:szCs w:val="24"/>
                <w:lang w:val="sr-Cyrl-CS"/>
              </w:rPr>
            </w:pPr>
            <w:r w:rsidRPr="009F5B52">
              <w:rPr>
                <w:rFonts w:cs="Times New Roman"/>
                <w:szCs w:val="24"/>
                <w:lang w:val="sr-Cyrl-CS"/>
              </w:rPr>
              <w:t>Буџетски фонд за програме заштите и унапређења положаја особа са инвалидитетом</w:t>
            </w:r>
          </w:p>
          <w:p w:rsidR="007D070A" w:rsidRPr="009F5B52" w:rsidRDefault="007D070A" w:rsidP="00172313">
            <w:pPr>
              <w:spacing w:before="0" w:after="0"/>
              <w:rPr>
                <w:rFonts w:cs="Times New Roman"/>
                <w:szCs w:val="24"/>
                <w:lang w:val="sr-Cyrl-CS"/>
              </w:rPr>
            </w:pPr>
          </w:p>
        </w:tc>
        <w:tc>
          <w:tcPr>
            <w:tcW w:w="1831" w:type="dxa"/>
            <w:vMerge w:val="restart"/>
            <w:vAlign w:val="center"/>
          </w:tcPr>
          <w:p w:rsidR="007D070A" w:rsidRPr="009F5B52" w:rsidRDefault="007D070A" w:rsidP="00172313">
            <w:pPr>
              <w:spacing w:before="0" w:after="0" w:line="276" w:lineRule="auto"/>
              <w:jc w:val="center"/>
              <w:rPr>
                <w:rStyle w:val="hps"/>
                <w:rFonts w:cs="Times New Roman"/>
                <w:szCs w:val="24"/>
                <w:lang w:val="sr-Cyrl-CS"/>
              </w:rPr>
            </w:pPr>
            <w:r w:rsidRPr="009F5B52">
              <w:rPr>
                <w:rStyle w:val="hps"/>
                <w:rFonts w:cs="Times New Roman"/>
                <w:szCs w:val="24"/>
                <w:lang w:val="sr-Cyrl-CS"/>
              </w:rPr>
              <w:t>2011.</w:t>
            </w:r>
          </w:p>
        </w:tc>
        <w:tc>
          <w:tcPr>
            <w:tcW w:w="1994" w:type="dxa"/>
            <w:vAlign w:val="center"/>
          </w:tcPr>
          <w:p w:rsidR="007D070A" w:rsidRPr="009F5B52" w:rsidRDefault="007D070A" w:rsidP="00172313">
            <w:pPr>
              <w:spacing w:before="0" w:after="0" w:line="276" w:lineRule="auto"/>
              <w:jc w:val="right"/>
              <w:rPr>
                <w:rFonts w:cs="Times New Roman"/>
                <w:szCs w:val="24"/>
                <w:lang w:val="sr-Cyrl-CS"/>
              </w:rPr>
            </w:pPr>
            <w:r w:rsidRPr="009F5B52">
              <w:rPr>
                <w:rFonts w:cs="Times New Roman"/>
                <w:szCs w:val="24"/>
                <w:lang w:val="sr-Cyrl-CS"/>
              </w:rPr>
              <w:t>336.009.000</w:t>
            </w:r>
          </w:p>
        </w:tc>
        <w:tc>
          <w:tcPr>
            <w:tcW w:w="1655" w:type="dxa"/>
            <w:vAlign w:val="center"/>
          </w:tcPr>
          <w:p w:rsidR="007D070A" w:rsidRPr="009F5B52" w:rsidRDefault="007D070A" w:rsidP="00172313">
            <w:pPr>
              <w:spacing w:before="0" w:after="0" w:line="276" w:lineRule="auto"/>
              <w:jc w:val="right"/>
              <w:rPr>
                <w:rFonts w:cs="Times New Roman"/>
                <w:szCs w:val="24"/>
                <w:lang w:val="sr-Cyrl-CS"/>
              </w:rPr>
            </w:pPr>
            <w:r w:rsidRPr="009F5B52">
              <w:rPr>
                <w:rFonts w:cs="Times New Roman"/>
                <w:szCs w:val="24"/>
                <w:lang w:val="sr-Cyrl-CS"/>
              </w:rPr>
              <w:t>3.290.469</w:t>
            </w:r>
          </w:p>
        </w:tc>
      </w:tr>
      <w:tr w:rsidR="007D070A" w:rsidRPr="009F5B52" w:rsidTr="007D070A">
        <w:tc>
          <w:tcPr>
            <w:tcW w:w="3763" w:type="dxa"/>
          </w:tcPr>
          <w:p w:rsidR="007D070A" w:rsidRPr="009F5B52" w:rsidRDefault="007D070A" w:rsidP="00172313">
            <w:pPr>
              <w:spacing w:before="0" w:after="0"/>
              <w:rPr>
                <w:rFonts w:cs="Times New Roman"/>
                <w:szCs w:val="24"/>
                <w:lang w:val="sr-Cyrl-CS"/>
              </w:rPr>
            </w:pPr>
            <w:r w:rsidRPr="009F5B52">
              <w:rPr>
                <w:rFonts w:cs="Times New Roman"/>
                <w:szCs w:val="24"/>
                <w:lang w:val="sr-Cyrl-CS"/>
              </w:rPr>
              <w:t>Буџетски фонд за програме социјално-хуманитарних организација</w:t>
            </w:r>
          </w:p>
          <w:p w:rsidR="007D070A" w:rsidRPr="009F5B52" w:rsidRDefault="007D070A" w:rsidP="00172313">
            <w:pPr>
              <w:spacing w:before="0" w:after="0"/>
              <w:rPr>
                <w:rStyle w:val="hps"/>
                <w:rFonts w:cs="Times New Roman"/>
                <w:szCs w:val="24"/>
                <w:lang w:val="sr-Cyrl-CS"/>
              </w:rPr>
            </w:pPr>
          </w:p>
        </w:tc>
        <w:tc>
          <w:tcPr>
            <w:tcW w:w="1831" w:type="dxa"/>
            <w:vMerge/>
          </w:tcPr>
          <w:p w:rsidR="007D070A" w:rsidRPr="009F5B52" w:rsidRDefault="007D070A" w:rsidP="00172313">
            <w:pPr>
              <w:spacing w:before="0" w:after="0" w:line="276" w:lineRule="auto"/>
              <w:jc w:val="center"/>
              <w:rPr>
                <w:rStyle w:val="hps"/>
                <w:rFonts w:cs="Times New Roman"/>
                <w:szCs w:val="24"/>
                <w:lang w:val="sr-Cyrl-CS"/>
              </w:rPr>
            </w:pPr>
          </w:p>
        </w:tc>
        <w:tc>
          <w:tcPr>
            <w:tcW w:w="1994" w:type="dxa"/>
            <w:vAlign w:val="center"/>
          </w:tcPr>
          <w:p w:rsidR="007D070A" w:rsidRPr="009F5B52" w:rsidRDefault="007D070A" w:rsidP="00172313">
            <w:pPr>
              <w:spacing w:before="0" w:after="0" w:line="276" w:lineRule="auto"/>
              <w:jc w:val="right"/>
              <w:rPr>
                <w:rFonts w:cs="Times New Roman"/>
                <w:szCs w:val="24"/>
                <w:lang w:val="sr-Cyrl-CS"/>
              </w:rPr>
            </w:pPr>
            <w:r w:rsidRPr="009F5B52">
              <w:rPr>
                <w:rFonts w:cs="Times New Roman"/>
                <w:szCs w:val="24"/>
                <w:lang w:val="sr-Cyrl-CS"/>
              </w:rPr>
              <w:t>382.022.000</w:t>
            </w:r>
          </w:p>
        </w:tc>
        <w:tc>
          <w:tcPr>
            <w:tcW w:w="1655" w:type="dxa"/>
            <w:vAlign w:val="center"/>
          </w:tcPr>
          <w:p w:rsidR="007D070A" w:rsidRPr="009F5B52" w:rsidRDefault="007D070A" w:rsidP="00172313">
            <w:pPr>
              <w:spacing w:before="0" w:after="0" w:line="276" w:lineRule="auto"/>
              <w:jc w:val="right"/>
              <w:rPr>
                <w:rFonts w:cs="Times New Roman"/>
                <w:szCs w:val="24"/>
                <w:lang w:val="sr-Cyrl-CS"/>
              </w:rPr>
            </w:pPr>
            <w:r w:rsidRPr="009F5B52">
              <w:rPr>
                <w:rFonts w:cs="Times New Roman"/>
                <w:szCs w:val="24"/>
                <w:lang w:val="sr-Cyrl-CS"/>
              </w:rPr>
              <w:t>3.741.065</w:t>
            </w:r>
          </w:p>
        </w:tc>
      </w:tr>
      <w:tr w:rsidR="007D070A" w:rsidRPr="009F5B52" w:rsidTr="007D070A">
        <w:tc>
          <w:tcPr>
            <w:tcW w:w="3763" w:type="dxa"/>
          </w:tcPr>
          <w:p w:rsidR="007D070A" w:rsidRPr="009F5B52" w:rsidRDefault="007D070A" w:rsidP="00172313">
            <w:pPr>
              <w:spacing w:before="0" w:after="0"/>
              <w:rPr>
                <w:rFonts w:cs="Times New Roman"/>
                <w:szCs w:val="24"/>
                <w:lang w:val="sr-Cyrl-CS"/>
              </w:rPr>
            </w:pPr>
            <w:r w:rsidRPr="009F5B52">
              <w:rPr>
                <w:rFonts w:cs="Times New Roman"/>
                <w:szCs w:val="24"/>
                <w:lang w:val="sr-Cyrl-CS"/>
              </w:rPr>
              <w:t>Буџетски фонд за установе социјалне заштите</w:t>
            </w:r>
          </w:p>
          <w:p w:rsidR="007D070A" w:rsidRPr="009F5B52" w:rsidRDefault="007D070A" w:rsidP="00172313">
            <w:pPr>
              <w:spacing w:before="0" w:after="0"/>
              <w:rPr>
                <w:rFonts w:cs="Times New Roman"/>
                <w:szCs w:val="24"/>
                <w:lang w:val="sr-Cyrl-CS"/>
              </w:rPr>
            </w:pPr>
          </w:p>
        </w:tc>
        <w:tc>
          <w:tcPr>
            <w:tcW w:w="1831" w:type="dxa"/>
            <w:vMerge/>
          </w:tcPr>
          <w:p w:rsidR="007D070A" w:rsidRPr="009F5B52" w:rsidRDefault="007D070A" w:rsidP="00172313">
            <w:pPr>
              <w:spacing w:before="0" w:after="0" w:line="276" w:lineRule="auto"/>
              <w:jc w:val="center"/>
              <w:rPr>
                <w:rStyle w:val="hps"/>
                <w:rFonts w:cs="Times New Roman"/>
                <w:szCs w:val="24"/>
                <w:lang w:val="sr-Cyrl-CS"/>
              </w:rPr>
            </w:pPr>
          </w:p>
        </w:tc>
        <w:tc>
          <w:tcPr>
            <w:tcW w:w="1994" w:type="dxa"/>
            <w:vAlign w:val="center"/>
          </w:tcPr>
          <w:p w:rsidR="007D070A" w:rsidRPr="009F5B52" w:rsidRDefault="007D070A" w:rsidP="00172313">
            <w:pPr>
              <w:spacing w:before="0" w:after="0" w:line="276" w:lineRule="auto"/>
              <w:jc w:val="right"/>
              <w:rPr>
                <w:rFonts w:cs="Times New Roman"/>
                <w:szCs w:val="24"/>
                <w:lang w:val="sr-Cyrl-CS"/>
              </w:rPr>
            </w:pPr>
            <w:r w:rsidRPr="009F5B52">
              <w:rPr>
                <w:rFonts w:cs="Times New Roman"/>
                <w:szCs w:val="24"/>
                <w:lang w:val="sr-Cyrl-CS"/>
              </w:rPr>
              <w:t>676.428.000</w:t>
            </w:r>
          </w:p>
        </w:tc>
        <w:tc>
          <w:tcPr>
            <w:tcW w:w="1655" w:type="dxa"/>
            <w:vAlign w:val="center"/>
          </w:tcPr>
          <w:p w:rsidR="007D070A" w:rsidRPr="009F5B52" w:rsidRDefault="007D070A" w:rsidP="00172313">
            <w:pPr>
              <w:spacing w:before="0" w:after="0" w:line="276" w:lineRule="auto"/>
              <w:jc w:val="right"/>
              <w:rPr>
                <w:rFonts w:cs="Times New Roman"/>
                <w:szCs w:val="24"/>
                <w:lang w:val="sr-Cyrl-CS"/>
              </w:rPr>
            </w:pPr>
            <w:r w:rsidRPr="009F5B52">
              <w:rPr>
                <w:rFonts w:cs="Times New Roman"/>
                <w:szCs w:val="24"/>
                <w:lang w:val="sr-Cyrl-CS"/>
              </w:rPr>
              <w:t>6.624.113</w:t>
            </w:r>
          </w:p>
        </w:tc>
      </w:tr>
      <w:tr w:rsidR="007D070A" w:rsidRPr="009F5B52" w:rsidTr="007D070A">
        <w:tc>
          <w:tcPr>
            <w:tcW w:w="9243" w:type="dxa"/>
            <w:gridSpan w:val="4"/>
          </w:tcPr>
          <w:p w:rsidR="007D070A" w:rsidRPr="009F5B52" w:rsidRDefault="007D070A" w:rsidP="00172313">
            <w:pPr>
              <w:spacing w:before="0" w:after="0" w:line="276" w:lineRule="auto"/>
              <w:jc w:val="center"/>
              <w:rPr>
                <w:rFonts w:cs="Times New Roman"/>
                <w:szCs w:val="24"/>
                <w:lang w:val="sr-Cyrl-CS"/>
              </w:rPr>
            </w:pPr>
            <w:r w:rsidRPr="009F5B52">
              <w:rPr>
                <w:rFonts w:cs="Times New Roman"/>
                <w:b/>
                <w:szCs w:val="24"/>
                <w:lang w:val="sr-Cyrl-CS"/>
              </w:rPr>
              <w:lastRenderedPageBreak/>
              <w:t>Министарство економије и регионалног развоја</w:t>
            </w:r>
          </w:p>
        </w:tc>
      </w:tr>
      <w:tr w:rsidR="007D070A" w:rsidRPr="009F5B52" w:rsidTr="00B416D7">
        <w:tc>
          <w:tcPr>
            <w:tcW w:w="3763" w:type="dxa"/>
          </w:tcPr>
          <w:p w:rsidR="007D070A" w:rsidRPr="009F5B52" w:rsidRDefault="007D070A" w:rsidP="00172313">
            <w:pPr>
              <w:spacing w:before="0" w:after="0" w:line="276" w:lineRule="auto"/>
              <w:jc w:val="left"/>
              <w:rPr>
                <w:rFonts w:cs="Times New Roman"/>
                <w:b/>
                <w:szCs w:val="24"/>
                <w:lang w:val="sr-Cyrl-CS"/>
              </w:rPr>
            </w:pPr>
            <w:r w:rsidRPr="009F5B52">
              <w:rPr>
                <w:rFonts w:cs="Times New Roman"/>
                <w:szCs w:val="24"/>
                <w:lang w:val="sr-Cyrl-CS"/>
              </w:rPr>
              <w:t>Фонд за професионалну рехабилитацију и подстицање запошљавања особа са инвалидитетом</w:t>
            </w:r>
          </w:p>
        </w:tc>
        <w:tc>
          <w:tcPr>
            <w:tcW w:w="1831" w:type="dxa"/>
            <w:vAlign w:val="center"/>
          </w:tcPr>
          <w:p w:rsidR="007D070A" w:rsidRPr="009F5B52" w:rsidRDefault="007D070A" w:rsidP="00172313">
            <w:pPr>
              <w:spacing w:before="0" w:after="0" w:line="276" w:lineRule="auto"/>
              <w:jc w:val="center"/>
              <w:rPr>
                <w:rFonts w:cs="Times New Roman"/>
                <w:szCs w:val="24"/>
                <w:lang w:val="sr-Cyrl-CS"/>
              </w:rPr>
            </w:pPr>
            <w:r w:rsidRPr="009F5B52">
              <w:rPr>
                <w:rFonts w:cs="Times New Roman"/>
                <w:szCs w:val="24"/>
                <w:lang w:val="sr-Cyrl-CS"/>
              </w:rPr>
              <w:t>2011.</w:t>
            </w:r>
          </w:p>
        </w:tc>
        <w:tc>
          <w:tcPr>
            <w:tcW w:w="1994" w:type="dxa"/>
            <w:vAlign w:val="center"/>
          </w:tcPr>
          <w:p w:rsidR="007D070A" w:rsidRPr="009F5B52" w:rsidRDefault="007D070A" w:rsidP="00172313">
            <w:pPr>
              <w:spacing w:before="0" w:after="0" w:line="276" w:lineRule="auto"/>
              <w:jc w:val="right"/>
              <w:rPr>
                <w:rFonts w:cs="Times New Roman"/>
                <w:szCs w:val="24"/>
                <w:lang w:val="sr-Cyrl-CS"/>
              </w:rPr>
            </w:pPr>
            <w:r w:rsidRPr="009F5B52">
              <w:rPr>
                <w:rFonts w:cs="Times New Roman"/>
                <w:szCs w:val="24"/>
                <w:lang w:val="sr-Cyrl-CS"/>
              </w:rPr>
              <w:t>2.260.174.000</w:t>
            </w:r>
            <w:r w:rsidRPr="009F5B52">
              <w:rPr>
                <w:rFonts w:cs="Times New Roman"/>
                <w:szCs w:val="24"/>
                <w:lang w:val="sr-Cyrl-CS"/>
              </w:rPr>
              <w:tab/>
            </w:r>
          </w:p>
        </w:tc>
        <w:tc>
          <w:tcPr>
            <w:tcW w:w="1655" w:type="dxa"/>
            <w:vAlign w:val="center"/>
          </w:tcPr>
          <w:p w:rsidR="007D070A" w:rsidRPr="009F5B52" w:rsidRDefault="007D070A" w:rsidP="00172313">
            <w:pPr>
              <w:spacing w:before="0" w:after="0" w:line="276" w:lineRule="auto"/>
              <w:jc w:val="right"/>
              <w:rPr>
                <w:rFonts w:cs="Times New Roman"/>
                <w:szCs w:val="24"/>
                <w:lang w:val="sr-Cyrl-CS"/>
              </w:rPr>
            </w:pPr>
            <w:r w:rsidRPr="009F5B52">
              <w:rPr>
                <w:rFonts w:cs="Times New Roman"/>
                <w:szCs w:val="24"/>
                <w:lang w:val="sr-Cyrl-CS"/>
              </w:rPr>
              <w:t>22.133.</w:t>
            </w:r>
            <w:r w:rsidR="00B416D7" w:rsidRPr="009F5B52">
              <w:rPr>
                <w:rFonts w:cs="Times New Roman"/>
                <w:szCs w:val="24"/>
                <w:lang w:val="sr-Cyrl-CS"/>
              </w:rPr>
              <w:t>397</w:t>
            </w:r>
          </w:p>
        </w:tc>
      </w:tr>
      <w:tr w:rsidR="007D070A" w:rsidRPr="009F5B52" w:rsidTr="007D070A">
        <w:tc>
          <w:tcPr>
            <w:tcW w:w="9243" w:type="dxa"/>
            <w:gridSpan w:val="4"/>
          </w:tcPr>
          <w:p w:rsidR="007D070A" w:rsidRPr="009F5B52" w:rsidRDefault="007D070A" w:rsidP="00172313">
            <w:pPr>
              <w:spacing w:before="0" w:after="0" w:line="276" w:lineRule="auto"/>
              <w:jc w:val="center"/>
              <w:rPr>
                <w:rFonts w:cs="Times New Roman"/>
                <w:szCs w:val="24"/>
                <w:lang w:val="sr-Cyrl-CS"/>
              </w:rPr>
            </w:pPr>
            <w:r w:rsidRPr="009F5B52">
              <w:rPr>
                <w:rFonts w:cs="Times New Roman"/>
                <w:b/>
                <w:szCs w:val="24"/>
                <w:lang w:val="sr-Cyrl-CS"/>
              </w:rPr>
              <w:t>Министарство здравља</w:t>
            </w:r>
          </w:p>
        </w:tc>
      </w:tr>
      <w:tr w:rsidR="007D070A" w:rsidRPr="009F5B52" w:rsidTr="00B416D7">
        <w:tc>
          <w:tcPr>
            <w:tcW w:w="3763" w:type="dxa"/>
          </w:tcPr>
          <w:p w:rsidR="007D070A" w:rsidRPr="009F5B52" w:rsidRDefault="007D070A" w:rsidP="00172313">
            <w:pPr>
              <w:spacing w:before="0" w:after="0" w:line="276" w:lineRule="auto"/>
              <w:jc w:val="left"/>
              <w:rPr>
                <w:rStyle w:val="hps"/>
                <w:rFonts w:cs="Times New Roman"/>
                <w:szCs w:val="24"/>
                <w:lang w:val="sr-Cyrl-CS"/>
              </w:rPr>
            </w:pPr>
            <w:r w:rsidRPr="009F5B52">
              <w:rPr>
                <w:rStyle w:val="hps"/>
                <w:rFonts w:cs="Times New Roman"/>
                <w:szCs w:val="24"/>
                <w:lang w:val="sr-Cyrl-CS"/>
              </w:rPr>
              <w:t>Унапређење здравља посебних групација становништва (деце, младих, жена, Рома)</w:t>
            </w:r>
          </w:p>
        </w:tc>
        <w:tc>
          <w:tcPr>
            <w:tcW w:w="1831" w:type="dxa"/>
            <w:vAlign w:val="center"/>
          </w:tcPr>
          <w:p w:rsidR="007D070A" w:rsidRPr="009F5B52" w:rsidRDefault="007D070A" w:rsidP="00172313">
            <w:pPr>
              <w:spacing w:before="0" w:after="0" w:line="276" w:lineRule="auto"/>
              <w:jc w:val="center"/>
              <w:rPr>
                <w:rStyle w:val="hps"/>
                <w:rFonts w:cs="Times New Roman"/>
                <w:szCs w:val="24"/>
                <w:lang w:val="sr-Cyrl-CS"/>
              </w:rPr>
            </w:pPr>
            <w:r w:rsidRPr="009F5B52">
              <w:rPr>
                <w:rStyle w:val="hps"/>
                <w:rFonts w:cs="Times New Roman"/>
                <w:szCs w:val="24"/>
                <w:lang w:val="sr-Cyrl-CS"/>
              </w:rPr>
              <w:t>201</w:t>
            </w:r>
            <w:r w:rsidR="00B416D7" w:rsidRPr="009F5B52">
              <w:rPr>
                <w:rStyle w:val="hps"/>
                <w:rFonts w:cs="Times New Roman"/>
                <w:szCs w:val="24"/>
                <w:lang w:val="sr-Cyrl-CS"/>
              </w:rPr>
              <w:t>1</w:t>
            </w:r>
            <w:r w:rsidRPr="009F5B52">
              <w:rPr>
                <w:rStyle w:val="hps"/>
                <w:rFonts w:cs="Times New Roman"/>
                <w:szCs w:val="24"/>
                <w:lang w:val="sr-Cyrl-CS"/>
              </w:rPr>
              <w:t>.</w:t>
            </w:r>
          </w:p>
        </w:tc>
        <w:tc>
          <w:tcPr>
            <w:tcW w:w="1994" w:type="dxa"/>
            <w:vAlign w:val="center"/>
          </w:tcPr>
          <w:p w:rsidR="007D070A" w:rsidRPr="009F5B52" w:rsidRDefault="007D070A" w:rsidP="00172313">
            <w:pPr>
              <w:spacing w:before="0" w:after="0" w:line="276" w:lineRule="auto"/>
              <w:jc w:val="right"/>
              <w:rPr>
                <w:rStyle w:val="hps"/>
                <w:rFonts w:cs="Times New Roman"/>
                <w:szCs w:val="24"/>
                <w:lang w:val="sr-Cyrl-CS"/>
              </w:rPr>
            </w:pPr>
            <w:r w:rsidRPr="009F5B52">
              <w:rPr>
                <w:rStyle w:val="hps"/>
                <w:rFonts w:cs="Times New Roman"/>
                <w:szCs w:val="24"/>
                <w:lang w:val="sr-Cyrl-CS"/>
              </w:rPr>
              <w:t>20.0</w:t>
            </w:r>
            <w:r w:rsidR="00B416D7" w:rsidRPr="009F5B52">
              <w:rPr>
                <w:rStyle w:val="hps"/>
                <w:rFonts w:cs="Times New Roman"/>
                <w:szCs w:val="24"/>
                <w:lang w:val="sr-Cyrl-CS"/>
              </w:rPr>
              <w:t>39</w:t>
            </w:r>
            <w:r w:rsidRPr="009F5B52">
              <w:rPr>
                <w:rStyle w:val="hps"/>
                <w:rFonts w:cs="Times New Roman"/>
                <w:szCs w:val="24"/>
                <w:lang w:val="sr-Cyrl-CS"/>
              </w:rPr>
              <w:t>.000</w:t>
            </w:r>
            <w:r w:rsidRPr="009F5B52">
              <w:rPr>
                <w:rStyle w:val="hps"/>
                <w:rFonts w:cs="Times New Roman"/>
                <w:szCs w:val="24"/>
                <w:lang w:val="sr-Cyrl-CS"/>
              </w:rPr>
              <w:tab/>
            </w:r>
          </w:p>
        </w:tc>
        <w:tc>
          <w:tcPr>
            <w:tcW w:w="1655" w:type="dxa"/>
            <w:vAlign w:val="center"/>
          </w:tcPr>
          <w:p w:rsidR="007D070A" w:rsidRPr="009F5B52" w:rsidRDefault="007D070A" w:rsidP="00172313">
            <w:pPr>
              <w:spacing w:before="0" w:after="0" w:line="276" w:lineRule="auto"/>
              <w:jc w:val="right"/>
              <w:rPr>
                <w:rStyle w:val="hps"/>
                <w:rFonts w:cs="Times New Roman"/>
                <w:szCs w:val="24"/>
                <w:lang w:val="sr-Cyrl-CS"/>
              </w:rPr>
            </w:pPr>
            <w:r w:rsidRPr="009F5B52">
              <w:rPr>
                <w:rStyle w:val="hps"/>
                <w:rFonts w:cs="Times New Roman"/>
                <w:szCs w:val="24"/>
                <w:lang w:val="sr-Cyrl-CS"/>
              </w:rPr>
              <w:t>19</w:t>
            </w:r>
            <w:r w:rsidR="00B416D7" w:rsidRPr="009F5B52">
              <w:rPr>
                <w:rStyle w:val="hps"/>
                <w:rFonts w:cs="Times New Roman"/>
                <w:szCs w:val="24"/>
                <w:lang w:val="sr-Cyrl-CS"/>
              </w:rPr>
              <w:t>7</w:t>
            </w:r>
            <w:r w:rsidRPr="009F5B52">
              <w:rPr>
                <w:rStyle w:val="hps"/>
                <w:rFonts w:cs="Times New Roman"/>
                <w:szCs w:val="24"/>
                <w:lang w:val="sr-Cyrl-CS"/>
              </w:rPr>
              <w:t>.</w:t>
            </w:r>
            <w:r w:rsidR="00B416D7" w:rsidRPr="009F5B52">
              <w:rPr>
                <w:rStyle w:val="hps"/>
                <w:rFonts w:cs="Times New Roman"/>
                <w:szCs w:val="24"/>
                <w:lang w:val="sr-Cyrl-CS"/>
              </w:rPr>
              <w:t>237</w:t>
            </w:r>
          </w:p>
        </w:tc>
      </w:tr>
      <w:tr w:rsidR="007D070A" w:rsidRPr="009F5B52" w:rsidTr="007D070A">
        <w:tc>
          <w:tcPr>
            <w:tcW w:w="9243" w:type="dxa"/>
            <w:gridSpan w:val="4"/>
          </w:tcPr>
          <w:p w:rsidR="007D070A" w:rsidRPr="009F5B52" w:rsidRDefault="007D070A" w:rsidP="00172313">
            <w:pPr>
              <w:spacing w:before="0" w:after="0" w:line="276" w:lineRule="auto"/>
              <w:jc w:val="center"/>
              <w:rPr>
                <w:rStyle w:val="hps"/>
                <w:rFonts w:cs="Times New Roman"/>
                <w:b/>
                <w:szCs w:val="24"/>
                <w:lang w:val="sr-Cyrl-CS"/>
              </w:rPr>
            </w:pPr>
            <w:r w:rsidRPr="009F5B52">
              <w:rPr>
                <w:rStyle w:val="hps"/>
                <w:rFonts w:cs="Times New Roman"/>
                <w:b/>
                <w:szCs w:val="24"/>
                <w:lang w:val="sr-Cyrl-CS"/>
              </w:rPr>
              <w:t>Министарство просвете и науке</w:t>
            </w:r>
          </w:p>
        </w:tc>
      </w:tr>
      <w:tr w:rsidR="007D070A" w:rsidRPr="009F5B52" w:rsidTr="00B416D7">
        <w:tc>
          <w:tcPr>
            <w:tcW w:w="3763" w:type="dxa"/>
          </w:tcPr>
          <w:p w:rsidR="007D070A" w:rsidRPr="009F5B52" w:rsidRDefault="00B416D7" w:rsidP="009F5B52">
            <w:pPr>
              <w:spacing w:before="0" w:after="0" w:line="276" w:lineRule="auto"/>
              <w:jc w:val="left"/>
              <w:rPr>
                <w:rFonts w:cs="Times New Roman"/>
                <w:b/>
                <w:szCs w:val="24"/>
                <w:lang w:val="sr-Cyrl-CS"/>
              </w:rPr>
            </w:pPr>
            <w:r w:rsidRPr="009F5B52">
              <w:rPr>
                <w:rStyle w:val="hps"/>
                <w:rFonts w:cs="Times New Roman"/>
                <w:szCs w:val="24"/>
                <w:lang w:val="sr-Cyrl-CS"/>
              </w:rPr>
              <w:t xml:space="preserve">Програм инклузивног образовања финансиран из кредита </w:t>
            </w:r>
            <w:r w:rsidR="009F5B52">
              <w:rPr>
                <w:rStyle w:val="hps"/>
                <w:rFonts w:cs="Times New Roman"/>
                <w:szCs w:val="24"/>
                <w:lang w:val="sr-Cyrl-CS"/>
              </w:rPr>
              <w:t xml:space="preserve">Банка за развој </w:t>
            </w:r>
            <w:r w:rsidRPr="009F5B52">
              <w:rPr>
                <w:rStyle w:val="hps"/>
                <w:rFonts w:cs="Times New Roman"/>
                <w:szCs w:val="24"/>
                <w:lang w:val="sr-Cyrl-CS"/>
              </w:rPr>
              <w:t>Савета Европе</w:t>
            </w:r>
          </w:p>
        </w:tc>
        <w:tc>
          <w:tcPr>
            <w:tcW w:w="1831" w:type="dxa"/>
            <w:vAlign w:val="center"/>
          </w:tcPr>
          <w:p w:rsidR="007D070A" w:rsidRPr="009F5B52" w:rsidRDefault="00B416D7" w:rsidP="00172313">
            <w:pPr>
              <w:spacing w:before="0" w:after="0" w:line="276" w:lineRule="auto"/>
              <w:jc w:val="center"/>
              <w:rPr>
                <w:rStyle w:val="hps"/>
                <w:rFonts w:cs="Times New Roman"/>
                <w:szCs w:val="24"/>
                <w:lang w:val="sr-Cyrl-CS"/>
              </w:rPr>
            </w:pPr>
            <w:r w:rsidRPr="009F5B52">
              <w:rPr>
                <w:rStyle w:val="hps"/>
                <w:rFonts w:cs="Times New Roman"/>
                <w:szCs w:val="24"/>
                <w:lang w:val="sr-Cyrl-CS"/>
              </w:rPr>
              <w:t>2011</w:t>
            </w:r>
          </w:p>
        </w:tc>
        <w:tc>
          <w:tcPr>
            <w:tcW w:w="1994" w:type="dxa"/>
            <w:vAlign w:val="center"/>
          </w:tcPr>
          <w:p w:rsidR="007D070A" w:rsidRPr="009F5B52" w:rsidRDefault="00B416D7" w:rsidP="00172313">
            <w:pPr>
              <w:spacing w:before="0" w:after="0" w:line="276" w:lineRule="auto"/>
              <w:jc w:val="center"/>
              <w:rPr>
                <w:rStyle w:val="hps"/>
                <w:rFonts w:cs="Times New Roman"/>
                <w:szCs w:val="24"/>
                <w:lang w:val="sr-Cyrl-CS"/>
              </w:rPr>
            </w:pPr>
            <w:r w:rsidRPr="009F5B52">
              <w:rPr>
                <w:rStyle w:val="hps"/>
                <w:rFonts w:cs="Times New Roman"/>
                <w:szCs w:val="24"/>
                <w:lang w:val="sr-Cyrl-CS"/>
              </w:rPr>
              <w:t>4.608.000.000</w:t>
            </w:r>
          </w:p>
        </w:tc>
        <w:tc>
          <w:tcPr>
            <w:tcW w:w="1655" w:type="dxa"/>
            <w:vAlign w:val="center"/>
          </w:tcPr>
          <w:p w:rsidR="007D070A" w:rsidRPr="009F5B52" w:rsidRDefault="00B416D7" w:rsidP="009F5B52">
            <w:pPr>
              <w:spacing w:before="0" w:after="0" w:line="276" w:lineRule="auto"/>
              <w:jc w:val="right"/>
              <w:rPr>
                <w:rStyle w:val="hps"/>
                <w:rFonts w:cs="Times New Roman"/>
                <w:szCs w:val="24"/>
                <w:lang w:val="sr-Cyrl-CS"/>
              </w:rPr>
            </w:pPr>
            <w:r w:rsidRPr="009F5B52">
              <w:rPr>
                <w:rStyle w:val="hps"/>
                <w:rFonts w:cs="Times New Roman"/>
                <w:szCs w:val="24"/>
                <w:lang w:val="sr-Cyrl-CS"/>
              </w:rPr>
              <w:t>45</w:t>
            </w:r>
            <w:r w:rsidR="007D070A" w:rsidRPr="009F5B52">
              <w:rPr>
                <w:rStyle w:val="hps"/>
                <w:rFonts w:cs="Times New Roman"/>
                <w:szCs w:val="24"/>
                <w:lang w:val="sr-Cyrl-CS"/>
              </w:rPr>
              <w:t>.000.000</w:t>
            </w:r>
          </w:p>
        </w:tc>
      </w:tr>
      <w:tr w:rsidR="007D070A" w:rsidRPr="009F5B52" w:rsidTr="007D070A">
        <w:tc>
          <w:tcPr>
            <w:tcW w:w="9243" w:type="dxa"/>
            <w:gridSpan w:val="4"/>
          </w:tcPr>
          <w:p w:rsidR="007D070A" w:rsidRPr="009F5B52" w:rsidRDefault="007D070A" w:rsidP="00172313">
            <w:pPr>
              <w:spacing w:before="0" w:after="0" w:line="276" w:lineRule="auto"/>
              <w:rPr>
                <w:rStyle w:val="hps"/>
                <w:rFonts w:cs="Times New Roman"/>
                <w:sz w:val="20"/>
                <w:szCs w:val="20"/>
                <w:lang w:val="sr-Cyrl-CS"/>
              </w:rPr>
            </w:pPr>
            <w:r w:rsidRPr="009F5B52">
              <w:rPr>
                <w:rStyle w:val="hps"/>
                <w:rFonts w:cs="Times New Roman"/>
                <w:sz w:val="20"/>
                <w:szCs w:val="20"/>
                <w:lang w:val="sr-Cyrl-CS"/>
              </w:rPr>
              <w:t>*Просечни курс у 2011. према InforEuro</w:t>
            </w:r>
          </w:p>
        </w:tc>
      </w:tr>
    </w:tbl>
    <w:p w:rsidR="000B0071" w:rsidRPr="009F5B52" w:rsidRDefault="000B0071" w:rsidP="000B0071">
      <w:pPr>
        <w:rPr>
          <w:rFonts w:cs="Times New Roman"/>
          <w:b/>
          <w:szCs w:val="24"/>
          <w:lang w:val="sr-Cyrl-CS"/>
        </w:rPr>
      </w:pPr>
    </w:p>
    <w:tbl>
      <w:tblPr>
        <w:tblStyle w:val="TableGrid"/>
        <w:tblW w:w="0" w:type="auto"/>
        <w:tblLook w:val="04A0" w:firstRow="1" w:lastRow="0" w:firstColumn="1" w:lastColumn="0" w:noHBand="0" w:noVBand="1"/>
      </w:tblPr>
      <w:tblGrid>
        <w:gridCol w:w="9243"/>
      </w:tblGrid>
      <w:tr w:rsidR="008D62BD" w:rsidRPr="008365F6" w:rsidTr="00367650">
        <w:trPr>
          <w:trHeight w:val="440"/>
        </w:trPr>
        <w:tc>
          <w:tcPr>
            <w:tcW w:w="9243" w:type="dxa"/>
          </w:tcPr>
          <w:p w:rsidR="008D62BD" w:rsidRPr="009F5B52" w:rsidRDefault="008D62BD" w:rsidP="008D62BD">
            <w:pPr>
              <w:spacing w:after="200" w:line="276" w:lineRule="auto"/>
              <w:rPr>
                <w:rFonts w:cs="Times New Roman"/>
                <w:b/>
                <w:sz w:val="23"/>
                <w:szCs w:val="23"/>
                <w:lang w:val="sr-Cyrl-CS"/>
              </w:rPr>
            </w:pPr>
            <w:r w:rsidRPr="009F5B52">
              <w:rPr>
                <w:rFonts w:cs="Times New Roman"/>
                <w:b/>
                <w:sz w:val="23"/>
                <w:szCs w:val="23"/>
                <w:lang w:val="sr-Cyrl-CS"/>
              </w:rPr>
              <w:t xml:space="preserve">Бокс </w:t>
            </w:r>
            <w:r w:rsidR="007B378C" w:rsidRPr="009F5B52">
              <w:rPr>
                <w:rFonts w:cs="Times New Roman"/>
                <w:b/>
                <w:sz w:val="23"/>
                <w:szCs w:val="23"/>
                <w:lang w:val="sr-Cyrl-CS"/>
              </w:rPr>
              <w:t>1</w:t>
            </w:r>
            <w:r w:rsidRPr="009F5B52">
              <w:rPr>
                <w:rFonts w:cs="Times New Roman"/>
                <w:b/>
                <w:sz w:val="23"/>
                <w:szCs w:val="23"/>
                <w:lang w:val="sr-Cyrl-CS"/>
              </w:rPr>
              <w:t xml:space="preserve">. </w:t>
            </w:r>
            <w:r w:rsidRPr="009F5B52">
              <w:rPr>
                <w:rFonts w:cs="Times New Roman"/>
                <w:b/>
                <w:sz w:val="23"/>
                <w:szCs w:val="23"/>
                <w:u w:val="single"/>
                <w:lang w:val="sr-Cyrl-CS"/>
              </w:rPr>
              <w:t>Бивши савезни фондови</w:t>
            </w:r>
          </w:p>
          <w:p w:rsidR="008D62BD" w:rsidRPr="009F5B52" w:rsidRDefault="008D62BD" w:rsidP="009F5B52">
            <w:pPr>
              <w:spacing w:after="200" w:line="276" w:lineRule="auto"/>
              <w:rPr>
                <w:rFonts w:cs="Times New Roman"/>
                <w:b/>
                <w:szCs w:val="24"/>
                <w:lang w:val="sr-Cyrl-CS"/>
              </w:rPr>
            </w:pPr>
            <w:r w:rsidRPr="009F5B52">
              <w:rPr>
                <w:rFonts w:cs="Times New Roman"/>
                <w:sz w:val="23"/>
                <w:szCs w:val="23"/>
                <w:lang w:val="sr-Cyrl-CS"/>
              </w:rPr>
              <w:t xml:space="preserve">Постоје </w:t>
            </w:r>
            <w:r w:rsidR="007B378C" w:rsidRPr="009F5B52">
              <w:rPr>
                <w:rFonts w:cs="Times New Roman"/>
                <w:sz w:val="23"/>
                <w:szCs w:val="23"/>
                <w:lang w:val="sr-Cyrl-CS"/>
              </w:rPr>
              <w:t xml:space="preserve">још </w:t>
            </w:r>
            <w:r w:rsidRPr="009F5B52">
              <w:rPr>
                <w:rFonts w:cs="Times New Roman"/>
                <w:sz w:val="23"/>
                <w:szCs w:val="23"/>
                <w:lang w:val="sr-Cyrl-CS"/>
              </w:rPr>
              <w:t xml:space="preserve">две релевантне институције – бивши савезни фондови који су пренети под надлежност Републике Србије. То су </w:t>
            </w:r>
            <w:r w:rsidRPr="009F5B52">
              <w:rPr>
                <w:rFonts w:cs="Times New Roman"/>
                <w:b/>
                <w:sz w:val="23"/>
                <w:szCs w:val="23"/>
                <w:lang w:val="sr-Cyrl-CS"/>
              </w:rPr>
              <w:t xml:space="preserve">Фонд Федерације за кредитирање бржег развоја привредно недовољно развијених република и аутономних покрајина </w:t>
            </w:r>
            <w:r w:rsidRPr="009F5B52">
              <w:rPr>
                <w:rFonts w:cs="Times New Roman"/>
                <w:sz w:val="23"/>
                <w:szCs w:val="23"/>
                <w:lang w:val="sr-Cyrl-CS"/>
              </w:rPr>
              <w:t xml:space="preserve">и </w:t>
            </w:r>
            <w:r w:rsidRPr="009F5B52">
              <w:rPr>
                <w:rFonts w:cs="Times New Roman"/>
                <w:b/>
                <w:sz w:val="23"/>
                <w:szCs w:val="23"/>
                <w:lang w:val="sr-Cyrl-CS"/>
              </w:rPr>
              <w:t>Фонд за финансирање повећања запослености у привредно недовољно развијеним и изразито емиграционим подручјима,</w:t>
            </w:r>
            <w:r w:rsidRPr="009F5B52">
              <w:rPr>
                <w:rFonts w:cs="Times New Roman"/>
                <w:sz w:val="23"/>
                <w:szCs w:val="23"/>
                <w:lang w:val="sr-Cyrl-CS"/>
              </w:rPr>
              <w:t xml:space="preserve"> који још увек постоје и раде. Ови фондови поседују сопствена буџетска и ванбуџетска средства за рад, канцеларијски простор и укупно 9 запослених, за заједничким секретаријатом и директором. Опслужују бројне кредите и развојне пројекте и као такви искусни су у раду са међународним институцијама (нпр. Банка за развој Савета Европе). Такође већ спроводе поједине пројекте у области социјалног укључивања (нпр. обука и запошљавање, односно реинтеграција радника који се враћају са привременог рада у Немачкој). Њихова улога у вези са успостављањем Фонда за социјално укључивање захтева додатну анализу на основу њиховог институционалног и правног контекста, капацитета и обавеза</w:t>
            </w:r>
            <w:r w:rsidRPr="009F5B52">
              <w:rPr>
                <w:rFonts w:cs="Times New Roman"/>
                <w:szCs w:val="24"/>
                <w:lang w:val="sr-Cyrl-CS"/>
              </w:rPr>
              <w:t>.</w:t>
            </w:r>
          </w:p>
        </w:tc>
      </w:tr>
    </w:tbl>
    <w:p w:rsidR="007B378C" w:rsidRPr="009F5B52" w:rsidRDefault="007B378C" w:rsidP="007B378C">
      <w:pPr>
        <w:rPr>
          <w:lang w:val="sr-Cyrl-CS"/>
        </w:rPr>
      </w:pPr>
      <w:r w:rsidRPr="009F5B52">
        <w:rPr>
          <w:lang w:val="sr-Cyrl-CS"/>
        </w:rPr>
        <w:t xml:space="preserve">Поред ових фондова и програма, постоје и друге могућности за финансирање мера социјалног укључивања, на пример могућност утврђена Законом о одузимању имовине проистекле из кривичног дела. Чланом 49. Закона прописано је да новчана средства добијена продајом одузете имовине могу да се користе за финансирање социјалних, здравствених, просветних и других установа, у складу са актом Владе. </w:t>
      </w:r>
    </w:p>
    <w:p w:rsidR="007B378C" w:rsidRPr="009F5B52" w:rsidRDefault="007B378C" w:rsidP="007B378C">
      <w:pPr>
        <w:rPr>
          <w:lang w:val="sr-Cyrl-CS"/>
        </w:rPr>
      </w:pPr>
      <w:r w:rsidRPr="009F5B52">
        <w:rPr>
          <w:lang w:val="sr-Cyrl-CS"/>
        </w:rPr>
        <w:t>Као закључак може се рећи да постојећи буџетски фондови и програми у области социјалног укључивања на централном нивоу не представљају механизме за делотворно и ефикасно трошење јавних сред</w:t>
      </w:r>
      <w:r w:rsidR="00F56082" w:rsidRPr="009F5B52">
        <w:rPr>
          <w:lang w:val="sr-Cyrl-CS"/>
        </w:rPr>
        <w:t>с</w:t>
      </w:r>
      <w:r w:rsidRPr="009F5B52">
        <w:rPr>
          <w:lang w:val="sr-Cyrl-CS"/>
        </w:rPr>
        <w:t xml:space="preserve">тава. Присутна је јасна потреба за обједињавање извесног броја ових фондова у један заједнички механизам. </w:t>
      </w:r>
      <w:r w:rsidR="00F56082" w:rsidRPr="009F5B52">
        <w:rPr>
          <w:lang w:val="sr-Cyrl-CS"/>
        </w:rPr>
        <w:t xml:space="preserve">Показало се да је интегрисање фондова различитих министарстава тежак задатак, чак и када се ради о фондовима једног истог министарства. Ипак, овај изазов се може превладати уз </w:t>
      </w:r>
      <w:r w:rsidR="00F56082" w:rsidRPr="009F5B52">
        <w:rPr>
          <w:lang w:val="sr-Cyrl-CS"/>
        </w:rPr>
        <w:lastRenderedPageBreak/>
        <w:t xml:space="preserve">постојање снажне политичке воље и подршке од стране ЕУ у погледу изградње окружења погодног за јаснију улогу у изради и примени политика у области социјалног укључивања. </w:t>
      </w:r>
    </w:p>
    <w:p w:rsidR="008D62BD" w:rsidRPr="009F5B52" w:rsidRDefault="008D62BD" w:rsidP="008D62BD">
      <w:pPr>
        <w:pStyle w:val="Heading2"/>
        <w:rPr>
          <w:rStyle w:val="IntenseReference"/>
          <w:b/>
          <w:bCs/>
          <w:smallCaps w:val="0"/>
          <w:color w:val="4F81BD" w:themeColor="accent1"/>
          <w:spacing w:val="0"/>
          <w:u w:val="none"/>
          <w:lang w:val="sr-Cyrl-CS"/>
        </w:rPr>
      </w:pPr>
      <w:bookmarkStart w:id="20" w:name="_Toc327447128"/>
      <w:bookmarkStart w:id="21" w:name="_Toc330562297"/>
      <w:r w:rsidRPr="009F5B52">
        <w:rPr>
          <w:rStyle w:val="IntenseReference"/>
          <w:b/>
          <w:bCs/>
          <w:smallCaps w:val="0"/>
          <w:color w:val="4F81BD" w:themeColor="accent1"/>
          <w:spacing w:val="0"/>
          <w:u w:val="none"/>
          <w:lang w:val="sr-Cyrl-CS"/>
        </w:rPr>
        <w:t>1.</w:t>
      </w:r>
      <w:r w:rsidR="007B378C" w:rsidRPr="009F5B52">
        <w:rPr>
          <w:rStyle w:val="IntenseReference"/>
          <w:b/>
          <w:bCs/>
          <w:smallCaps w:val="0"/>
          <w:color w:val="4F81BD" w:themeColor="accent1"/>
          <w:spacing w:val="0"/>
          <w:u w:val="none"/>
          <w:lang w:val="sr-Cyrl-CS"/>
        </w:rPr>
        <w:t>6</w:t>
      </w:r>
      <w:r w:rsidRPr="009F5B52">
        <w:rPr>
          <w:rStyle w:val="IntenseReference"/>
          <w:b/>
          <w:bCs/>
          <w:smallCaps w:val="0"/>
          <w:color w:val="4F81BD" w:themeColor="accent1"/>
          <w:spacing w:val="0"/>
          <w:u w:val="none"/>
          <w:lang w:val="sr-Cyrl-CS"/>
        </w:rPr>
        <w:t xml:space="preserve">. </w:t>
      </w:r>
      <w:bookmarkEnd w:id="20"/>
      <w:r w:rsidRPr="009F5B52">
        <w:rPr>
          <w:rStyle w:val="IntenseReference"/>
          <w:b/>
          <w:bCs/>
          <w:smallCaps w:val="0"/>
          <w:color w:val="4F81BD" w:themeColor="accent1"/>
          <w:spacing w:val="0"/>
          <w:u w:val="none"/>
          <w:lang w:val="sr-Cyrl-CS"/>
        </w:rPr>
        <w:t>Релевантни пројекти</w:t>
      </w:r>
      <w:bookmarkEnd w:id="21"/>
      <w:r w:rsidRPr="009F5B52">
        <w:rPr>
          <w:rStyle w:val="IntenseReference"/>
          <w:b/>
          <w:bCs/>
          <w:smallCaps w:val="0"/>
          <w:color w:val="4F81BD" w:themeColor="accent1"/>
          <w:spacing w:val="0"/>
          <w:u w:val="none"/>
          <w:lang w:val="sr-Cyrl-CS"/>
        </w:rPr>
        <w:t xml:space="preserve"> </w:t>
      </w:r>
    </w:p>
    <w:p w:rsidR="00F56082" w:rsidRPr="009F5B52" w:rsidRDefault="00F56082" w:rsidP="00F56082">
      <w:pPr>
        <w:rPr>
          <w:lang w:val="sr-Cyrl-CS"/>
        </w:rPr>
      </w:pPr>
      <w:r w:rsidRPr="009F5B52">
        <w:rPr>
          <w:lang w:val="sr-Cyrl-CS"/>
        </w:rPr>
        <w:t xml:space="preserve">Још један проблем је видљив у вези са управљањем мерама социјалног укључивања које су финансиране средствима из екстерних извора. У претходном периоду реализовани су многи програми финансирани бесповратним средствима и из зајмова, али најважнији изазов за све наведене програме јесте питање тзв. институционалног сећања, јер је већина програма финансирана и реализована кроз наменски успостављене пројектне јединице, које су престале са радом након што су пројекти окончани. Рационалнији и ефикаснији приступ јесте изградња капацитета јединственог тела које може апсорбовати и, што је важније, реализовати средства у складу са строгим критеријумима које дефинишу развојни партнери. </w:t>
      </w:r>
    </w:p>
    <w:p w:rsidR="008D62BD" w:rsidRPr="009F5B52" w:rsidRDefault="008D62BD" w:rsidP="008D62BD">
      <w:pPr>
        <w:rPr>
          <w:rFonts w:cs="Times New Roman"/>
          <w:szCs w:val="24"/>
          <w:lang w:val="sr-Cyrl-CS"/>
        </w:rPr>
      </w:pPr>
      <w:r w:rsidRPr="009F5B52">
        <w:rPr>
          <w:rFonts w:cs="Times New Roman"/>
          <w:b/>
          <w:szCs w:val="24"/>
          <w:lang w:val="sr-Cyrl-CS"/>
        </w:rPr>
        <w:t>Пројекат DILS (Пружање унапређених услуга на локалном нивоу)</w:t>
      </w:r>
      <w:r w:rsidRPr="009F5B52">
        <w:rPr>
          <w:rFonts w:cs="Times New Roman"/>
          <w:szCs w:val="24"/>
          <w:lang w:val="sr-Cyrl-CS"/>
        </w:rPr>
        <w:t xml:space="preserve"> финансира се из зајма Светске банке од 32 милиона евра. Пројекат спроводе тим за спровођење пројекта и три министарства (Министарство просвете и науке, Министарство рада и социјалне политике и Министарство здравља). Циљ пројекта јесте јачање капацитета установа здравствене заштите, образовања и социјалне заштите на локалном нивоу ради пружања ефикасних, доступних и квалитетних услуга, финансираних по принципу „новац следи клијента” у децентрализованом окружењу које брине о угроженим корисницима услуга. Главне активности укључују бесповратна средства, успостављање информационих система, обуку, иновације итд.</w:t>
      </w:r>
    </w:p>
    <w:p w:rsidR="008D62BD" w:rsidRPr="009F5B52" w:rsidRDefault="008D62BD" w:rsidP="008D62BD">
      <w:pPr>
        <w:rPr>
          <w:rFonts w:cs="Times New Roman"/>
          <w:szCs w:val="24"/>
          <w:lang w:val="sr-Cyrl-CS"/>
        </w:rPr>
      </w:pPr>
      <w:r w:rsidRPr="009F5B52">
        <w:rPr>
          <w:rFonts w:cs="Times New Roman"/>
          <w:szCs w:val="24"/>
          <w:lang w:val="sr-Cyrl-CS"/>
        </w:rPr>
        <w:t>Министарство просвете и науке развило је и тестирало ефикасан модел инклузивног образовања у девет пилот школа током 2009. и 2010. године. Овај модел је потом проширен на читав образовни систем. Нарочита пажња дата је питању укључивања Рома и са тим циљем је осмишљен под-пројекат насловљен „Образовно укључивање Рома”. У склопу тог оквира, 56 локалних самоуправа са високим процентом ромског становништва примило је бесповратна средства усмерена на повећање квалитета и доступности образовања ромских ученика. Просечан износ бесповратних средстава је 35.000 евра. Подаци о активностима везаним за ученике из сиромашних породица и руралних подручја у овом тренутку нису доступни.</w:t>
      </w:r>
    </w:p>
    <w:p w:rsidR="008D62BD" w:rsidRPr="009F5B52" w:rsidRDefault="008D62BD" w:rsidP="008D62BD">
      <w:pPr>
        <w:rPr>
          <w:rFonts w:cs="Times New Roman"/>
          <w:szCs w:val="24"/>
          <w:lang w:val="sr-Cyrl-CS"/>
        </w:rPr>
      </w:pPr>
      <w:r w:rsidRPr="009F5B52">
        <w:rPr>
          <w:rFonts w:cs="Times New Roman"/>
          <w:szCs w:val="24"/>
          <w:lang w:val="sr-Cyrl-CS"/>
        </w:rPr>
        <w:t>Са друге стране, Министарство рада и социјалне политике додељује бесповратна средства удружењима особа са инвалидитетом. Спроведена су два круга доделе бесповратних средстава. Кандидати су невладине организације које се баве питањима инвалидитета. Током 2010. године одобрено је укупно 48 пројеката. Целокупан буџет за локалне пројекте износио је 400.000 евра. Током 2011. године одобрено је укупно 36 пројеката. Конкурс из 2011. године осмишљен је тако да подржи „пакете услуга” који би током 2012. године постали део редовних активности 34 асоцијације и 500 локалних организација.</w:t>
      </w:r>
    </w:p>
    <w:p w:rsidR="008D62BD" w:rsidRPr="009F5B52" w:rsidRDefault="008D62BD" w:rsidP="008D62BD">
      <w:pPr>
        <w:rPr>
          <w:rFonts w:cs="Times New Roman"/>
          <w:szCs w:val="24"/>
          <w:lang w:val="sr-Cyrl-CS"/>
        </w:rPr>
      </w:pPr>
      <w:r w:rsidRPr="009F5B52">
        <w:rPr>
          <w:rFonts w:cs="Times New Roman"/>
          <w:szCs w:val="24"/>
          <w:lang w:val="sr-Cyrl-CS"/>
        </w:rPr>
        <w:t xml:space="preserve">Тренутно се </w:t>
      </w:r>
      <w:r w:rsidRPr="009F5B52">
        <w:rPr>
          <w:rFonts w:cs="Times New Roman"/>
          <w:b/>
          <w:szCs w:val="24"/>
          <w:lang w:val="sr-Cyrl-CS"/>
        </w:rPr>
        <w:t xml:space="preserve">спроводи низ програма финансираних средствима ЕУ, </w:t>
      </w:r>
      <w:r w:rsidRPr="009F5B52">
        <w:rPr>
          <w:rFonts w:cs="Times New Roman"/>
          <w:szCs w:val="24"/>
          <w:lang w:val="sr-Cyrl-CS"/>
        </w:rPr>
        <w:t>између осталог:</w:t>
      </w:r>
    </w:p>
    <w:p w:rsidR="00A55776" w:rsidRPr="009F5B52" w:rsidRDefault="008D62BD" w:rsidP="00A55776">
      <w:pPr>
        <w:pStyle w:val="ListParagraph"/>
        <w:numPr>
          <w:ilvl w:val="0"/>
          <w:numId w:val="11"/>
        </w:numPr>
        <w:rPr>
          <w:rFonts w:cs="Times New Roman"/>
          <w:szCs w:val="24"/>
          <w:lang w:val="sr-Cyrl-CS"/>
        </w:rPr>
      </w:pPr>
      <w:r w:rsidRPr="009F5B52">
        <w:rPr>
          <w:rFonts w:cs="Times New Roman"/>
          <w:i/>
          <w:szCs w:val="24"/>
          <w:lang w:val="sr-Cyrl-CS"/>
        </w:rPr>
        <w:lastRenderedPageBreak/>
        <w:t xml:space="preserve">„Подршка цивилном друштву” </w:t>
      </w:r>
      <w:r w:rsidRPr="009F5B52">
        <w:rPr>
          <w:rFonts w:cs="Times New Roman"/>
          <w:szCs w:val="24"/>
          <w:lang w:val="sr-Cyrl-CS"/>
        </w:rPr>
        <w:t>је програм који финансира ЕУ са 4 милиона евра за бесповратна средства организацијама цивилног друштва. У периоду од 2011. до 2012. године спроводило се укупно 48 пројеката. Наредни круг пројеката који ће бити финансиран треба да буде одабран до краја 2012. године.</w:t>
      </w:r>
    </w:p>
    <w:p w:rsidR="00A55776" w:rsidRPr="009F5B52" w:rsidRDefault="008D62BD" w:rsidP="00A55776">
      <w:pPr>
        <w:pStyle w:val="ListParagraph"/>
        <w:numPr>
          <w:ilvl w:val="0"/>
          <w:numId w:val="11"/>
        </w:numPr>
        <w:rPr>
          <w:rFonts w:cs="Times New Roman"/>
          <w:szCs w:val="24"/>
          <w:lang w:val="sr-Cyrl-CS"/>
        </w:rPr>
      </w:pPr>
      <w:r w:rsidRPr="009F5B52">
        <w:rPr>
          <w:rFonts w:cs="Times New Roman"/>
          <w:i/>
          <w:szCs w:val="24"/>
          <w:lang w:val="sr-Cyrl-CS"/>
        </w:rPr>
        <w:t xml:space="preserve">„Подршка приступу правима, запошљавању и побољшању услова живота избеглица и интерно расељених лица у Републици Србији” </w:t>
      </w:r>
      <w:r w:rsidRPr="009F5B52">
        <w:rPr>
          <w:rFonts w:cs="Times New Roman"/>
          <w:szCs w:val="24"/>
          <w:lang w:val="sr-Cyrl-CS"/>
        </w:rPr>
        <w:t>је програм који финансира ЕУ, а спроводи Министарство рада и социјалне политике. Током 2012. године укупно 2,6 милиона евра додељено је за 25 локалних самоуправа за пројекте унапређења социјалног укључивања избеглица и интерно расељених лица.</w:t>
      </w:r>
    </w:p>
    <w:p w:rsidR="00A55776" w:rsidRPr="009F5B52" w:rsidRDefault="008D62BD" w:rsidP="00A55776">
      <w:pPr>
        <w:pStyle w:val="ListParagraph"/>
        <w:numPr>
          <w:ilvl w:val="0"/>
          <w:numId w:val="11"/>
        </w:numPr>
        <w:rPr>
          <w:rFonts w:cs="Times New Roman"/>
          <w:szCs w:val="24"/>
          <w:lang w:val="sr-Cyrl-CS"/>
        </w:rPr>
      </w:pPr>
      <w:r w:rsidRPr="009F5B52">
        <w:rPr>
          <w:rFonts w:cs="Times New Roman"/>
          <w:i/>
          <w:szCs w:val="24"/>
          <w:lang w:val="sr-Cyrl-CS"/>
        </w:rPr>
        <w:t xml:space="preserve">„Развој локалних услуга за децу са инвалидитетом и њихове породице” </w:t>
      </w:r>
      <w:r w:rsidRPr="009F5B52">
        <w:rPr>
          <w:rFonts w:cs="Times New Roman"/>
          <w:szCs w:val="24"/>
          <w:lang w:val="sr-Cyrl-CS"/>
        </w:rPr>
        <w:t>је пројекат који спроводе УНИЦЕФ и Министарство рада и социјалне политике, а финансира га ЕУ. Различите услуге социјалне заштите финансирају се у 41 општини.</w:t>
      </w:r>
    </w:p>
    <w:p w:rsidR="008D62BD" w:rsidRPr="009F5B52" w:rsidRDefault="008D62BD" w:rsidP="00A55776">
      <w:pPr>
        <w:pStyle w:val="ListParagraph"/>
        <w:numPr>
          <w:ilvl w:val="0"/>
          <w:numId w:val="11"/>
        </w:numPr>
        <w:rPr>
          <w:rFonts w:cs="Times New Roman"/>
          <w:szCs w:val="24"/>
          <w:lang w:val="sr-Cyrl-CS"/>
        </w:rPr>
      </w:pPr>
      <w:r w:rsidRPr="009F5B52">
        <w:rPr>
          <w:rFonts w:cs="Times New Roman"/>
          <w:i/>
          <w:szCs w:val="24"/>
          <w:lang w:val="sr-Cyrl-CS"/>
        </w:rPr>
        <w:t xml:space="preserve">„Друга шанса” </w:t>
      </w:r>
      <w:r w:rsidRPr="009F5B52">
        <w:rPr>
          <w:rFonts w:cs="Times New Roman"/>
          <w:szCs w:val="24"/>
          <w:lang w:val="sr-Cyrl-CS"/>
        </w:rPr>
        <w:t>је пројекат вредан 4 милиона евра који финансира ЕУ, и њиме се пружају програми образовања одраслих у 80 основних школа широм Републике Србије. Пројектом се развијају пакети обуке и организује обука за укупно 4.000 корисника.</w:t>
      </w:r>
    </w:p>
    <w:p w:rsidR="008D62BD" w:rsidRPr="009F5B52" w:rsidRDefault="008D62BD" w:rsidP="008D62BD">
      <w:pPr>
        <w:rPr>
          <w:rStyle w:val="hps"/>
          <w:rFonts w:cs="Times New Roman"/>
          <w:szCs w:val="24"/>
          <w:lang w:val="sr-Cyrl-CS"/>
        </w:rPr>
      </w:pPr>
      <w:r w:rsidRPr="009F5B52">
        <w:rPr>
          <w:rStyle w:val="hps"/>
          <w:rFonts w:cs="Times New Roman"/>
          <w:b/>
          <w:szCs w:val="24"/>
          <w:lang w:val="sr-Cyrl-CS"/>
        </w:rPr>
        <w:t>Фонд за социјалне иновације</w:t>
      </w:r>
      <w:r w:rsidRPr="009F5B52">
        <w:rPr>
          <w:rStyle w:val="hps"/>
          <w:rFonts w:cs="Times New Roman"/>
          <w:szCs w:val="24"/>
          <w:lang w:val="sr-Cyrl-CS"/>
        </w:rPr>
        <w:t xml:space="preserve"> (ФСИ) представљао је програм Министарства рада и социјалне политике, који су подржали УНДП и ЕУ. Основан је са циљевима:</w:t>
      </w:r>
    </w:p>
    <w:p w:rsidR="008D62BD" w:rsidRPr="009F5B52" w:rsidRDefault="008D62BD" w:rsidP="008D62BD">
      <w:pPr>
        <w:pStyle w:val="ListParagraph"/>
        <w:numPr>
          <w:ilvl w:val="0"/>
          <w:numId w:val="11"/>
        </w:numPr>
        <w:rPr>
          <w:rStyle w:val="hps"/>
          <w:rFonts w:cs="Times New Roman"/>
          <w:szCs w:val="24"/>
          <w:lang w:val="sr-Cyrl-CS"/>
        </w:rPr>
      </w:pPr>
      <w:r w:rsidRPr="009F5B52">
        <w:rPr>
          <w:rStyle w:val="hps"/>
          <w:rFonts w:cs="Times New Roman"/>
          <w:szCs w:val="24"/>
          <w:lang w:val="sr-Cyrl-CS"/>
        </w:rPr>
        <w:t>подршке развоју иновативних услуга,</w:t>
      </w:r>
    </w:p>
    <w:p w:rsidR="008D62BD" w:rsidRPr="009F5B52" w:rsidRDefault="008D62BD" w:rsidP="008D62BD">
      <w:pPr>
        <w:pStyle w:val="ListParagraph"/>
        <w:numPr>
          <w:ilvl w:val="0"/>
          <w:numId w:val="11"/>
        </w:numPr>
        <w:rPr>
          <w:rStyle w:val="hps"/>
          <w:rFonts w:cs="Times New Roman"/>
          <w:szCs w:val="24"/>
          <w:lang w:val="sr-Cyrl-CS"/>
        </w:rPr>
      </w:pPr>
      <w:r w:rsidRPr="009F5B52">
        <w:rPr>
          <w:rStyle w:val="hps"/>
          <w:rFonts w:cs="Times New Roman"/>
          <w:szCs w:val="24"/>
          <w:lang w:val="sr-Cyrl-CS"/>
        </w:rPr>
        <w:t>подршке развоју и интеграцији најбољих пракси у систем социјалне заштите,</w:t>
      </w:r>
    </w:p>
    <w:p w:rsidR="008D62BD" w:rsidRPr="009F5B52" w:rsidRDefault="008D62BD" w:rsidP="008D62BD">
      <w:pPr>
        <w:pStyle w:val="ListParagraph"/>
        <w:numPr>
          <w:ilvl w:val="0"/>
          <w:numId w:val="11"/>
        </w:numPr>
        <w:rPr>
          <w:rStyle w:val="hps"/>
          <w:rFonts w:cs="Times New Roman"/>
          <w:szCs w:val="24"/>
          <w:lang w:val="sr-Cyrl-CS"/>
        </w:rPr>
      </w:pPr>
      <w:r w:rsidRPr="009F5B52">
        <w:rPr>
          <w:rStyle w:val="hps"/>
          <w:rFonts w:cs="Times New Roman"/>
          <w:szCs w:val="24"/>
          <w:lang w:val="sr-Cyrl-CS"/>
        </w:rPr>
        <w:t>подршке развоју услуга у местима где ове услуге не постоје,</w:t>
      </w:r>
    </w:p>
    <w:p w:rsidR="008D62BD" w:rsidRPr="009F5B52" w:rsidRDefault="008D62BD" w:rsidP="008D62BD">
      <w:pPr>
        <w:pStyle w:val="ListParagraph"/>
        <w:numPr>
          <w:ilvl w:val="0"/>
          <w:numId w:val="11"/>
        </w:numPr>
        <w:rPr>
          <w:rStyle w:val="hps"/>
          <w:rFonts w:cs="Times New Roman"/>
          <w:szCs w:val="24"/>
          <w:lang w:val="sr-Cyrl-CS"/>
        </w:rPr>
      </w:pPr>
      <w:r w:rsidRPr="009F5B52">
        <w:rPr>
          <w:rStyle w:val="hps"/>
          <w:rFonts w:cs="Times New Roman"/>
          <w:szCs w:val="24"/>
          <w:lang w:val="sr-Cyrl-CS"/>
        </w:rPr>
        <w:t>развоја капацитета пружалаца услуга и</w:t>
      </w:r>
    </w:p>
    <w:p w:rsidR="008D62BD" w:rsidRPr="009F5B52" w:rsidRDefault="008D62BD" w:rsidP="008D62BD">
      <w:pPr>
        <w:pStyle w:val="ListParagraph"/>
        <w:numPr>
          <w:ilvl w:val="0"/>
          <w:numId w:val="11"/>
        </w:numPr>
        <w:rPr>
          <w:rFonts w:cs="Times New Roman"/>
          <w:szCs w:val="24"/>
          <w:lang w:val="sr-Cyrl-CS"/>
        </w:rPr>
      </w:pPr>
      <w:r w:rsidRPr="009F5B52">
        <w:rPr>
          <w:rStyle w:val="hps"/>
          <w:rFonts w:cs="Times New Roman"/>
          <w:szCs w:val="24"/>
          <w:lang w:val="sr-Cyrl-CS"/>
        </w:rPr>
        <w:t>увођења нових актера у систем (профитни и непрофитни сектор).</w:t>
      </w:r>
    </w:p>
    <w:p w:rsidR="008D62BD" w:rsidRPr="009F5B52" w:rsidRDefault="008D62BD" w:rsidP="008D62BD">
      <w:pPr>
        <w:rPr>
          <w:rStyle w:val="hps"/>
          <w:rFonts w:cs="Times New Roman"/>
          <w:szCs w:val="24"/>
          <w:lang w:val="sr-Cyrl-CS"/>
        </w:rPr>
      </w:pPr>
      <w:r w:rsidRPr="009F5B52">
        <w:rPr>
          <w:rStyle w:val="hps"/>
          <w:rFonts w:cs="Times New Roman"/>
          <w:szCs w:val="24"/>
          <w:lang w:val="sr-Cyrl-CS"/>
        </w:rPr>
        <w:t>Фонд је организовао јавне конкурсе. Пројекте су пријављивале НВО у партнерству са јавним институцијама, који су морали бити у складу са локалним приоритетима (током каснијих фаза, финансирани пројекти одражавали су приоритете локалних стратегија за социјалну заштиту).</w:t>
      </w:r>
    </w:p>
    <w:p w:rsidR="008D62BD" w:rsidRPr="009F5B52" w:rsidRDefault="008D62BD" w:rsidP="008D62BD">
      <w:pPr>
        <w:rPr>
          <w:rFonts w:cs="Times New Roman"/>
          <w:szCs w:val="24"/>
          <w:lang w:val="sr-Cyrl-CS"/>
        </w:rPr>
      </w:pPr>
      <w:r w:rsidRPr="009F5B52">
        <w:rPr>
          <w:rStyle w:val="hps"/>
          <w:rFonts w:cs="Times New Roman"/>
          <w:szCs w:val="24"/>
          <w:lang w:val="sr-Cyrl-CS"/>
        </w:rPr>
        <w:t>Питање правног положаја Фонда за социјалне иновације никада није разрешено, иако су неколико пута уложени напори да се он дефинише и да се постигне споразум у оквиру Владе и ресорног министарства. Размотрено је неколико решења: оснивање Фонда као дела ресорног министарства, оснивање јавне агенције, пројектног центра у склопу министарства или придруживање Заводу за социјалну заштиту. Највећи број анализа ово је препознао као кључни недостатак. Међутим, Фонд за социјалне иновације успостављен је под претпоставком да ће представљати привремени (прелазни) механизам. Приручник за рад ФСИ садржи могућност да ће Фонд представљати прелазни механизам који ће се угасити након што потреба за њим нестане</w:t>
      </w:r>
      <w:r w:rsidRPr="009F5B52">
        <w:rPr>
          <w:rFonts w:cs="Times New Roman"/>
          <w:szCs w:val="24"/>
          <w:lang w:val="sr-Cyrl-CS"/>
        </w:rPr>
        <w:t>.</w:t>
      </w:r>
    </w:p>
    <w:p w:rsidR="008D62BD" w:rsidRPr="009F5B52" w:rsidRDefault="008D62BD" w:rsidP="008D62BD">
      <w:pPr>
        <w:rPr>
          <w:rStyle w:val="hps"/>
          <w:rFonts w:cs="Times New Roman"/>
          <w:szCs w:val="24"/>
          <w:lang w:val="sr-Cyrl-CS"/>
        </w:rPr>
      </w:pPr>
      <w:r w:rsidRPr="009F5B52">
        <w:rPr>
          <w:rStyle w:val="hps"/>
          <w:rFonts w:cs="Times New Roman"/>
          <w:szCs w:val="24"/>
          <w:lang w:val="sr-Cyrl-CS"/>
        </w:rPr>
        <w:t xml:space="preserve">Кључне мере које су довеле до релативно добрих резултата у интеграцији пројеката у системе социјалне заштите на локалном нивоу јесу мањи буџети (испод 20.000 евра </w:t>
      </w:r>
      <w:r w:rsidRPr="009F5B52">
        <w:rPr>
          <w:rStyle w:val="hps"/>
          <w:rFonts w:cs="Times New Roman"/>
          <w:szCs w:val="24"/>
          <w:lang w:val="sr-Cyrl-CS"/>
        </w:rPr>
        <w:lastRenderedPageBreak/>
        <w:t>уколико просек не укључује велике пројекте трансформације установа), кофинансирање са локалним властима, утврђивање приоритета на основу планирања на локалном нивоу и садржаности у локалним стратегијама социјалне заштите и постепено смањење удела финансирања укупних трошкова услуга од стране ФСИ током периода од две до три године.</w:t>
      </w:r>
    </w:p>
    <w:p w:rsidR="008D62BD" w:rsidRPr="009F5B52" w:rsidRDefault="008D62BD" w:rsidP="008D62BD">
      <w:pPr>
        <w:rPr>
          <w:rStyle w:val="hps"/>
          <w:rFonts w:cs="Times New Roman"/>
          <w:szCs w:val="24"/>
          <w:lang w:val="sr-Cyrl-CS"/>
        </w:rPr>
      </w:pPr>
      <w:r w:rsidRPr="009F5B52">
        <w:rPr>
          <w:rStyle w:val="hps"/>
          <w:rFonts w:cs="Times New Roman"/>
          <w:szCs w:val="24"/>
          <w:lang w:val="sr-Cyrl-CS"/>
        </w:rPr>
        <w:t xml:space="preserve">Евалуација рада Фонда је такође показала да је </w:t>
      </w:r>
      <w:r w:rsidRPr="009F5B52">
        <w:rPr>
          <w:rStyle w:val="hps"/>
          <w:rFonts w:cs="Times New Roman"/>
          <w:i/>
          <w:szCs w:val="24"/>
          <w:lang w:val="sr-Cyrl-CS"/>
        </w:rPr>
        <w:t xml:space="preserve">рад на терену предуслов </w:t>
      </w:r>
      <w:r w:rsidRPr="009F5B52">
        <w:rPr>
          <w:rStyle w:val="hps"/>
          <w:rFonts w:cs="Times New Roman"/>
          <w:szCs w:val="24"/>
          <w:lang w:val="sr-Cyrl-CS"/>
        </w:rPr>
        <w:t>за успешан развој услуга. Тим ФСИ је уложио значајне напоре у рад на терену приликом припреме предлога пројеката, обуке и консултација, подршке за спровођење пројеката, праћења и оцењивања.</w:t>
      </w:r>
    </w:p>
    <w:p w:rsidR="008D62BD" w:rsidRPr="009F5B52" w:rsidRDefault="008D62BD" w:rsidP="008D62BD">
      <w:pPr>
        <w:rPr>
          <w:rStyle w:val="hps"/>
          <w:rFonts w:cs="Times New Roman"/>
          <w:szCs w:val="24"/>
          <w:lang w:val="sr-Cyrl-CS"/>
        </w:rPr>
      </w:pPr>
      <w:r w:rsidRPr="009F5B52">
        <w:rPr>
          <w:rStyle w:val="hps"/>
          <w:rFonts w:cs="Times New Roman"/>
          <w:szCs w:val="24"/>
          <w:lang w:val="sr-Cyrl-CS"/>
        </w:rPr>
        <w:t xml:space="preserve">Временом је </w:t>
      </w:r>
      <w:r w:rsidRPr="009F5B52">
        <w:rPr>
          <w:rStyle w:val="hps"/>
          <w:rFonts w:cs="Times New Roman"/>
          <w:i/>
          <w:szCs w:val="24"/>
          <w:lang w:val="sr-Cyrl-CS"/>
        </w:rPr>
        <w:t>административна и финансијска контрола бесповратних средстава постала сложенија</w:t>
      </w:r>
      <w:r w:rsidRPr="009F5B52">
        <w:rPr>
          <w:rStyle w:val="hps"/>
          <w:rFonts w:cs="Times New Roman"/>
          <w:szCs w:val="24"/>
          <w:lang w:val="sr-Cyrl-CS"/>
        </w:rPr>
        <w:t>. Ово је у евалуацији оцењено као једна од највећих негативних страна, при чему је неопходно имати на уму низ ограничења која следе из административних правила ЕУ.</w:t>
      </w:r>
    </w:p>
    <w:p w:rsidR="008D62BD" w:rsidRPr="009F5B52" w:rsidRDefault="008D62BD" w:rsidP="008D62BD">
      <w:pPr>
        <w:rPr>
          <w:rStyle w:val="hps"/>
          <w:rFonts w:cs="Times New Roman"/>
          <w:szCs w:val="24"/>
          <w:lang w:val="sr-Cyrl-CS"/>
        </w:rPr>
      </w:pPr>
      <w:r w:rsidRPr="009F5B52">
        <w:rPr>
          <w:rStyle w:val="hps"/>
          <w:rFonts w:cs="Times New Roman"/>
          <w:i/>
          <w:szCs w:val="24"/>
          <w:lang w:val="sr-Cyrl-CS"/>
        </w:rPr>
        <w:t xml:space="preserve">Интеграција најбољих пракси </w:t>
      </w:r>
      <w:r w:rsidRPr="009F5B52">
        <w:rPr>
          <w:rStyle w:val="hps"/>
          <w:rFonts w:cs="Times New Roman"/>
          <w:szCs w:val="24"/>
          <w:lang w:val="sr-Cyrl-CS"/>
        </w:rPr>
        <w:t>у систем један је од стратешких циљева ФСИ који није у потпуности реализован. Тим ФСИ и органи власти (унутар и ван министарства) нису имали стручне капацитете за подршку истраживању иновација и њихову оцену. Ти задаци су сложени (као што се показало приликом оцењивања EQUAL програма ЕУ</w:t>
      </w:r>
      <w:r w:rsidRPr="009F5B52">
        <w:rPr>
          <w:rStyle w:val="hps"/>
          <w:rFonts w:cs="Times New Roman"/>
          <w:szCs w:val="24"/>
          <w:vertAlign w:val="superscript"/>
          <w:lang w:val="sr-Cyrl-CS"/>
        </w:rPr>
        <w:footnoteReference w:id="14"/>
      </w:r>
      <w:r w:rsidRPr="009F5B52">
        <w:rPr>
          <w:rStyle w:val="hps"/>
          <w:rFonts w:cs="Times New Roman"/>
          <w:szCs w:val="24"/>
          <w:lang w:val="sr-Cyrl-CS"/>
        </w:rPr>
        <w:t>) и таква функција мора бити унапред планирана и на одговарајући начин буџетирана.</w:t>
      </w:r>
    </w:p>
    <w:tbl>
      <w:tblPr>
        <w:tblStyle w:val="TableGrid"/>
        <w:tblW w:w="0" w:type="auto"/>
        <w:tblLook w:val="04A0" w:firstRow="1" w:lastRow="0" w:firstColumn="1" w:lastColumn="0" w:noHBand="0" w:noVBand="1"/>
      </w:tblPr>
      <w:tblGrid>
        <w:gridCol w:w="9243"/>
      </w:tblGrid>
      <w:tr w:rsidR="008D62BD" w:rsidRPr="008365F6" w:rsidTr="00F56082">
        <w:trPr>
          <w:trHeight w:val="3959"/>
        </w:trPr>
        <w:tc>
          <w:tcPr>
            <w:tcW w:w="9243" w:type="dxa"/>
          </w:tcPr>
          <w:p w:rsidR="008D62BD" w:rsidRPr="009F5B52" w:rsidRDefault="008D62BD" w:rsidP="008D62BD">
            <w:pPr>
              <w:spacing w:after="200" w:line="276" w:lineRule="auto"/>
              <w:rPr>
                <w:rStyle w:val="hps"/>
                <w:rFonts w:cs="Times New Roman"/>
                <w:b/>
                <w:sz w:val="23"/>
                <w:szCs w:val="23"/>
                <w:lang w:val="sr-Cyrl-CS"/>
              </w:rPr>
            </w:pPr>
            <w:r w:rsidRPr="009F5B52">
              <w:rPr>
                <w:rStyle w:val="hps"/>
                <w:rFonts w:cs="Times New Roman"/>
                <w:b/>
                <w:sz w:val="23"/>
                <w:szCs w:val="23"/>
                <w:lang w:val="sr-Cyrl-CS"/>
              </w:rPr>
              <w:t xml:space="preserve">Бокс </w:t>
            </w:r>
            <w:r w:rsidR="00F56082" w:rsidRPr="009F5B52">
              <w:rPr>
                <w:rStyle w:val="hps"/>
                <w:rFonts w:cs="Times New Roman"/>
                <w:b/>
                <w:sz w:val="23"/>
                <w:szCs w:val="23"/>
                <w:lang w:val="sr-Cyrl-CS"/>
              </w:rPr>
              <w:t>2</w:t>
            </w:r>
            <w:r w:rsidRPr="009F5B52">
              <w:rPr>
                <w:rStyle w:val="hps"/>
                <w:rFonts w:cs="Times New Roman"/>
                <w:b/>
                <w:sz w:val="23"/>
                <w:szCs w:val="23"/>
                <w:lang w:val="sr-Cyrl-CS"/>
              </w:rPr>
              <w:t xml:space="preserve">. </w:t>
            </w:r>
            <w:r w:rsidRPr="009F5B52">
              <w:rPr>
                <w:rStyle w:val="hps"/>
                <w:rFonts w:cs="Times New Roman"/>
                <w:b/>
                <w:sz w:val="23"/>
                <w:szCs w:val="23"/>
                <w:u w:val="single"/>
                <w:lang w:val="sr-Cyrl-CS"/>
              </w:rPr>
              <w:t>Фонд за социјалне иновације у бројкама</w:t>
            </w:r>
          </w:p>
          <w:p w:rsidR="00A55776" w:rsidRPr="009F5B52" w:rsidRDefault="008D62BD" w:rsidP="00A55776">
            <w:pPr>
              <w:rPr>
                <w:rStyle w:val="hps"/>
                <w:sz w:val="23"/>
                <w:szCs w:val="23"/>
                <w:lang w:val="sr-Cyrl-CS"/>
              </w:rPr>
            </w:pPr>
            <w:r w:rsidRPr="009F5B52">
              <w:rPr>
                <w:rStyle w:val="hps"/>
                <w:sz w:val="23"/>
                <w:szCs w:val="23"/>
                <w:lang w:val="sr-Cyrl-CS"/>
              </w:rPr>
              <w:t>Годишњи износ средстава које је Фонд за социјалне иновације доделио креће се од 0,7 до 1,7 милиона евра током првих пет година деловања (2003-2008. године). Сваке године додељено је између 19 и 88 грантова, у просечном износу од 23.000 евра. На пример, током 2005. године, као типичне године без изборног процеса и са јасном политичком подршком, финансиран је 51 пројекат са укупно 1,5 милиона евра, чиме је управљало 7 чланова особља јединице за управљање пројектом и 12 лица запослених хонорарно ради праћења пројеката. Као што је документовано у евалуацији Фонда за социјалне иновације, ова количина посла имала је за последицу велики бирократски апарат и захтевно финансијско праћење, као и недостатак подршке у виду лобирања за локалне пројекте. Особље ФСИ је као кључне препреке у раду пријавило недовољне административне, стручне и управне капацитете корисника бесповратних средстава (мале, локалне НВО и одељења јавне управе) и велике административне и управљачке обавезе у вези са ЕУ средствима.</w:t>
            </w:r>
          </w:p>
        </w:tc>
      </w:tr>
    </w:tbl>
    <w:p w:rsidR="008D62BD" w:rsidRPr="009F5B52" w:rsidRDefault="008D62BD" w:rsidP="008D62BD">
      <w:pPr>
        <w:rPr>
          <w:rFonts w:cs="Times New Roman"/>
          <w:szCs w:val="24"/>
          <w:lang w:val="sr-Cyrl-CS"/>
        </w:rPr>
      </w:pPr>
      <w:r w:rsidRPr="009F5B52">
        <w:rPr>
          <w:rFonts w:cs="Times New Roman"/>
          <w:szCs w:val="24"/>
          <w:lang w:val="sr-Cyrl-CS"/>
        </w:rPr>
        <w:t xml:space="preserve">Пројекат </w:t>
      </w:r>
      <w:r w:rsidRPr="009F5B52">
        <w:rPr>
          <w:rFonts w:cs="Times New Roman"/>
          <w:b/>
          <w:szCs w:val="24"/>
          <w:lang w:val="sr-Cyrl-CS"/>
        </w:rPr>
        <w:t>„Запошљавање и миграције младих” (</w:t>
      </w:r>
      <w:r w:rsidRPr="009F5B52">
        <w:rPr>
          <w:rFonts w:cs="Times New Roman"/>
          <w:b/>
          <w:i/>
          <w:szCs w:val="24"/>
          <w:lang w:val="sr-Cyrl-CS"/>
        </w:rPr>
        <w:t xml:space="preserve">Youth Employment and Migration – </w:t>
      </w:r>
      <w:r w:rsidRPr="009F5B52">
        <w:rPr>
          <w:rFonts w:cs="Times New Roman"/>
          <w:b/>
          <w:szCs w:val="24"/>
          <w:lang w:val="sr-Cyrl-CS"/>
        </w:rPr>
        <w:t xml:space="preserve">YEM) </w:t>
      </w:r>
      <w:r w:rsidRPr="009F5B52">
        <w:rPr>
          <w:rFonts w:cs="Times New Roman"/>
          <w:szCs w:val="24"/>
          <w:lang w:val="sr-Cyrl-CS"/>
        </w:rPr>
        <w:t xml:space="preserve">је заједнички програм Уједињених нација за 2009-2012. годину, финансиран средствима шпанског Фонда за реализацију Миленијумских циљева развоја. Овај програм бавио се изазовима запошљавања и миграција младих, кроз вишесекторски приступ – комбиновањем циљева запошљавања и социјалне политике. Програм је </w:t>
      </w:r>
      <w:r w:rsidRPr="009F5B52">
        <w:rPr>
          <w:rFonts w:cs="Times New Roman"/>
          <w:szCs w:val="24"/>
          <w:lang w:val="sr-Cyrl-CS"/>
        </w:rPr>
        <w:lastRenderedPageBreak/>
        <w:t>допринео обуци и запошљавању преко 2.830 угрожених младих људи у Републици Србији, али је и оснажио капацитете националних институција да допру до осетљивих група и запосле више младих (кроз успостављање Фонда за запошљавање младих у склопу структуре НСЗ). У овом програму учествовало је преко 50 општина у пет округа, укључујући Јужнобачки, Београдски, Пчињски, Нишавски и Поморавски округ.</w:t>
      </w:r>
    </w:p>
    <w:p w:rsidR="008D62BD" w:rsidRPr="009F5B52" w:rsidRDefault="008D62BD" w:rsidP="008D62BD">
      <w:pPr>
        <w:rPr>
          <w:rFonts w:cs="Times New Roman"/>
          <w:szCs w:val="24"/>
          <w:lang w:val="sr-Cyrl-CS"/>
        </w:rPr>
      </w:pPr>
      <w:r w:rsidRPr="009F5B52">
        <w:rPr>
          <w:rFonts w:cs="Times New Roman"/>
          <w:szCs w:val="24"/>
          <w:lang w:val="sr-Cyrl-CS"/>
        </w:rPr>
        <w:t>Важан аспекат овог програма било је пилотирање интегрисаног пружања услуга, које је требало да одговори на стварне потребе на терену. Ово је захтевало пружање унапређених услуга више националних институција угроженим лицима са сложеним потребама.</w:t>
      </w:r>
    </w:p>
    <w:p w:rsidR="008D62BD" w:rsidRPr="009F5B52" w:rsidRDefault="008D62BD" w:rsidP="008D62BD">
      <w:pPr>
        <w:rPr>
          <w:rFonts w:cs="Times New Roman"/>
          <w:szCs w:val="24"/>
          <w:lang w:val="sr-Cyrl-CS"/>
        </w:rPr>
      </w:pPr>
      <w:r w:rsidRPr="009F5B52">
        <w:rPr>
          <w:rFonts w:cs="Times New Roman"/>
          <w:szCs w:val="24"/>
          <w:lang w:val="sr-Cyrl-CS"/>
        </w:rPr>
        <w:t>На нивоу непосредне подршке појединачним установама, овај програм био је усмерен на центре за социјални рад (ЦСР), Националну службу за запошљавање, општинске канцеларије за младе и локалне савете за запошљавање. Програмом је подржано увођење управљања случајем и годишњег оперативног планирања у одабраним центрима за социјални рад, пружена је подршка канцеларијама за младе како би се унапредило разумевање и успоставио контакт са угроженим младима кроз инфо-тачке (које је већ користило преко 5.000 младих лица), као и да би се спроводили програми везани за запошљавање који ће обухватити најмање 700 младих. Кроз овај заједнички програм такође је пружена подршка саветима за запошљавање да активности запошљавања младих заснују на релевантним показатељима, што је довело до израде локалних акционих планова 22 савета за запошљавање.</w:t>
      </w:r>
    </w:p>
    <w:p w:rsidR="008D62BD" w:rsidRPr="009F5B52" w:rsidRDefault="008D62BD" w:rsidP="008D62BD">
      <w:pPr>
        <w:rPr>
          <w:rFonts w:cs="Times New Roman"/>
          <w:szCs w:val="24"/>
          <w:lang w:val="sr-Cyrl-CS"/>
        </w:rPr>
      </w:pPr>
      <w:r w:rsidRPr="009F5B52">
        <w:rPr>
          <w:rFonts w:cs="Times New Roman"/>
          <w:szCs w:val="24"/>
          <w:lang w:val="sr-Cyrl-CS"/>
        </w:rPr>
        <w:t>Програм је координирао рад међуресорне радне групе са циљем пружања квалитетнијих интегрисаних услуга јавних установа, при чему су сва релевантна министарства била обавезна да обезбеде техничку помоћ, али је такође и пилотиран овај приступ кроз раније наведено интегрисано пружање услуга. На стратешком нивоу, радна група за интегрисано пружање услуга успешно је утицала на нови Закон о социјалној заштити осигуравањем чврсте сарадње између центара за социјални рад и Националне службе за запошљавање.</w:t>
      </w:r>
    </w:p>
    <w:p w:rsidR="008D62BD" w:rsidRPr="009F5B52" w:rsidRDefault="008D62BD" w:rsidP="008D62BD">
      <w:pPr>
        <w:spacing w:after="0" w:line="240" w:lineRule="auto"/>
        <w:rPr>
          <w:rFonts w:cs="Times New Roman"/>
          <w:szCs w:val="24"/>
          <w:lang w:val="sr-Cyrl-CS"/>
        </w:rPr>
      </w:pPr>
    </w:p>
    <w:p w:rsidR="008D62BD" w:rsidRPr="009F5B52" w:rsidRDefault="008D62BD" w:rsidP="008D62BD">
      <w:pPr>
        <w:jc w:val="left"/>
        <w:rPr>
          <w:rFonts w:cs="Times New Roman"/>
          <w:szCs w:val="24"/>
          <w:lang w:val="sr-Cyrl-CS"/>
        </w:rPr>
      </w:pPr>
      <w:r w:rsidRPr="009F5B52">
        <w:rPr>
          <w:rFonts w:cs="Times New Roman"/>
          <w:szCs w:val="24"/>
          <w:lang w:val="sr-Cyrl-CS"/>
        </w:rPr>
        <w:br w:type="page"/>
      </w:r>
    </w:p>
    <w:p w:rsidR="0046476F" w:rsidRPr="009F5B52" w:rsidRDefault="008D62BD" w:rsidP="008D62BD">
      <w:pPr>
        <w:pStyle w:val="Heading1"/>
        <w:numPr>
          <w:ilvl w:val="0"/>
          <w:numId w:val="0"/>
        </w:numPr>
        <w:ind w:left="360" w:hanging="360"/>
        <w:rPr>
          <w:lang w:val="sr-Cyrl-CS"/>
        </w:rPr>
      </w:pPr>
      <w:bookmarkStart w:id="22" w:name="_Toc327447110"/>
      <w:bookmarkStart w:id="23" w:name="_Toc330562298"/>
      <w:r w:rsidRPr="009F5B52">
        <w:rPr>
          <w:noProof/>
          <w:lang w:val="sr-Cyrl-CS"/>
        </w:rPr>
        <w:lastRenderedPageBreak/>
        <w:t xml:space="preserve">2. </w:t>
      </w:r>
      <w:r w:rsidR="003F343E" w:rsidRPr="009F5B52">
        <w:rPr>
          <w:lang w:val="sr-Cyrl-CS"/>
        </w:rPr>
        <w:t>Управљање фондовима ЕУ и главни изазов</w:t>
      </w:r>
      <w:bookmarkEnd w:id="22"/>
      <w:r w:rsidR="003F343E" w:rsidRPr="009F5B52">
        <w:rPr>
          <w:lang w:val="sr-Cyrl-CS"/>
        </w:rPr>
        <w:t>и</w:t>
      </w:r>
      <w:bookmarkEnd w:id="23"/>
    </w:p>
    <w:p w:rsidR="0046476F" w:rsidRPr="009F5B52" w:rsidRDefault="008D62BD" w:rsidP="0046476F">
      <w:pPr>
        <w:pStyle w:val="Heading2"/>
        <w:rPr>
          <w:noProof/>
          <w:lang w:val="sr-Cyrl-CS"/>
        </w:rPr>
      </w:pPr>
      <w:bookmarkStart w:id="24" w:name="_Toc330562299"/>
      <w:bookmarkStart w:id="25" w:name="_Toc327447111"/>
      <w:r w:rsidRPr="009F5B52">
        <w:rPr>
          <w:noProof/>
          <w:lang w:val="sr-Cyrl-CS"/>
        </w:rPr>
        <w:t>2</w:t>
      </w:r>
      <w:r w:rsidR="0046476F" w:rsidRPr="009F5B52">
        <w:rPr>
          <w:noProof/>
          <w:lang w:val="sr-Cyrl-CS"/>
        </w:rPr>
        <w:t>.1. Оквир ЕУ</w:t>
      </w:r>
      <w:bookmarkEnd w:id="24"/>
      <w:r w:rsidR="0046476F" w:rsidRPr="009F5B52">
        <w:rPr>
          <w:noProof/>
          <w:lang w:val="sr-Cyrl-CS"/>
        </w:rPr>
        <w:t xml:space="preserve"> </w:t>
      </w:r>
      <w:bookmarkEnd w:id="25"/>
    </w:p>
    <w:p w:rsidR="0046476F" w:rsidRPr="009F5B52" w:rsidRDefault="008D62BD" w:rsidP="0046476F">
      <w:pPr>
        <w:pStyle w:val="Heading3"/>
        <w:rPr>
          <w:noProof/>
          <w:lang w:val="sr-Cyrl-CS"/>
        </w:rPr>
      </w:pPr>
      <w:bookmarkStart w:id="26" w:name="_Toc327447112"/>
      <w:bookmarkStart w:id="27" w:name="_Toc330562300"/>
      <w:r w:rsidRPr="009F5B52">
        <w:rPr>
          <w:noProof/>
          <w:lang w:val="sr-Cyrl-CS"/>
        </w:rPr>
        <w:t>2</w:t>
      </w:r>
      <w:r w:rsidR="0046476F" w:rsidRPr="009F5B52">
        <w:rPr>
          <w:noProof/>
          <w:lang w:val="sr-Cyrl-CS"/>
        </w:rPr>
        <w:t>.1.1. Европски социјални фонд (ЕСФ)</w:t>
      </w:r>
      <w:bookmarkEnd w:id="26"/>
      <w:r w:rsidR="006C5C45" w:rsidRPr="009F5B52">
        <w:rPr>
          <w:noProof/>
          <w:lang w:val="sr-Cyrl-CS"/>
        </w:rPr>
        <w:t xml:space="preserve"> и други фондови и програми ЕУ</w:t>
      </w:r>
      <w:bookmarkEnd w:id="27"/>
    </w:p>
    <w:p w:rsidR="0046476F" w:rsidRPr="009F5B52" w:rsidRDefault="0046476F" w:rsidP="0046476F">
      <w:pPr>
        <w:rPr>
          <w:noProof/>
          <w:lang w:val="sr-Cyrl-CS"/>
        </w:rPr>
      </w:pPr>
      <w:r w:rsidRPr="009F5B52">
        <w:rPr>
          <w:noProof/>
          <w:lang w:val="sr-Cyrl-CS"/>
        </w:rPr>
        <w:t xml:space="preserve">Уз идентификовану потребу да се интензивирају напори </w:t>
      </w:r>
      <w:r w:rsidR="00741707" w:rsidRPr="009F5B52">
        <w:rPr>
          <w:noProof/>
          <w:lang w:val="sr-Cyrl-CS"/>
        </w:rPr>
        <w:t xml:space="preserve">финансирани из националног буџета </w:t>
      </w:r>
      <w:r w:rsidRPr="009F5B52">
        <w:rPr>
          <w:noProof/>
          <w:lang w:val="sr-Cyrl-CS"/>
        </w:rPr>
        <w:t>усмерени на унапређење социјалног укључивања и смањења сиромаштва, ова Студија разматра оквир за коришћење претприступних фондова Европске уније, као и за постављање основа за апсорпцију структурних фондова у будућности</w:t>
      </w:r>
      <w:r w:rsidR="00741707" w:rsidRPr="009F5B52">
        <w:rPr>
          <w:noProof/>
          <w:lang w:val="sr-Cyrl-CS"/>
        </w:rPr>
        <w:t>.</w:t>
      </w:r>
      <w:r w:rsidRPr="009F5B52">
        <w:rPr>
          <w:noProof/>
          <w:lang w:val="sr-Cyrl-CS"/>
        </w:rPr>
        <w:t xml:space="preserve"> Значај правовременог успостављања одговарајућих капацитета наглашен је примером неколицине нових </w:t>
      </w:r>
      <w:r w:rsidR="008D3585" w:rsidRPr="009F5B52">
        <w:rPr>
          <w:noProof/>
          <w:lang w:val="sr-Cyrl-CS"/>
        </w:rPr>
        <w:t>д</w:t>
      </w:r>
      <w:r w:rsidRPr="009F5B52">
        <w:rPr>
          <w:noProof/>
          <w:lang w:val="sr-Cyrl-CS"/>
        </w:rPr>
        <w:t>ржава чланица које нису успеле да апсорбују средства која су им стављена на располагање услед лоше организованих система и одсуства снажних институционалних аранжмана.</w:t>
      </w:r>
    </w:p>
    <w:p w:rsidR="0046476F" w:rsidRPr="009F5B52" w:rsidRDefault="0046476F" w:rsidP="0046476F">
      <w:pPr>
        <w:rPr>
          <w:lang w:val="sr-Cyrl-CS" w:eastAsia="en-GB"/>
        </w:rPr>
      </w:pPr>
      <w:r w:rsidRPr="009F5B52">
        <w:rPr>
          <w:noProof/>
          <w:lang w:val="sr-Cyrl-CS"/>
        </w:rPr>
        <w:t xml:space="preserve">Социјална кохезија је један од главних циљева Европске уније и значајна компонента </w:t>
      </w:r>
      <w:r w:rsidR="008D3585" w:rsidRPr="009F5B52">
        <w:rPr>
          <w:noProof/>
          <w:lang w:val="sr-Cyrl-CS"/>
        </w:rPr>
        <w:t>корпуса</w:t>
      </w:r>
      <w:r w:rsidRPr="009F5B52">
        <w:rPr>
          <w:noProof/>
          <w:lang w:val="sr-Cyrl-CS"/>
        </w:rPr>
        <w:t xml:space="preserve"> европских вредности. Кључни финансијски инструмент којим се остварују циљеви везани за социјалну кохезију на нивоу ЕУ је Европски социјални фонд</w:t>
      </w:r>
      <w:r w:rsidRPr="009F5B52">
        <w:rPr>
          <w:noProof/>
          <w:lang w:val="sr-Cyrl-CS" w:eastAsia="en-GB"/>
        </w:rPr>
        <w:t xml:space="preserve"> (ЕСФ)</w:t>
      </w:r>
      <w:r w:rsidRPr="009F5B52">
        <w:rPr>
          <w:rStyle w:val="FootnoteReference"/>
          <w:noProof/>
          <w:szCs w:val="24"/>
          <w:lang w:val="sr-Cyrl-CS" w:eastAsia="en-GB"/>
        </w:rPr>
        <w:footnoteReference w:id="15"/>
      </w:r>
      <w:r w:rsidRPr="009F5B52">
        <w:rPr>
          <w:noProof/>
          <w:lang w:val="sr-Cyrl-CS" w:eastAsia="en-GB"/>
        </w:rPr>
        <w:t>. Иако је Е</w:t>
      </w:r>
      <w:r w:rsidRPr="009F5B52">
        <w:rPr>
          <w:noProof/>
          <w:lang w:val="sr-Cyrl-CS"/>
        </w:rPr>
        <w:t>СФ првобитно успостављен у циљу подстицања запошљавања,</w:t>
      </w:r>
      <w:r w:rsidRPr="009F5B52">
        <w:rPr>
          <w:noProof/>
          <w:lang w:val="sr-Cyrl-CS" w:eastAsia="en-GB"/>
        </w:rPr>
        <w:t xml:space="preserve"> он се претворио у високо делотворан инструмент за смањење ризика од сиромаштва и социјалне искључености</w:t>
      </w:r>
      <w:r w:rsidRPr="009F5B52">
        <w:rPr>
          <w:noProof/>
          <w:lang w:val="sr-Cyrl-CS"/>
        </w:rPr>
        <w:t xml:space="preserve">. Европски социјални фонд помаже одрживу интеграцију </w:t>
      </w:r>
      <w:r w:rsidR="00787409" w:rsidRPr="009F5B52">
        <w:rPr>
          <w:noProof/>
          <w:szCs w:val="24"/>
          <w:lang w:val="sr-Cyrl-CS"/>
        </w:rPr>
        <w:t>социо-економски угроженог становништва</w:t>
      </w:r>
      <w:r w:rsidR="004D32D0" w:rsidRPr="009F5B52">
        <w:rPr>
          <w:noProof/>
          <w:szCs w:val="24"/>
          <w:lang w:val="sr-Cyrl-CS"/>
        </w:rPr>
        <w:t xml:space="preserve"> </w:t>
      </w:r>
      <w:r w:rsidRPr="009F5B52">
        <w:rPr>
          <w:noProof/>
          <w:szCs w:val="24"/>
          <w:lang w:val="sr-Cyrl-CS"/>
        </w:rPr>
        <w:t>и</w:t>
      </w:r>
      <w:r w:rsidRPr="009F5B52">
        <w:rPr>
          <w:noProof/>
          <w:lang w:val="sr-Cyrl-CS"/>
        </w:rPr>
        <w:t xml:space="preserve"> особа са инвалидитетом у радну снагу</w:t>
      </w:r>
      <w:r w:rsidRPr="009F5B52">
        <w:rPr>
          <w:noProof/>
          <w:lang w:val="sr-Cyrl-CS" w:eastAsia="en-GB"/>
        </w:rPr>
        <w:t>. Активности којима се овај циљ остварује с</w:t>
      </w:r>
      <w:r w:rsidRPr="009F5B52">
        <w:rPr>
          <w:lang w:val="sr-Cyrl-CS" w:eastAsia="en-GB"/>
        </w:rPr>
        <w:t>у:</w:t>
      </w:r>
    </w:p>
    <w:p w:rsidR="0046476F" w:rsidRPr="009F5B52" w:rsidRDefault="0046476F" w:rsidP="0046476F">
      <w:pPr>
        <w:pStyle w:val="ListParagraph"/>
        <w:numPr>
          <w:ilvl w:val="0"/>
          <w:numId w:val="39"/>
        </w:numPr>
        <w:rPr>
          <w:noProof/>
          <w:lang w:val="sr-Cyrl-CS" w:eastAsia="en-GB"/>
        </w:rPr>
      </w:pPr>
      <w:r w:rsidRPr="009F5B52">
        <w:rPr>
          <w:noProof/>
          <w:lang w:val="sr-Cyrl-CS" w:eastAsia="en-GB"/>
        </w:rPr>
        <w:t xml:space="preserve">Саветовање и обуке прилагођени специфичним потребама </w:t>
      </w:r>
      <w:r w:rsidR="00787409" w:rsidRPr="009F5B52">
        <w:rPr>
          <w:noProof/>
          <w:szCs w:val="24"/>
          <w:lang w:val="sr-Cyrl-CS"/>
        </w:rPr>
        <w:t xml:space="preserve">социо-економски угроженог становништва </w:t>
      </w:r>
      <w:r w:rsidRPr="009F5B52">
        <w:rPr>
          <w:noProof/>
          <w:lang w:val="sr-Cyrl-CS" w:eastAsia="en-GB"/>
        </w:rPr>
        <w:t xml:space="preserve">и особа са инвалидитетом; </w:t>
      </w:r>
    </w:p>
    <w:p w:rsidR="0046476F" w:rsidRPr="009F5B52" w:rsidRDefault="0046476F" w:rsidP="0046476F">
      <w:pPr>
        <w:pStyle w:val="ListParagraph"/>
        <w:numPr>
          <w:ilvl w:val="0"/>
          <w:numId w:val="39"/>
        </w:numPr>
        <w:rPr>
          <w:noProof/>
          <w:lang w:val="sr-Cyrl-CS" w:eastAsia="en-GB"/>
        </w:rPr>
      </w:pPr>
      <w:r w:rsidRPr="009F5B52">
        <w:rPr>
          <w:noProof/>
          <w:lang w:val="sr-Cyrl-CS" w:eastAsia="en-GB"/>
        </w:rPr>
        <w:t xml:space="preserve">Отварање пута интеграцији и запошљавању, те отварању радних места за  </w:t>
      </w:r>
      <w:r w:rsidR="00787409" w:rsidRPr="009F5B52">
        <w:rPr>
          <w:noProof/>
          <w:szCs w:val="24"/>
          <w:lang w:val="sr-Cyrl-CS"/>
        </w:rPr>
        <w:t xml:space="preserve">социо-економски угроженог становништва </w:t>
      </w:r>
      <w:r w:rsidRPr="009F5B52">
        <w:rPr>
          <w:noProof/>
          <w:lang w:val="sr-Cyrl-CS" w:eastAsia="en-GB"/>
        </w:rPr>
        <w:t xml:space="preserve">и особе са инвалидитетом у социјалној економији; </w:t>
      </w:r>
    </w:p>
    <w:p w:rsidR="0046476F" w:rsidRPr="009F5B52" w:rsidRDefault="0046476F" w:rsidP="0046476F">
      <w:pPr>
        <w:pStyle w:val="ListParagraph"/>
        <w:numPr>
          <w:ilvl w:val="0"/>
          <w:numId w:val="39"/>
        </w:numPr>
        <w:rPr>
          <w:noProof/>
          <w:lang w:val="sr-Cyrl-CS" w:eastAsia="en-GB"/>
        </w:rPr>
      </w:pPr>
      <w:r w:rsidRPr="009F5B52">
        <w:rPr>
          <w:noProof/>
          <w:lang w:val="sr-Cyrl-CS" w:eastAsia="en-GB"/>
        </w:rPr>
        <w:t xml:space="preserve">Подршка предузетништву </w:t>
      </w:r>
      <w:r w:rsidR="00787409" w:rsidRPr="009F5B52">
        <w:rPr>
          <w:noProof/>
          <w:szCs w:val="24"/>
          <w:lang w:val="sr-Cyrl-CS"/>
        </w:rPr>
        <w:t xml:space="preserve">социо-економски угроженог становништва </w:t>
      </w:r>
      <w:r w:rsidRPr="009F5B52">
        <w:rPr>
          <w:noProof/>
          <w:lang w:val="sr-Cyrl-CS" w:eastAsia="en-GB"/>
        </w:rPr>
        <w:t xml:space="preserve">и особа са инвалидитетом; </w:t>
      </w:r>
    </w:p>
    <w:p w:rsidR="0046476F" w:rsidRPr="009F5B52" w:rsidRDefault="0046476F" w:rsidP="0046476F">
      <w:pPr>
        <w:pStyle w:val="ListParagraph"/>
        <w:numPr>
          <w:ilvl w:val="0"/>
          <w:numId w:val="39"/>
        </w:numPr>
        <w:rPr>
          <w:noProof/>
          <w:lang w:val="sr-Cyrl-CS" w:eastAsia="en-GB"/>
        </w:rPr>
      </w:pPr>
      <w:r w:rsidRPr="009F5B52">
        <w:rPr>
          <w:noProof/>
          <w:lang w:val="sr-Cyrl-CS" w:eastAsia="en-GB"/>
        </w:rPr>
        <w:t>Кампање информисања јавности у борби против дискриминације, промена ставова и промоција различитости на радном месту. </w:t>
      </w:r>
    </w:p>
    <w:p w:rsidR="0046476F" w:rsidRPr="009F5B52" w:rsidRDefault="0046476F" w:rsidP="0046476F">
      <w:pPr>
        <w:autoSpaceDE w:val="0"/>
        <w:autoSpaceDN w:val="0"/>
        <w:adjustRightInd w:val="0"/>
        <w:spacing w:after="0" w:line="240" w:lineRule="auto"/>
        <w:rPr>
          <w:szCs w:val="24"/>
          <w:lang w:val="sr-Cyrl-CS"/>
        </w:rPr>
      </w:pPr>
      <w:r w:rsidRPr="009F5B52">
        <w:rPr>
          <w:noProof/>
          <w:szCs w:val="24"/>
          <w:lang w:val="sr-Cyrl-CS"/>
        </w:rPr>
        <w:t>Око 18% буџета Европског социјалног фонда, који износи више од 10 милијарди евра годишње</w:t>
      </w:r>
      <w:r w:rsidRPr="009F5B52">
        <w:rPr>
          <w:rStyle w:val="FootnoteReference"/>
          <w:noProof/>
          <w:szCs w:val="24"/>
          <w:lang w:val="sr-Cyrl-CS"/>
        </w:rPr>
        <w:footnoteReference w:id="16"/>
      </w:r>
      <w:r w:rsidRPr="009F5B52">
        <w:rPr>
          <w:noProof/>
          <w:szCs w:val="24"/>
          <w:lang w:val="sr-Cyrl-CS"/>
        </w:rPr>
        <w:t>, намењено је пројектима за борбу против социјалне искључености: помоћ</w:t>
      </w:r>
      <w:r w:rsidR="00D92836" w:rsidRPr="009F5B52">
        <w:rPr>
          <w:noProof/>
          <w:szCs w:val="24"/>
          <w:lang w:val="sr-Cyrl-CS"/>
        </w:rPr>
        <w:t>и мигрантима да уђу на тржиште рада</w:t>
      </w:r>
      <w:r w:rsidRPr="009F5B52">
        <w:rPr>
          <w:noProof/>
          <w:szCs w:val="24"/>
          <w:lang w:val="sr-Cyrl-CS"/>
        </w:rPr>
        <w:t xml:space="preserve">, интеграцији </w:t>
      </w:r>
      <w:r w:rsidR="00787409" w:rsidRPr="009F5B52">
        <w:rPr>
          <w:noProof/>
          <w:szCs w:val="24"/>
          <w:lang w:val="sr-Cyrl-CS"/>
        </w:rPr>
        <w:t xml:space="preserve">социо-економски угроженог становништва </w:t>
      </w:r>
      <w:r w:rsidRPr="009F5B52">
        <w:rPr>
          <w:noProof/>
          <w:szCs w:val="24"/>
          <w:lang w:val="sr-Cyrl-CS"/>
        </w:rPr>
        <w:t xml:space="preserve">и побољшању </w:t>
      </w:r>
      <w:r w:rsidR="00D92836" w:rsidRPr="009F5B52">
        <w:rPr>
          <w:noProof/>
          <w:szCs w:val="24"/>
          <w:lang w:val="sr-Cyrl-CS"/>
        </w:rPr>
        <w:t>једнаких могућности на тржишту рада</w:t>
      </w:r>
      <w:r w:rsidRPr="009F5B52">
        <w:rPr>
          <w:noProof/>
          <w:szCs w:val="24"/>
          <w:lang w:val="sr-Cyrl-CS"/>
        </w:rPr>
        <w:t>.</w:t>
      </w:r>
    </w:p>
    <w:p w:rsidR="0046476F" w:rsidRPr="009F5B52" w:rsidRDefault="0046476F" w:rsidP="0046476F">
      <w:pPr>
        <w:autoSpaceDE w:val="0"/>
        <w:autoSpaceDN w:val="0"/>
        <w:adjustRightInd w:val="0"/>
        <w:spacing w:after="0" w:line="240" w:lineRule="auto"/>
        <w:rPr>
          <w:szCs w:val="24"/>
          <w:lang w:val="sr-Cyrl-CS"/>
        </w:rPr>
      </w:pPr>
    </w:p>
    <w:p w:rsidR="0046476F" w:rsidRPr="009F5B52" w:rsidRDefault="0046476F" w:rsidP="0046476F">
      <w:pPr>
        <w:autoSpaceDE w:val="0"/>
        <w:autoSpaceDN w:val="0"/>
        <w:adjustRightInd w:val="0"/>
        <w:spacing w:after="0" w:line="240" w:lineRule="auto"/>
        <w:jc w:val="center"/>
        <w:rPr>
          <w:szCs w:val="24"/>
          <w:lang w:val="sr-Cyrl-CS"/>
        </w:rPr>
      </w:pPr>
      <w:r w:rsidRPr="009F5B52">
        <w:rPr>
          <w:noProof/>
          <w:szCs w:val="24"/>
          <w:lang w:val="sr-Cyrl-RS" w:eastAsia="sr-Cyrl-RS"/>
        </w:rPr>
        <w:lastRenderedPageBreak/>
        <w:drawing>
          <wp:inline distT="0" distB="0" distL="0" distR="0" wp14:anchorId="03D6DCCD" wp14:editId="64E153C0">
            <wp:extent cx="5125085" cy="323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5085" cy="3232150"/>
                    </a:xfrm>
                    <a:prstGeom prst="rect">
                      <a:avLst/>
                    </a:prstGeom>
                    <a:noFill/>
                    <a:ln>
                      <a:noFill/>
                    </a:ln>
                  </pic:spPr>
                </pic:pic>
              </a:graphicData>
            </a:graphic>
          </wp:inline>
        </w:drawing>
      </w:r>
    </w:p>
    <w:p w:rsidR="0046476F" w:rsidRPr="009F5B52" w:rsidRDefault="0046476F" w:rsidP="0046476F">
      <w:pPr>
        <w:autoSpaceDE w:val="0"/>
        <w:autoSpaceDN w:val="0"/>
        <w:adjustRightInd w:val="0"/>
        <w:spacing w:after="0" w:line="240" w:lineRule="auto"/>
        <w:jc w:val="center"/>
        <w:rPr>
          <w:noProof/>
          <w:sz w:val="22"/>
          <w:lang w:val="sr-Cyrl-CS"/>
        </w:rPr>
      </w:pPr>
      <w:r w:rsidRPr="009F5B52">
        <w:rPr>
          <w:noProof/>
          <w:sz w:val="22"/>
          <w:lang w:val="sr-Cyrl-CS"/>
        </w:rPr>
        <w:t>Графикон 1:</w:t>
      </w:r>
      <w:r w:rsidRPr="009F5B52">
        <w:rPr>
          <w:bCs/>
          <w:noProof/>
          <w:sz w:val="22"/>
          <w:lang w:val="sr-Cyrl-CS"/>
        </w:rPr>
        <w:t xml:space="preserve"> Потрошња за социјално укључивање као проценат укупне потрошње ЕСФ</w:t>
      </w:r>
      <w:r w:rsidRPr="009F5B52">
        <w:rPr>
          <w:rStyle w:val="FootnoteReference"/>
          <w:bCs/>
          <w:noProof/>
          <w:sz w:val="22"/>
          <w:lang w:val="sr-Cyrl-CS"/>
        </w:rPr>
        <w:footnoteReference w:id="17"/>
      </w:r>
    </w:p>
    <w:p w:rsidR="0046476F" w:rsidRPr="009F5B52" w:rsidRDefault="0046476F" w:rsidP="0046476F">
      <w:pPr>
        <w:rPr>
          <w:noProof/>
          <w:szCs w:val="24"/>
          <w:lang w:val="sr-Cyrl-CS"/>
        </w:rPr>
      </w:pPr>
      <w:r w:rsidRPr="009F5B52">
        <w:rPr>
          <w:noProof/>
          <w:szCs w:val="24"/>
          <w:lang w:val="sr-Cyrl-CS"/>
        </w:rPr>
        <w:t xml:space="preserve">Земље кандидати за чланство у ЕУ припремају се за програмирање, управљање и </w:t>
      </w:r>
      <w:r w:rsidR="00D92836" w:rsidRPr="009F5B52">
        <w:rPr>
          <w:noProof/>
          <w:szCs w:val="24"/>
          <w:lang w:val="sr-Cyrl-CS"/>
        </w:rPr>
        <w:t>спровођење</w:t>
      </w:r>
      <w:r w:rsidRPr="009F5B52">
        <w:rPr>
          <w:noProof/>
          <w:szCs w:val="24"/>
          <w:lang w:val="sr-Cyrl-CS"/>
        </w:rPr>
        <w:t xml:space="preserve"> ЕСФ и других </w:t>
      </w:r>
      <w:r w:rsidR="00D92836" w:rsidRPr="009F5B52">
        <w:rPr>
          <w:noProof/>
          <w:szCs w:val="24"/>
          <w:lang w:val="sr-Cyrl-CS"/>
        </w:rPr>
        <w:t>с</w:t>
      </w:r>
      <w:r w:rsidRPr="009F5B52">
        <w:rPr>
          <w:noProof/>
          <w:szCs w:val="24"/>
          <w:lang w:val="sr-Cyrl-CS"/>
        </w:rPr>
        <w:t xml:space="preserve">труктурних фондова ЕУ путем претприступне помоћи – ИПА </w:t>
      </w:r>
      <w:r w:rsidR="00D92836" w:rsidRPr="009F5B52">
        <w:rPr>
          <w:noProof/>
          <w:szCs w:val="24"/>
          <w:lang w:val="sr-Cyrl-CS"/>
        </w:rPr>
        <w:t>к</w:t>
      </w:r>
      <w:r w:rsidRPr="009F5B52">
        <w:rPr>
          <w:noProof/>
          <w:szCs w:val="24"/>
          <w:lang w:val="sr-Cyrl-CS"/>
        </w:rPr>
        <w:t xml:space="preserve">омпоненте IV (Развој људских ресурса). </w:t>
      </w:r>
      <w:r w:rsidR="00D92836" w:rsidRPr="009F5B52">
        <w:rPr>
          <w:noProof/>
          <w:szCs w:val="24"/>
          <w:lang w:val="sr-Cyrl-CS"/>
        </w:rPr>
        <w:t>IV к</w:t>
      </w:r>
      <w:r w:rsidRPr="009F5B52">
        <w:rPr>
          <w:noProof/>
          <w:szCs w:val="24"/>
          <w:lang w:val="sr-Cyrl-CS"/>
        </w:rPr>
        <w:t xml:space="preserve">омпонента </w:t>
      </w:r>
      <w:r w:rsidR="00D92836" w:rsidRPr="009F5B52">
        <w:rPr>
          <w:noProof/>
          <w:szCs w:val="24"/>
          <w:lang w:val="sr-Cyrl-CS"/>
        </w:rPr>
        <w:t xml:space="preserve">ИПА </w:t>
      </w:r>
      <w:r w:rsidRPr="009F5B52">
        <w:rPr>
          <w:noProof/>
          <w:szCs w:val="24"/>
          <w:lang w:val="sr-Cyrl-CS"/>
        </w:rPr>
        <w:t>обезбеђује средства за подстицање квалитета људских ресурса у тим земљама. На основу Европске стратегије запошљавања, она захтева да те земље усредсреде своје пројекте, који се финансирају из</w:t>
      </w:r>
      <w:r w:rsidR="00C82937" w:rsidRPr="009F5B52">
        <w:rPr>
          <w:noProof/>
          <w:szCs w:val="24"/>
          <w:lang w:val="sr-Cyrl-CS"/>
        </w:rPr>
        <w:t xml:space="preserve"> ИПА</w:t>
      </w:r>
      <w:r w:rsidRPr="009F5B52">
        <w:rPr>
          <w:noProof/>
          <w:szCs w:val="24"/>
          <w:lang w:val="sr-Cyrl-CS"/>
        </w:rPr>
        <w:t>, на три основна приоритета:</w:t>
      </w:r>
    </w:p>
    <w:p w:rsidR="0046476F" w:rsidRPr="009F5B52" w:rsidRDefault="0046476F" w:rsidP="0046476F">
      <w:pPr>
        <w:pStyle w:val="ListParagraph"/>
        <w:numPr>
          <w:ilvl w:val="0"/>
          <w:numId w:val="40"/>
        </w:numPr>
        <w:rPr>
          <w:noProof/>
          <w:lang w:val="sr-Cyrl-CS" w:eastAsia="en-GB"/>
        </w:rPr>
      </w:pPr>
      <w:r w:rsidRPr="009F5B52">
        <w:rPr>
          <w:noProof/>
          <w:lang w:val="sr-Cyrl-CS" w:eastAsia="en-GB"/>
        </w:rPr>
        <w:t xml:space="preserve">Привлачење и задржавање већег броја људи </w:t>
      </w:r>
      <w:r w:rsidR="00227EF3" w:rsidRPr="009F5B52">
        <w:rPr>
          <w:noProof/>
          <w:lang w:val="sr-Cyrl-CS" w:eastAsia="en-GB"/>
        </w:rPr>
        <w:t>у статусу запослених</w:t>
      </w:r>
      <w:r w:rsidRPr="009F5B52">
        <w:rPr>
          <w:noProof/>
          <w:lang w:val="sr-Cyrl-CS" w:eastAsia="en-GB"/>
        </w:rPr>
        <w:t>;</w:t>
      </w:r>
    </w:p>
    <w:p w:rsidR="0046476F" w:rsidRPr="009F5B52" w:rsidRDefault="0046476F" w:rsidP="0046476F">
      <w:pPr>
        <w:pStyle w:val="ListParagraph"/>
        <w:numPr>
          <w:ilvl w:val="0"/>
          <w:numId w:val="40"/>
        </w:numPr>
        <w:rPr>
          <w:noProof/>
          <w:lang w:val="sr-Cyrl-CS" w:eastAsia="en-GB"/>
        </w:rPr>
      </w:pPr>
      <w:r w:rsidRPr="009F5B52">
        <w:rPr>
          <w:noProof/>
          <w:lang w:val="sr-Cyrl-CS" w:eastAsia="en-GB"/>
        </w:rPr>
        <w:t>Подизање степена прилагодљивости и флексибилности радника и предузећа путем образовања; и</w:t>
      </w:r>
    </w:p>
    <w:p w:rsidR="0046476F" w:rsidRPr="009F5B52" w:rsidRDefault="001E1921" w:rsidP="0046476F">
      <w:pPr>
        <w:pStyle w:val="ListParagraph"/>
        <w:numPr>
          <w:ilvl w:val="0"/>
          <w:numId w:val="40"/>
        </w:numPr>
        <w:rPr>
          <w:noProof/>
          <w:lang w:val="sr-Cyrl-CS" w:eastAsia="en-GB"/>
        </w:rPr>
      </w:pPr>
      <w:r w:rsidRPr="009F5B52">
        <w:rPr>
          <w:noProof/>
          <w:lang w:val="sr-Cyrl-CS" w:eastAsia="en-GB"/>
        </w:rPr>
        <w:t>Јачање социјалне у</w:t>
      </w:r>
      <w:r w:rsidR="0046476F" w:rsidRPr="009F5B52">
        <w:rPr>
          <w:noProof/>
          <w:lang w:val="sr-Cyrl-CS" w:eastAsia="en-GB"/>
        </w:rPr>
        <w:t xml:space="preserve">кључености путем интеграције </w:t>
      </w:r>
      <w:r w:rsidR="00787409" w:rsidRPr="009F5B52">
        <w:rPr>
          <w:noProof/>
          <w:szCs w:val="24"/>
          <w:lang w:val="sr-Cyrl-CS"/>
        </w:rPr>
        <w:t xml:space="preserve">социо-економски угроженог становништва </w:t>
      </w:r>
      <w:r w:rsidRPr="009F5B52">
        <w:rPr>
          <w:noProof/>
          <w:lang w:val="sr-Cyrl-CS" w:eastAsia="en-GB"/>
        </w:rPr>
        <w:t>на тржиште рада</w:t>
      </w:r>
      <w:r w:rsidR="0046476F" w:rsidRPr="009F5B52">
        <w:rPr>
          <w:noProof/>
          <w:lang w:val="sr-Cyrl-CS"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46476F" w:rsidRPr="008365F6" w:rsidTr="0046476F">
        <w:tc>
          <w:tcPr>
            <w:tcW w:w="9242" w:type="dxa"/>
          </w:tcPr>
          <w:p w:rsidR="0046476F" w:rsidRPr="009F5B52" w:rsidRDefault="001E1921" w:rsidP="0046476F">
            <w:pPr>
              <w:autoSpaceDE w:val="0"/>
              <w:autoSpaceDN w:val="0"/>
              <w:adjustRightInd w:val="0"/>
              <w:rPr>
                <w:b/>
                <w:noProof/>
                <w:szCs w:val="24"/>
                <w:lang w:val="sr-Cyrl-CS"/>
              </w:rPr>
            </w:pPr>
            <w:r w:rsidRPr="009F5B52">
              <w:rPr>
                <w:b/>
                <w:noProof/>
                <w:szCs w:val="24"/>
                <w:lang w:val="sr-Cyrl-CS"/>
              </w:rPr>
              <w:t>Бокс</w:t>
            </w:r>
            <w:r w:rsidR="0046476F" w:rsidRPr="009F5B52">
              <w:rPr>
                <w:b/>
                <w:noProof/>
                <w:szCs w:val="24"/>
                <w:lang w:val="sr-Cyrl-CS"/>
              </w:rPr>
              <w:t xml:space="preserve"> </w:t>
            </w:r>
            <w:r w:rsidR="00741707" w:rsidRPr="009F5B52">
              <w:rPr>
                <w:b/>
                <w:noProof/>
                <w:szCs w:val="24"/>
                <w:lang w:val="sr-Cyrl-CS"/>
              </w:rPr>
              <w:t>3</w:t>
            </w:r>
            <w:r w:rsidR="0046476F" w:rsidRPr="009F5B52">
              <w:rPr>
                <w:b/>
                <w:noProof/>
                <w:szCs w:val="24"/>
                <w:lang w:val="sr-Cyrl-CS"/>
              </w:rPr>
              <w:t xml:space="preserve">: </w:t>
            </w:r>
            <w:r w:rsidR="0046476F" w:rsidRPr="009F5B52">
              <w:rPr>
                <w:b/>
                <w:noProof/>
                <w:szCs w:val="24"/>
                <w:u w:val="single"/>
                <w:lang w:val="sr-Cyrl-CS"/>
              </w:rPr>
              <w:t xml:space="preserve">ЕСФ према новој Финансијској перспективи за период </w:t>
            </w:r>
            <w:r w:rsidRPr="009F5B52">
              <w:rPr>
                <w:b/>
                <w:noProof/>
                <w:szCs w:val="24"/>
                <w:u w:val="single"/>
                <w:lang w:val="sr-Cyrl-CS"/>
              </w:rPr>
              <w:t xml:space="preserve">од </w:t>
            </w:r>
            <w:r w:rsidR="0046476F" w:rsidRPr="009F5B52">
              <w:rPr>
                <w:b/>
                <w:noProof/>
                <w:szCs w:val="24"/>
                <w:u w:val="single"/>
                <w:lang w:val="sr-Cyrl-CS"/>
              </w:rPr>
              <w:t>2014-2020.</w:t>
            </w:r>
            <w:r w:rsidRPr="009F5B52">
              <w:rPr>
                <w:b/>
                <w:noProof/>
                <w:szCs w:val="24"/>
                <w:u w:val="single"/>
                <w:lang w:val="sr-Cyrl-CS"/>
              </w:rPr>
              <w:t xml:space="preserve"> </w:t>
            </w:r>
            <w:r w:rsidR="0046476F" w:rsidRPr="009F5B52">
              <w:rPr>
                <w:b/>
                <w:noProof/>
                <w:szCs w:val="24"/>
                <w:u w:val="single"/>
                <w:lang w:val="sr-Cyrl-CS"/>
              </w:rPr>
              <w:t>годин</w:t>
            </w:r>
            <w:r w:rsidRPr="009F5B52">
              <w:rPr>
                <w:b/>
                <w:noProof/>
                <w:szCs w:val="24"/>
                <w:u w:val="single"/>
                <w:lang w:val="sr-Cyrl-CS"/>
              </w:rPr>
              <w:t>е</w:t>
            </w:r>
          </w:p>
          <w:p w:rsidR="0046476F" w:rsidRPr="009F5B52" w:rsidRDefault="0046476F" w:rsidP="0046476F">
            <w:pPr>
              <w:rPr>
                <w:noProof/>
                <w:sz w:val="23"/>
                <w:szCs w:val="23"/>
                <w:lang w:val="sr-Cyrl-CS"/>
              </w:rPr>
            </w:pPr>
            <w:r w:rsidRPr="009F5B52">
              <w:rPr>
                <w:noProof/>
                <w:sz w:val="23"/>
                <w:szCs w:val="23"/>
                <w:lang w:val="sr-Cyrl-CS"/>
              </w:rPr>
              <w:t>Комисија је 6. октобра 2011.</w:t>
            </w:r>
            <w:r w:rsidR="001E1921" w:rsidRPr="009F5B52">
              <w:rPr>
                <w:noProof/>
                <w:sz w:val="23"/>
                <w:szCs w:val="23"/>
                <w:lang w:val="sr-Cyrl-CS"/>
              </w:rPr>
              <w:t xml:space="preserve"> </w:t>
            </w:r>
            <w:r w:rsidRPr="009F5B52">
              <w:rPr>
                <w:noProof/>
                <w:sz w:val="23"/>
                <w:szCs w:val="23"/>
                <w:lang w:val="sr-Cyrl-CS"/>
              </w:rPr>
              <w:t>године предложила нова правила функционисања Европског социјалног фонда за пери</w:t>
            </w:r>
            <w:r w:rsidR="00E0770C" w:rsidRPr="009F5B52">
              <w:rPr>
                <w:noProof/>
                <w:sz w:val="23"/>
                <w:szCs w:val="23"/>
                <w:lang w:val="sr-Cyrl-CS"/>
              </w:rPr>
              <w:t>о</w:t>
            </w:r>
            <w:r w:rsidRPr="009F5B52">
              <w:rPr>
                <w:noProof/>
                <w:sz w:val="23"/>
                <w:szCs w:val="23"/>
                <w:lang w:val="sr-Cyrl-CS"/>
              </w:rPr>
              <w:t xml:space="preserve">д </w:t>
            </w:r>
            <w:r w:rsidR="006B20EE" w:rsidRPr="009F5B52">
              <w:rPr>
                <w:noProof/>
                <w:sz w:val="23"/>
                <w:szCs w:val="23"/>
                <w:lang w:val="sr-Cyrl-CS"/>
              </w:rPr>
              <w:t xml:space="preserve">од </w:t>
            </w:r>
            <w:r w:rsidRPr="009F5B52">
              <w:rPr>
                <w:noProof/>
                <w:sz w:val="23"/>
                <w:szCs w:val="23"/>
                <w:lang w:val="sr-Cyrl-CS"/>
              </w:rPr>
              <w:t>2014-2020.</w:t>
            </w:r>
            <w:r w:rsidR="00E0770C" w:rsidRPr="009F5B52">
              <w:rPr>
                <w:noProof/>
                <w:sz w:val="23"/>
                <w:szCs w:val="23"/>
                <w:lang w:val="sr-Cyrl-CS"/>
              </w:rPr>
              <w:t xml:space="preserve"> </w:t>
            </w:r>
            <w:r w:rsidRPr="009F5B52">
              <w:rPr>
                <w:noProof/>
                <w:sz w:val="23"/>
                <w:szCs w:val="23"/>
                <w:lang w:val="sr-Cyrl-CS"/>
              </w:rPr>
              <w:t>годин</w:t>
            </w:r>
            <w:r w:rsidR="006B20EE" w:rsidRPr="009F5B52">
              <w:rPr>
                <w:noProof/>
                <w:sz w:val="23"/>
                <w:szCs w:val="23"/>
                <w:lang w:val="sr-Cyrl-CS"/>
              </w:rPr>
              <w:t>е</w:t>
            </w:r>
            <w:r w:rsidRPr="009F5B52">
              <w:rPr>
                <w:rStyle w:val="FootnoteReference"/>
                <w:bCs/>
                <w:noProof/>
                <w:sz w:val="23"/>
                <w:szCs w:val="23"/>
                <w:lang w:val="sr-Cyrl-CS"/>
              </w:rPr>
              <w:footnoteReference w:id="18"/>
            </w:r>
            <w:r w:rsidR="006B20EE" w:rsidRPr="009F5B52">
              <w:rPr>
                <w:noProof/>
                <w:sz w:val="23"/>
                <w:szCs w:val="23"/>
                <w:lang w:val="sr-Cyrl-CS"/>
              </w:rPr>
              <w:t>.</w:t>
            </w:r>
            <w:r w:rsidRPr="009F5B52">
              <w:rPr>
                <w:noProof/>
                <w:sz w:val="23"/>
                <w:szCs w:val="23"/>
                <w:lang w:val="sr-Cyrl-CS"/>
              </w:rPr>
              <w:t xml:space="preserve"> Предлог је део свеобухватног пакета </w:t>
            </w:r>
            <w:r w:rsidR="006B20EE" w:rsidRPr="009F5B52">
              <w:rPr>
                <w:noProof/>
                <w:sz w:val="23"/>
                <w:szCs w:val="23"/>
                <w:lang w:val="sr-Cyrl-CS"/>
              </w:rPr>
              <w:t>прописа</w:t>
            </w:r>
            <w:r w:rsidRPr="009F5B52">
              <w:rPr>
                <w:noProof/>
                <w:sz w:val="23"/>
                <w:szCs w:val="23"/>
                <w:lang w:val="sr-Cyrl-CS"/>
              </w:rPr>
              <w:t xml:space="preserve"> који се односе на кохезиону политику Уније у будућности. </w:t>
            </w:r>
          </w:p>
          <w:p w:rsidR="0046476F" w:rsidRPr="009F5B52" w:rsidRDefault="0046476F" w:rsidP="0046476F">
            <w:pPr>
              <w:rPr>
                <w:noProof/>
                <w:sz w:val="23"/>
                <w:szCs w:val="23"/>
                <w:lang w:val="sr-Cyrl-CS"/>
              </w:rPr>
            </w:pPr>
            <w:r w:rsidRPr="009F5B52">
              <w:rPr>
                <w:noProof/>
                <w:sz w:val="23"/>
                <w:szCs w:val="23"/>
                <w:lang w:val="sr-Cyrl-CS"/>
              </w:rPr>
              <w:t xml:space="preserve">Циљ Европског социјалног фонда је да повећа шансе за запошљвање, подстакне образовање и целоживотно учење, оснажи социјално укључивање, допринесе борби против сиромаштва и унапреди институционалне капацитете у државној управи. Нови предлог </w:t>
            </w:r>
            <w:r w:rsidRPr="009F5B52">
              <w:rPr>
                <w:noProof/>
                <w:sz w:val="23"/>
                <w:szCs w:val="23"/>
                <w:lang w:val="sr-Cyrl-CS"/>
              </w:rPr>
              <w:lastRenderedPageBreak/>
              <w:t>ојачава улогу ЕСФ на следећи начин:</w:t>
            </w:r>
          </w:p>
          <w:p w:rsidR="0046476F" w:rsidRPr="009F5B52" w:rsidRDefault="00741707" w:rsidP="0046476F">
            <w:pPr>
              <w:pStyle w:val="ListParagraph"/>
              <w:numPr>
                <w:ilvl w:val="0"/>
                <w:numId w:val="15"/>
              </w:numPr>
              <w:autoSpaceDE w:val="0"/>
              <w:autoSpaceDN w:val="0"/>
              <w:adjustRightInd w:val="0"/>
              <w:rPr>
                <w:bCs/>
                <w:noProof/>
                <w:sz w:val="23"/>
                <w:szCs w:val="23"/>
                <w:lang w:val="sr-Cyrl-CS"/>
              </w:rPr>
            </w:pPr>
            <w:r w:rsidRPr="009F5B52">
              <w:rPr>
                <w:bCs/>
                <w:noProof/>
                <w:sz w:val="23"/>
                <w:szCs w:val="23"/>
                <w:lang w:val="sr-Cyrl-CS"/>
              </w:rPr>
              <w:t xml:space="preserve">Повећање буџета на </w:t>
            </w:r>
            <w:r w:rsidR="0046476F" w:rsidRPr="009F5B52">
              <w:rPr>
                <w:bCs/>
                <w:noProof/>
                <w:sz w:val="23"/>
                <w:szCs w:val="23"/>
                <w:lang w:val="sr-Cyrl-CS"/>
              </w:rPr>
              <w:t>84 милијарде евра, у поређењу са постојећих 75 милијарди евра;</w:t>
            </w:r>
          </w:p>
          <w:p w:rsidR="0046476F" w:rsidRPr="009F5B52" w:rsidRDefault="0046476F" w:rsidP="0046476F">
            <w:pPr>
              <w:pStyle w:val="ListParagraph"/>
              <w:numPr>
                <w:ilvl w:val="0"/>
                <w:numId w:val="15"/>
              </w:numPr>
              <w:autoSpaceDE w:val="0"/>
              <w:autoSpaceDN w:val="0"/>
              <w:adjustRightInd w:val="0"/>
              <w:rPr>
                <w:bCs/>
                <w:noProof/>
                <w:sz w:val="23"/>
                <w:szCs w:val="23"/>
                <w:lang w:val="sr-Cyrl-CS"/>
              </w:rPr>
            </w:pPr>
            <w:r w:rsidRPr="009F5B52">
              <w:rPr>
                <w:bCs/>
                <w:noProof/>
                <w:sz w:val="23"/>
                <w:szCs w:val="23"/>
                <w:lang w:val="sr-Cyrl-CS"/>
              </w:rPr>
              <w:t xml:space="preserve">Државе чланице мораће да усредсреде ЕСФ на ограничени број циљева и инвестиционих приоритета у складу са Стратегијом </w:t>
            </w:r>
            <w:r w:rsidR="006B20EE" w:rsidRPr="009F5B52">
              <w:rPr>
                <w:bCs/>
                <w:noProof/>
                <w:sz w:val="23"/>
                <w:szCs w:val="23"/>
                <w:lang w:val="sr-Cyrl-CS"/>
              </w:rPr>
              <w:t>„</w:t>
            </w:r>
            <w:r w:rsidRPr="009F5B52">
              <w:rPr>
                <w:bCs/>
                <w:noProof/>
                <w:sz w:val="23"/>
                <w:szCs w:val="23"/>
                <w:lang w:val="sr-Cyrl-CS"/>
              </w:rPr>
              <w:t xml:space="preserve">Европа 2020”, а да би повећале ефекат и достигле критичну масу; </w:t>
            </w:r>
          </w:p>
          <w:p w:rsidR="0046476F" w:rsidRPr="009F5B52" w:rsidRDefault="0046476F" w:rsidP="0046476F">
            <w:pPr>
              <w:pStyle w:val="ListParagraph"/>
              <w:numPr>
                <w:ilvl w:val="0"/>
                <w:numId w:val="15"/>
              </w:numPr>
              <w:autoSpaceDE w:val="0"/>
              <w:autoSpaceDN w:val="0"/>
              <w:adjustRightInd w:val="0"/>
              <w:rPr>
                <w:bCs/>
                <w:noProof/>
                <w:sz w:val="23"/>
                <w:szCs w:val="23"/>
                <w:lang w:val="sr-Cyrl-CS"/>
              </w:rPr>
            </w:pPr>
            <w:r w:rsidRPr="009F5B52">
              <w:rPr>
                <w:bCs/>
                <w:noProof/>
                <w:sz w:val="23"/>
                <w:szCs w:val="23"/>
                <w:u w:val="single"/>
                <w:lang w:val="sr-Cyrl-CS"/>
              </w:rPr>
              <w:t xml:space="preserve">Најмање 20% ЕСФ биће опредељено за </w:t>
            </w:r>
            <w:r w:rsidR="006B20EE" w:rsidRPr="009F5B52">
              <w:rPr>
                <w:bCs/>
                <w:noProof/>
                <w:sz w:val="23"/>
                <w:szCs w:val="23"/>
                <w:u w:val="single"/>
                <w:lang w:val="sr-Cyrl-CS"/>
              </w:rPr>
              <w:t>пројекте који се тичу</w:t>
            </w:r>
            <w:r w:rsidRPr="009F5B52">
              <w:rPr>
                <w:bCs/>
                <w:noProof/>
                <w:sz w:val="23"/>
                <w:szCs w:val="23"/>
                <w:u w:val="single"/>
                <w:lang w:val="sr-Cyrl-CS"/>
              </w:rPr>
              <w:t xml:space="preserve"> социјалног укључивања</w:t>
            </w:r>
            <w:r w:rsidRPr="009F5B52">
              <w:rPr>
                <w:bCs/>
                <w:noProof/>
                <w:sz w:val="23"/>
                <w:szCs w:val="23"/>
                <w:lang w:val="sr-Cyrl-CS"/>
              </w:rPr>
              <w:t>;</w:t>
            </w:r>
          </w:p>
          <w:p w:rsidR="0046476F" w:rsidRPr="009F5B52" w:rsidRDefault="0046476F" w:rsidP="0046476F">
            <w:pPr>
              <w:pStyle w:val="ListParagraph"/>
              <w:numPr>
                <w:ilvl w:val="0"/>
                <w:numId w:val="15"/>
              </w:numPr>
              <w:autoSpaceDE w:val="0"/>
              <w:autoSpaceDN w:val="0"/>
              <w:adjustRightInd w:val="0"/>
              <w:rPr>
                <w:bCs/>
                <w:noProof/>
                <w:sz w:val="23"/>
                <w:szCs w:val="23"/>
                <w:lang w:val="sr-Cyrl-CS"/>
              </w:rPr>
            </w:pPr>
            <w:r w:rsidRPr="009F5B52">
              <w:rPr>
                <w:bCs/>
                <w:noProof/>
                <w:sz w:val="23"/>
                <w:szCs w:val="23"/>
                <w:lang w:val="sr-Cyrl-CS"/>
              </w:rPr>
              <w:t xml:space="preserve">Већи нагласак биће стављен на борбу против незапослености младих, промоцију активног и здравог старења, и подршку </w:t>
            </w:r>
            <w:r w:rsidR="00787409" w:rsidRPr="009F5B52">
              <w:rPr>
                <w:noProof/>
                <w:sz w:val="23"/>
                <w:szCs w:val="23"/>
                <w:lang w:val="sr-Cyrl-CS"/>
              </w:rPr>
              <w:t>социо-економски угроженом становништву</w:t>
            </w:r>
            <w:r w:rsidR="006B20EE" w:rsidRPr="009F5B52">
              <w:rPr>
                <w:noProof/>
                <w:sz w:val="23"/>
                <w:szCs w:val="23"/>
                <w:lang w:val="sr-Cyrl-CS"/>
              </w:rPr>
              <w:t xml:space="preserve"> </w:t>
            </w:r>
            <w:r w:rsidRPr="009F5B52">
              <w:rPr>
                <w:bCs/>
                <w:noProof/>
                <w:sz w:val="23"/>
                <w:szCs w:val="23"/>
                <w:lang w:val="sr-Cyrl-CS"/>
              </w:rPr>
              <w:t>и маргинализованим заједницама попут Рома;</w:t>
            </w:r>
          </w:p>
          <w:p w:rsidR="0046476F" w:rsidRPr="009F5B52" w:rsidRDefault="0046476F" w:rsidP="0046476F">
            <w:pPr>
              <w:pStyle w:val="ListParagraph"/>
              <w:numPr>
                <w:ilvl w:val="0"/>
                <w:numId w:val="15"/>
              </w:numPr>
              <w:autoSpaceDE w:val="0"/>
              <w:autoSpaceDN w:val="0"/>
              <w:adjustRightInd w:val="0"/>
              <w:rPr>
                <w:bCs/>
                <w:noProof/>
                <w:sz w:val="23"/>
                <w:szCs w:val="23"/>
                <w:lang w:val="sr-Cyrl-CS"/>
              </w:rPr>
            </w:pPr>
            <w:r w:rsidRPr="009F5B52">
              <w:rPr>
                <w:bCs/>
                <w:noProof/>
                <w:sz w:val="23"/>
                <w:szCs w:val="23"/>
                <w:lang w:val="sr-Cyrl-CS"/>
              </w:rPr>
              <w:t>Већа подршка ће бити обезбеђена за социјалне иновације</w:t>
            </w:r>
            <w:r w:rsidR="006B20EE" w:rsidRPr="009F5B52">
              <w:rPr>
                <w:bCs/>
                <w:noProof/>
                <w:sz w:val="23"/>
                <w:szCs w:val="23"/>
                <w:lang w:val="sr-Cyrl-CS"/>
              </w:rPr>
              <w:t>,</w:t>
            </w:r>
            <w:r w:rsidRPr="009F5B52">
              <w:rPr>
                <w:bCs/>
                <w:noProof/>
                <w:sz w:val="23"/>
                <w:szCs w:val="23"/>
                <w:lang w:val="sr-Cyrl-CS"/>
              </w:rPr>
              <w:t xml:space="preserve"> односно за тестирање и </w:t>
            </w:r>
            <w:r w:rsidR="006B20EE" w:rsidRPr="009F5B52">
              <w:rPr>
                <w:bCs/>
                <w:noProof/>
                <w:sz w:val="23"/>
                <w:szCs w:val="23"/>
                <w:lang w:val="sr-Cyrl-CS"/>
              </w:rPr>
              <w:t>ширење</w:t>
            </w:r>
            <w:r w:rsidRPr="009F5B52">
              <w:rPr>
                <w:bCs/>
                <w:noProof/>
                <w:sz w:val="23"/>
                <w:szCs w:val="23"/>
                <w:lang w:val="sr-Cyrl-CS"/>
              </w:rPr>
              <w:t xml:space="preserve"> иновативних решења ради задовољења социјалних потреба, на пример, за подршку социјалном укључивању</w:t>
            </w:r>
            <w:r w:rsidR="00741707" w:rsidRPr="009F5B52">
              <w:rPr>
                <w:bCs/>
                <w:noProof/>
                <w:sz w:val="23"/>
                <w:szCs w:val="23"/>
                <w:lang w:val="sr-Cyrl-CS"/>
              </w:rPr>
              <w:t>.</w:t>
            </w:r>
          </w:p>
          <w:p w:rsidR="00A30A17" w:rsidRPr="009F5B52" w:rsidRDefault="0046476F" w:rsidP="00A30A17">
            <w:pPr>
              <w:autoSpaceDE w:val="0"/>
              <w:autoSpaceDN w:val="0"/>
              <w:adjustRightInd w:val="0"/>
              <w:rPr>
                <w:i/>
                <w:noProof/>
                <w:lang w:val="sr-Cyrl-CS"/>
              </w:rPr>
            </w:pPr>
            <w:r w:rsidRPr="009F5B52">
              <w:rPr>
                <w:i/>
                <w:noProof/>
                <w:sz w:val="22"/>
                <w:lang w:val="sr-Cyrl-CS"/>
              </w:rPr>
              <w:t xml:space="preserve">Извор: </w:t>
            </w:r>
            <w:r w:rsidR="00A30A17" w:rsidRPr="009F5B52">
              <w:rPr>
                <w:i/>
                <w:noProof/>
                <w:sz w:val="22"/>
                <w:lang w:val="sr-Cyrl-CS"/>
              </w:rPr>
              <w:t>Генерални д</w:t>
            </w:r>
            <w:r w:rsidRPr="009F5B52">
              <w:rPr>
                <w:i/>
                <w:noProof/>
                <w:sz w:val="22"/>
                <w:lang w:val="sr-Cyrl-CS"/>
              </w:rPr>
              <w:t>иректорат за запошљавање, социјалн</w:t>
            </w:r>
            <w:r w:rsidR="00A30A17" w:rsidRPr="009F5B52">
              <w:rPr>
                <w:i/>
                <w:noProof/>
                <w:sz w:val="22"/>
                <w:lang w:val="sr-Cyrl-CS"/>
              </w:rPr>
              <w:t>а питања и</w:t>
            </w:r>
            <w:r w:rsidRPr="009F5B52">
              <w:rPr>
                <w:i/>
                <w:noProof/>
                <w:sz w:val="22"/>
                <w:lang w:val="sr-Cyrl-CS"/>
              </w:rPr>
              <w:t xml:space="preserve"> укључивање</w:t>
            </w:r>
            <w:r w:rsidR="00A30A17" w:rsidRPr="009F5B52">
              <w:rPr>
                <w:i/>
                <w:noProof/>
                <w:sz w:val="22"/>
                <w:lang w:val="sr-Cyrl-CS"/>
              </w:rPr>
              <w:t xml:space="preserve"> Европске комисије</w:t>
            </w:r>
            <w:r w:rsidRPr="009F5B52">
              <w:rPr>
                <w:i/>
                <w:noProof/>
                <w:sz w:val="22"/>
                <w:lang w:val="sr-Cyrl-CS"/>
              </w:rPr>
              <w:t>:</w:t>
            </w:r>
            <w:r w:rsidR="00A30A17" w:rsidRPr="009F5B52">
              <w:rPr>
                <w:i/>
                <w:noProof/>
                <w:sz w:val="22"/>
                <w:lang w:val="sr-Cyrl-CS"/>
              </w:rPr>
              <w:t xml:space="preserve"> „</w:t>
            </w:r>
            <w:r w:rsidRPr="009F5B52">
              <w:rPr>
                <w:i/>
                <w:noProof/>
                <w:sz w:val="22"/>
                <w:lang w:val="sr-Cyrl-CS"/>
              </w:rPr>
              <w:t>Какве се промене ЕСФ предлажу?”</w:t>
            </w:r>
          </w:p>
          <w:p w:rsidR="0046476F" w:rsidRPr="009F5B52" w:rsidRDefault="008365F6" w:rsidP="00A30A17">
            <w:pPr>
              <w:autoSpaceDE w:val="0"/>
              <w:autoSpaceDN w:val="0"/>
              <w:adjustRightInd w:val="0"/>
              <w:rPr>
                <w:noProof/>
                <w:szCs w:val="24"/>
                <w:lang w:val="sr-Cyrl-CS"/>
              </w:rPr>
            </w:pPr>
            <w:hyperlink r:id="rId11" w:history="1">
              <w:r w:rsidR="0046476F" w:rsidRPr="009F5B52">
                <w:rPr>
                  <w:rStyle w:val="Hyperlink"/>
                  <w:i/>
                  <w:noProof/>
                  <w:sz w:val="22"/>
                  <w:lang w:val="sr-Cyrl-CS"/>
                </w:rPr>
                <w:t>http://ec.europa.eu/esf/main.jsp?catId=62&amp;langId=en</w:t>
              </w:r>
            </w:hyperlink>
            <w:r w:rsidR="0046476F" w:rsidRPr="009F5B52">
              <w:rPr>
                <w:i/>
                <w:noProof/>
                <w:szCs w:val="24"/>
                <w:lang w:val="sr-Cyrl-CS"/>
              </w:rPr>
              <w:t xml:space="preserve"> </w:t>
            </w:r>
          </w:p>
        </w:tc>
      </w:tr>
    </w:tbl>
    <w:p w:rsidR="0046476F" w:rsidRPr="009F5B52" w:rsidRDefault="0046476F" w:rsidP="0046476F">
      <w:pPr>
        <w:rPr>
          <w:noProof/>
          <w:lang w:val="sr-Cyrl-CS"/>
        </w:rPr>
      </w:pPr>
      <w:r w:rsidRPr="009F5B52">
        <w:rPr>
          <w:noProof/>
          <w:lang w:val="sr-Cyrl-CS"/>
        </w:rPr>
        <w:lastRenderedPageBreak/>
        <w:t xml:space="preserve">Уз </w:t>
      </w:r>
      <w:r w:rsidRPr="009F5B52">
        <w:rPr>
          <w:b/>
          <w:noProof/>
          <w:lang w:val="sr-Cyrl-CS"/>
        </w:rPr>
        <w:t>Европски социјални фонд</w:t>
      </w:r>
      <w:r w:rsidRPr="009F5B52">
        <w:rPr>
          <w:noProof/>
          <w:lang w:val="sr-Cyrl-CS"/>
        </w:rPr>
        <w:t>, од кога се очекује највећи финансијски допринос инвестицијама у људске ресурсе из буџета ЕУ, Европска комисија предложила је и друге инструменте којима ће моћи да се испуне циљеви Развоја људских ресурса према новом Вишегодишњем финансијском оквиру (МФФ)</w:t>
      </w:r>
      <w:r w:rsidR="00741707" w:rsidRPr="009F5B52">
        <w:rPr>
          <w:noProof/>
          <w:lang w:val="sr-Cyrl-CS"/>
        </w:rPr>
        <w:t xml:space="preserve">, као што је </w:t>
      </w:r>
      <w:r w:rsidRPr="009F5B52">
        <w:rPr>
          <w:noProof/>
          <w:lang w:val="sr-Cyrl-CS"/>
        </w:rPr>
        <w:t xml:space="preserve">нови </w:t>
      </w:r>
      <w:r w:rsidRPr="009F5B52">
        <w:rPr>
          <w:b/>
          <w:noProof/>
          <w:lang w:val="sr-Cyrl-CS"/>
        </w:rPr>
        <w:t xml:space="preserve">Програм ЕУ за </w:t>
      </w:r>
      <w:r w:rsidR="0056571B" w:rsidRPr="009F5B52">
        <w:rPr>
          <w:b/>
          <w:noProof/>
          <w:lang w:val="sr-Cyrl-CS"/>
        </w:rPr>
        <w:t>друштвене</w:t>
      </w:r>
      <w:r w:rsidRPr="009F5B52">
        <w:rPr>
          <w:b/>
          <w:noProof/>
          <w:lang w:val="sr-Cyrl-CS"/>
        </w:rPr>
        <w:t xml:space="preserve"> промене и иновације (</w:t>
      </w:r>
      <w:r w:rsidR="0056571B" w:rsidRPr="009F5B52">
        <w:rPr>
          <w:b/>
          <w:noProof/>
          <w:lang w:val="sr-Cyrl-CS"/>
        </w:rPr>
        <w:t>ПДПИ</w:t>
      </w:r>
      <w:r w:rsidRPr="009F5B52">
        <w:rPr>
          <w:b/>
          <w:noProof/>
          <w:lang w:val="sr-Cyrl-CS"/>
        </w:rPr>
        <w:t>)</w:t>
      </w:r>
      <w:r w:rsidR="00741707" w:rsidRPr="009F5B52">
        <w:rPr>
          <w:b/>
          <w:noProof/>
          <w:lang w:val="sr-Cyrl-CS"/>
        </w:rPr>
        <w:t>,</w:t>
      </w:r>
      <w:r w:rsidRPr="009F5B52">
        <w:rPr>
          <w:b/>
          <w:noProof/>
          <w:lang w:val="sr-Cyrl-CS"/>
        </w:rPr>
        <w:t xml:space="preserve"> </w:t>
      </w:r>
      <w:r w:rsidR="00741707" w:rsidRPr="009F5B52">
        <w:rPr>
          <w:noProof/>
          <w:lang w:val="sr-Cyrl-CS"/>
        </w:rPr>
        <w:t>којим ће</w:t>
      </w:r>
      <w:r w:rsidR="00741707" w:rsidRPr="009F5B52">
        <w:rPr>
          <w:b/>
          <w:noProof/>
          <w:lang w:val="sr-Cyrl-CS"/>
        </w:rPr>
        <w:t xml:space="preserve"> </w:t>
      </w:r>
      <w:r w:rsidRPr="009F5B52">
        <w:rPr>
          <w:noProof/>
          <w:lang w:val="sr-Cyrl-CS"/>
        </w:rPr>
        <w:t xml:space="preserve">директно </w:t>
      </w:r>
      <w:r w:rsidR="00741707" w:rsidRPr="009F5B52">
        <w:rPr>
          <w:noProof/>
          <w:lang w:val="sr-Cyrl-CS"/>
        </w:rPr>
        <w:t xml:space="preserve">управљати </w:t>
      </w:r>
      <w:r w:rsidRPr="009F5B52">
        <w:rPr>
          <w:noProof/>
          <w:lang w:val="sr-Cyrl-CS"/>
        </w:rPr>
        <w:t>Комисија, комбиновањем три постојећа програма и проширењем њихове покривености: Програм</w:t>
      </w:r>
      <w:r w:rsidR="0056571B" w:rsidRPr="009F5B52">
        <w:rPr>
          <w:noProof/>
          <w:lang w:val="sr-Cyrl-CS"/>
        </w:rPr>
        <w:t>а</w:t>
      </w:r>
      <w:r w:rsidRPr="009F5B52">
        <w:rPr>
          <w:noProof/>
          <w:lang w:val="sr-Cyrl-CS"/>
        </w:rPr>
        <w:t xml:space="preserve"> за запошљавање и социјалну солидарност (Прогрес); Европ</w:t>
      </w:r>
      <w:r w:rsidR="00E0770C" w:rsidRPr="009F5B52">
        <w:rPr>
          <w:noProof/>
          <w:lang w:val="sr-Cyrl-CS"/>
        </w:rPr>
        <w:t>с</w:t>
      </w:r>
      <w:r w:rsidRPr="009F5B52">
        <w:rPr>
          <w:noProof/>
          <w:lang w:val="sr-Cyrl-CS"/>
        </w:rPr>
        <w:t>к</w:t>
      </w:r>
      <w:r w:rsidR="0056571B" w:rsidRPr="009F5B52">
        <w:rPr>
          <w:noProof/>
          <w:lang w:val="sr-Cyrl-CS"/>
        </w:rPr>
        <w:t>их</w:t>
      </w:r>
      <w:r w:rsidRPr="009F5B52">
        <w:rPr>
          <w:noProof/>
          <w:lang w:val="sr-Cyrl-CS"/>
        </w:rPr>
        <w:t xml:space="preserve"> </w:t>
      </w:r>
      <w:r w:rsidR="0056571B" w:rsidRPr="009F5B52">
        <w:rPr>
          <w:noProof/>
          <w:lang w:val="sr-Cyrl-CS"/>
        </w:rPr>
        <w:t>служби за</w:t>
      </w:r>
      <w:r w:rsidRPr="009F5B52">
        <w:rPr>
          <w:noProof/>
          <w:lang w:val="sr-Cyrl-CS"/>
        </w:rPr>
        <w:t xml:space="preserve"> запошљавањ</w:t>
      </w:r>
      <w:r w:rsidR="0056571B" w:rsidRPr="009F5B52">
        <w:rPr>
          <w:noProof/>
          <w:lang w:val="sr-Cyrl-CS"/>
        </w:rPr>
        <w:t>е</w:t>
      </w:r>
      <w:r w:rsidRPr="009F5B52">
        <w:rPr>
          <w:noProof/>
          <w:lang w:val="sr-Cyrl-CS"/>
        </w:rPr>
        <w:t xml:space="preserve"> (ЕУРЕС) и Европск</w:t>
      </w:r>
      <w:r w:rsidR="0056571B" w:rsidRPr="009F5B52">
        <w:rPr>
          <w:noProof/>
          <w:lang w:val="sr-Cyrl-CS"/>
        </w:rPr>
        <w:t>ог</w:t>
      </w:r>
      <w:r w:rsidRPr="009F5B52">
        <w:rPr>
          <w:noProof/>
          <w:lang w:val="sr-Cyrl-CS"/>
        </w:rPr>
        <w:t xml:space="preserve"> инструмент</w:t>
      </w:r>
      <w:r w:rsidR="0056571B" w:rsidRPr="009F5B52">
        <w:rPr>
          <w:noProof/>
          <w:lang w:val="sr-Cyrl-CS"/>
        </w:rPr>
        <w:t>а</w:t>
      </w:r>
      <w:r w:rsidRPr="009F5B52">
        <w:rPr>
          <w:noProof/>
          <w:lang w:val="sr-Cyrl-CS"/>
        </w:rPr>
        <w:t xml:space="preserve"> за микрофинансирање Прогрес. Програм ће пружити подршку координацији политика, размени примера добре праксе, изградњи капацитета и тестирању иновативних политика са циљем да се </w:t>
      </w:r>
      <w:r w:rsidR="0056571B" w:rsidRPr="009F5B52">
        <w:rPr>
          <w:noProof/>
          <w:lang w:val="sr-Cyrl-CS"/>
        </w:rPr>
        <w:t>прошире</w:t>
      </w:r>
      <w:r w:rsidRPr="009F5B52">
        <w:rPr>
          <w:noProof/>
          <w:lang w:val="sr-Cyrl-CS"/>
        </w:rPr>
        <w:t xml:space="preserve"> најуспешније мере уз подршку Европског социјалног фонда и тиме допринесе остваривању Стратегије </w:t>
      </w:r>
      <w:r w:rsidR="00E0770C" w:rsidRPr="009F5B52">
        <w:rPr>
          <w:bCs/>
          <w:noProof/>
          <w:szCs w:val="24"/>
          <w:lang w:val="sr-Cyrl-CS"/>
        </w:rPr>
        <w:t>„</w:t>
      </w:r>
      <w:r w:rsidRPr="009F5B52">
        <w:rPr>
          <w:noProof/>
          <w:lang w:val="sr-Cyrl-CS"/>
        </w:rPr>
        <w:t>Европа 2020”. Предложена алокација за овај програм износи 850 милиона</w:t>
      </w:r>
      <w:r w:rsidR="00E0770C" w:rsidRPr="009F5B52">
        <w:rPr>
          <w:noProof/>
          <w:lang w:val="sr-Cyrl-CS"/>
        </w:rPr>
        <w:t xml:space="preserve"> евра</w:t>
      </w:r>
      <w:r w:rsidRPr="009F5B52">
        <w:rPr>
          <w:noProof/>
          <w:lang w:val="sr-Cyrl-CS"/>
        </w:rPr>
        <w:t>.</w:t>
      </w:r>
    </w:p>
    <w:p w:rsidR="0046476F" w:rsidRPr="009F5B52" w:rsidRDefault="0046476F" w:rsidP="0046476F">
      <w:pPr>
        <w:autoSpaceDE w:val="0"/>
        <w:autoSpaceDN w:val="0"/>
        <w:adjustRightInd w:val="0"/>
        <w:spacing w:after="0"/>
        <w:rPr>
          <w:i/>
          <w:noProof/>
          <w:szCs w:val="24"/>
          <w:lang w:val="sr-Cyrl-CS"/>
        </w:rPr>
      </w:pPr>
      <w:r w:rsidRPr="009F5B52">
        <w:rPr>
          <w:i/>
          <w:noProof/>
          <w:szCs w:val="24"/>
          <w:lang w:val="sr-Cyrl-CS"/>
        </w:rPr>
        <w:t xml:space="preserve">Табела 1: </w:t>
      </w:r>
      <w:r w:rsidR="00741707" w:rsidRPr="009F5B52">
        <w:rPr>
          <w:i/>
          <w:noProof/>
          <w:szCs w:val="24"/>
          <w:lang w:val="sr-Cyrl-CS"/>
        </w:rPr>
        <w:t>Релевантни</w:t>
      </w:r>
      <w:r w:rsidRPr="009F5B52">
        <w:rPr>
          <w:i/>
          <w:noProof/>
          <w:szCs w:val="24"/>
          <w:lang w:val="sr-Cyrl-CS"/>
        </w:rPr>
        <w:t xml:space="preserve"> фондови у новој Финансијској перспективи ЕУ</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9"/>
        <w:gridCol w:w="3121"/>
      </w:tblGrid>
      <w:tr w:rsidR="0046476F" w:rsidRPr="009F5B52" w:rsidTr="0046476F">
        <w:trPr>
          <w:trHeight w:val="70"/>
          <w:jc w:val="center"/>
        </w:trPr>
        <w:tc>
          <w:tcPr>
            <w:tcW w:w="6059" w:type="dxa"/>
          </w:tcPr>
          <w:p w:rsidR="0046476F" w:rsidRPr="009F5B52" w:rsidRDefault="0046476F" w:rsidP="0046476F">
            <w:pPr>
              <w:pStyle w:val="Default"/>
              <w:jc w:val="center"/>
              <w:rPr>
                <w:rFonts w:ascii="Times New Roman" w:hAnsi="Times New Roman" w:cs="Times New Roman"/>
                <w:b/>
                <w:bCs/>
                <w:noProof/>
                <w:color w:val="auto"/>
                <w:lang w:val="sr-Cyrl-CS"/>
              </w:rPr>
            </w:pPr>
            <w:r w:rsidRPr="009F5B52">
              <w:rPr>
                <w:rFonts w:ascii="Times New Roman" w:hAnsi="Times New Roman" w:cs="Times New Roman"/>
                <w:b/>
                <w:noProof/>
                <w:color w:val="auto"/>
                <w:lang w:val="sr-Cyrl-CS"/>
              </w:rPr>
              <w:t>Инструмент (од највишег до најнижег буџета)</w:t>
            </w:r>
          </w:p>
        </w:tc>
        <w:tc>
          <w:tcPr>
            <w:tcW w:w="3121" w:type="dxa"/>
          </w:tcPr>
          <w:p w:rsidR="0046476F" w:rsidRPr="009F5B52" w:rsidRDefault="0046476F" w:rsidP="0046476F">
            <w:pPr>
              <w:pStyle w:val="Default"/>
              <w:jc w:val="center"/>
              <w:rPr>
                <w:rFonts w:ascii="Times New Roman" w:hAnsi="Times New Roman" w:cs="Times New Roman"/>
                <w:b/>
                <w:bCs/>
                <w:noProof/>
                <w:color w:val="auto"/>
                <w:lang w:val="sr-Cyrl-CS"/>
              </w:rPr>
            </w:pPr>
            <w:r w:rsidRPr="009F5B52">
              <w:rPr>
                <w:rFonts w:ascii="Times New Roman" w:hAnsi="Times New Roman" w:cs="Times New Roman"/>
                <w:b/>
                <w:noProof/>
                <w:color w:val="auto"/>
                <w:lang w:val="sr-Cyrl-CS"/>
              </w:rPr>
              <w:t>Предложени буџет (константне цене)</w:t>
            </w:r>
          </w:p>
        </w:tc>
      </w:tr>
      <w:tr w:rsidR="0046476F" w:rsidRPr="009F5B52" w:rsidTr="0046476F">
        <w:trPr>
          <w:trHeight w:val="60"/>
          <w:jc w:val="center"/>
        </w:trPr>
        <w:tc>
          <w:tcPr>
            <w:tcW w:w="6059" w:type="dxa"/>
          </w:tcPr>
          <w:p w:rsidR="0046476F" w:rsidRPr="009F5B52" w:rsidRDefault="0046476F" w:rsidP="00741707">
            <w:pPr>
              <w:pStyle w:val="Default"/>
              <w:rPr>
                <w:rFonts w:ascii="Times New Roman" w:hAnsi="Times New Roman" w:cs="Times New Roman"/>
                <w:bCs/>
                <w:noProof/>
                <w:color w:val="auto"/>
                <w:lang w:val="sr-Cyrl-CS"/>
              </w:rPr>
            </w:pPr>
            <w:r w:rsidRPr="009F5B52">
              <w:rPr>
                <w:rFonts w:ascii="Times New Roman" w:hAnsi="Times New Roman" w:cs="Times New Roman"/>
                <w:bCs/>
                <w:noProof/>
                <w:color w:val="auto"/>
                <w:lang w:val="sr-Cyrl-CS"/>
              </w:rPr>
              <w:t xml:space="preserve">Европски социјални фонд (заснован на формули 25/40/52 по категорији региона) </w:t>
            </w:r>
          </w:p>
        </w:tc>
        <w:tc>
          <w:tcPr>
            <w:tcW w:w="3121" w:type="dxa"/>
          </w:tcPr>
          <w:p w:rsidR="0046476F" w:rsidRPr="009F5B52" w:rsidRDefault="0046476F" w:rsidP="0046476F">
            <w:pPr>
              <w:pStyle w:val="Default"/>
              <w:jc w:val="center"/>
              <w:rPr>
                <w:rFonts w:ascii="Times New Roman" w:hAnsi="Times New Roman" w:cs="Times New Roman"/>
                <w:noProof/>
                <w:color w:val="auto"/>
                <w:lang w:val="sr-Cyrl-CS"/>
              </w:rPr>
            </w:pPr>
            <w:r w:rsidRPr="009F5B52">
              <w:rPr>
                <w:rFonts w:ascii="Times New Roman" w:hAnsi="Times New Roman" w:cs="Times New Roman"/>
                <w:noProof/>
                <w:color w:val="auto"/>
                <w:lang w:val="sr-Cyrl-CS"/>
              </w:rPr>
              <w:t xml:space="preserve">84,0 милијарде </w:t>
            </w:r>
            <w:r w:rsidR="001721B1" w:rsidRPr="009F5B52">
              <w:rPr>
                <w:rFonts w:ascii="Times New Roman" w:hAnsi="Times New Roman" w:cs="Times New Roman"/>
                <w:noProof/>
                <w:color w:val="auto"/>
                <w:lang w:val="sr-Cyrl-CS"/>
              </w:rPr>
              <w:t>евра</w:t>
            </w:r>
          </w:p>
        </w:tc>
      </w:tr>
      <w:tr w:rsidR="0046476F" w:rsidRPr="009F5B52" w:rsidTr="0046476F">
        <w:trPr>
          <w:trHeight w:val="60"/>
          <w:jc w:val="center"/>
        </w:trPr>
        <w:tc>
          <w:tcPr>
            <w:tcW w:w="6059" w:type="dxa"/>
          </w:tcPr>
          <w:p w:rsidR="0046476F" w:rsidRPr="009F5B52" w:rsidRDefault="0046476F" w:rsidP="0046476F">
            <w:pPr>
              <w:pStyle w:val="Default"/>
              <w:jc w:val="both"/>
              <w:rPr>
                <w:rFonts w:ascii="Times New Roman" w:hAnsi="Times New Roman" w:cs="Times New Roman"/>
                <w:bCs/>
                <w:noProof/>
                <w:color w:val="auto"/>
                <w:lang w:val="sr-Cyrl-CS"/>
              </w:rPr>
            </w:pPr>
            <w:r w:rsidRPr="009F5B52">
              <w:rPr>
                <w:rFonts w:ascii="Times New Roman" w:hAnsi="Times New Roman" w:cs="Times New Roman"/>
                <w:bCs/>
                <w:noProof/>
                <w:color w:val="auto"/>
                <w:lang w:val="sr-Cyrl-CS"/>
              </w:rPr>
              <w:t>‘Образовање Европа’</w:t>
            </w:r>
          </w:p>
        </w:tc>
        <w:tc>
          <w:tcPr>
            <w:tcW w:w="3121" w:type="dxa"/>
          </w:tcPr>
          <w:p w:rsidR="0046476F" w:rsidRPr="009F5B52" w:rsidRDefault="0046476F" w:rsidP="0046476F">
            <w:pPr>
              <w:pStyle w:val="Default"/>
              <w:jc w:val="center"/>
              <w:rPr>
                <w:rFonts w:ascii="Times New Roman" w:hAnsi="Times New Roman" w:cs="Times New Roman"/>
                <w:noProof/>
                <w:color w:val="auto"/>
                <w:lang w:val="sr-Cyrl-CS"/>
              </w:rPr>
            </w:pPr>
            <w:r w:rsidRPr="009F5B52">
              <w:rPr>
                <w:rFonts w:ascii="Times New Roman" w:hAnsi="Times New Roman" w:cs="Times New Roman"/>
                <w:noProof/>
                <w:color w:val="auto"/>
                <w:lang w:val="sr-Cyrl-CS"/>
              </w:rPr>
              <w:t>15,21 милијарди</w:t>
            </w:r>
            <w:r w:rsidR="001721B1" w:rsidRPr="009F5B52">
              <w:rPr>
                <w:rFonts w:ascii="Times New Roman" w:hAnsi="Times New Roman" w:cs="Times New Roman"/>
                <w:noProof/>
                <w:color w:val="auto"/>
                <w:lang w:val="sr-Cyrl-CS"/>
              </w:rPr>
              <w:t xml:space="preserve"> евра</w:t>
            </w:r>
          </w:p>
        </w:tc>
      </w:tr>
      <w:tr w:rsidR="0046476F" w:rsidRPr="009F5B52" w:rsidTr="0046476F">
        <w:trPr>
          <w:trHeight w:val="60"/>
          <w:jc w:val="center"/>
        </w:trPr>
        <w:tc>
          <w:tcPr>
            <w:tcW w:w="6059" w:type="dxa"/>
          </w:tcPr>
          <w:p w:rsidR="0046476F" w:rsidRPr="009F5B52" w:rsidRDefault="0046476F" w:rsidP="0046476F">
            <w:pPr>
              <w:pStyle w:val="Default"/>
              <w:jc w:val="both"/>
              <w:rPr>
                <w:rFonts w:ascii="Times New Roman" w:hAnsi="Times New Roman" w:cs="Times New Roman"/>
                <w:bCs/>
                <w:noProof/>
                <w:color w:val="auto"/>
                <w:lang w:val="sr-Cyrl-CS"/>
              </w:rPr>
            </w:pPr>
            <w:r w:rsidRPr="009F5B52">
              <w:rPr>
                <w:rFonts w:ascii="Times New Roman" w:hAnsi="Times New Roman" w:cs="Times New Roman"/>
                <w:bCs/>
                <w:noProof/>
                <w:color w:val="auto"/>
                <w:lang w:val="sr-Cyrl-CS"/>
              </w:rPr>
              <w:t xml:space="preserve">Европски фонд за прилагођавање глобализацији </w:t>
            </w:r>
          </w:p>
        </w:tc>
        <w:tc>
          <w:tcPr>
            <w:tcW w:w="3121" w:type="dxa"/>
          </w:tcPr>
          <w:p w:rsidR="0046476F" w:rsidRPr="009F5B52" w:rsidRDefault="0046476F" w:rsidP="0046476F">
            <w:pPr>
              <w:pStyle w:val="Default"/>
              <w:jc w:val="center"/>
              <w:rPr>
                <w:rFonts w:ascii="Times New Roman" w:hAnsi="Times New Roman" w:cs="Times New Roman"/>
                <w:noProof/>
                <w:color w:val="auto"/>
                <w:lang w:val="sr-Cyrl-CS"/>
              </w:rPr>
            </w:pPr>
            <w:r w:rsidRPr="009F5B52">
              <w:rPr>
                <w:rFonts w:ascii="Times New Roman" w:hAnsi="Times New Roman" w:cs="Times New Roman"/>
                <w:noProof/>
                <w:color w:val="auto"/>
                <w:lang w:val="sr-Cyrl-CS"/>
              </w:rPr>
              <w:t>3,0 милијарде</w:t>
            </w:r>
            <w:r w:rsidR="001721B1" w:rsidRPr="009F5B52">
              <w:rPr>
                <w:rFonts w:ascii="Times New Roman" w:hAnsi="Times New Roman" w:cs="Times New Roman"/>
                <w:noProof/>
                <w:color w:val="auto"/>
                <w:lang w:val="sr-Cyrl-CS"/>
              </w:rPr>
              <w:t xml:space="preserve"> евра</w:t>
            </w:r>
            <w:r w:rsidRPr="009F5B52">
              <w:rPr>
                <w:rFonts w:ascii="Times New Roman" w:hAnsi="Times New Roman" w:cs="Times New Roman"/>
                <w:noProof/>
                <w:color w:val="auto"/>
                <w:lang w:val="sr-Cyrl-CS"/>
              </w:rPr>
              <w:t xml:space="preserve">  </w:t>
            </w:r>
          </w:p>
        </w:tc>
      </w:tr>
      <w:tr w:rsidR="0046476F" w:rsidRPr="009F5B52" w:rsidTr="0046476F">
        <w:trPr>
          <w:trHeight w:val="60"/>
          <w:jc w:val="center"/>
        </w:trPr>
        <w:tc>
          <w:tcPr>
            <w:tcW w:w="6059" w:type="dxa"/>
          </w:tcPr>
          <w:p w:rsidR="0046476F" w:rsidRPr="009F5B52" w:rsidRDefault="0046476F" w:rsidP="0046476F">
            <w:pPr>
              <w:pStyle w:val="Default"/>
              <w:jc w:val="both"/>
              <w:rPr>
                <w:rFonts w:ascii="Times New Roman" w:hAnsi="Times New Roman" w:cs="Times New Roman"/>
                <w:bCs/>
                <w:noProof/>
                <w:color w:val="auto"/>
                <w:lang w:val="sr-Cyrl-CS"/>
              </w:rPr>
            </w:pPr>
            <w:r w:rsidRPr="009F5B52">
              <w:rPr>
                <w:rFonts w:ascii="Times New Roman" w:hAnsi="Times New Roman" w:cs="Times New Roman"/>
                <w:bCs/>
                <w:noProof/>
                <w:color w:val="auto"/>
                <w:lang w:val="sr-Cyrl-CS"/>
              </w:rPr>
              <w:t xml:space="preserve">Интегрисани програм за запошљавање, социјалну политику и укључивање </w:t>
            </w:r>
          </w:p>
        </w:tc>
        <w:tc>
          <w:tcPr>
            <w:tcW w:w="3121" w:type="dxa"/>
          </w:tcPr>
          <w:p w:rsidR="0046476F" w:rsidRPr="009F5B52" w:rsidRDefault="0046476F" w:rsidP="0046476F">
            <w:pPr>
              <w:pStyle w:val="Default"/>
              <w:jc w:val="center"/>
              <w:rPr>
                <w:rFonts w:ascii="Times New Roman" w:hAnsi="Times New Roman" w:cs="Times New Roman"/>
                <w:noProof/>
                <w:color w:val="auto"/>
                <w:lang w:val="sr-Cyrl-CS"/>
              </w:rPr>
            </w:pPr>
            <w:r w:rsidRPr="009F5B52">
              <w:rPr>
                <w:rFonts w:ascii="Times New Roman" w:hAnsi="Times New Roman" w:cs="Times New Roman"/>
                <w:noProof/>
                <w:color w:val="auto"/>
                <w:lang w:val="sr-Cyrl-CS"/>
              </w:rPr>
              <w:t xml:space="preserve">0,85 милијарди </w:t>
            </w:r>
            <w:r w:rsidR="001721B1" w:rsidRPr="009F5B52">
              <w:rPr>
                <w:rFonts w:ascii="Times New Roman" w:hAnsi="Times New Roman" w:cs="Times New Roman"/>
                <w:noProof/>
                <w:color w:val="auto"/>
                <w:lang w:val="sr-Cyrl-CS"/>
              </w:rPr>
              <w:t>евра</w:t>
            </w:r>
          </w:p>
        </w:tc>
      </w:tr>
      <w:tr w:rsidR="0046476F" w:rsidRPr="009F5B52" w:rsidTr="0046476F">
        <w:trPr>
          <w:trHeight w:val="60"/>
          <w:jc w:val="center"/>
        </w:trPr>
        <w:tc>
          <w:tcPr>
            <w:tcW w:w="6059" w:type="dxa"/>
          </w:tcPr>
          <w:p w:rsidR="0046476F" w:rsidRPr="009F5B52" w:rsidRDefault="0046476F" w:rsidP="0046476F">
            <w:pPr>
              <w:pStyle w:val="Default"/>
              <w:jc w:val="both"/>
              <w:rPr>
                <w:rFonts w:ascii="Times New Roman" w:hAnsi="Times New Roman" w:cs="Times New Roman"/>
                <w:bCs/>
                <w:noProof/>
                <w:color w:val="auto"/>
                <w:lang w:val="sr-Cyrl-CS"/>
              </w:rPr>
            </w:pPr>
            <w:r w:rsidRPr="009F5B52">
              <w:rPr>
                <w:rFonts w:ascii="Times New Roman" w:hAnsi="Times New Roman" w:cs="Times New Roman"/>
                <w:bCs/>
                <w:noProof/>
                <w:color w:val="auto"/>
                <w:lang w:val="sr-Cyrl-CS"/>
              </w:rPr>
              <w:t xml:space="preserve">Независне буџетске линије </w:t>
            </w:r>
          </w:p>
        </w:tc>
        <w:tc>
          <w:tcPr>
            <w:tcW w:w="3121" w:type="dxa"/>
          </w:tcPr>
          <w:p w:rsidR="0046476F" w:rsidRPr="009F5B52" w:rsidRDefault="0046476F" w:rsidP="0046476F">
            <w:pPr>
              <w:pStyle w:val="Default"/>
              <w:jc w:val="center"/>
              <w:rPr>
                <w:rFonts w:ascii="Times New Roman" w:hAnsi="Times New Roman" w:cs="Times New Roman"/>
                <w:noProof/>
                <w:color w:val="auto"/>
                <w:lang w:val="sr-Cyrl-CS"/>
              </w:rPr>
            </w:pPr>
            <w:r w:rsidRPr="009F5B52">
              <w:rPr>
                <w:rFonts w:ascii="Times New Roman" w:hAnsi="Times New Roman" w:cs="Times New Roman"/>
                <w:noProof/>
                <w:color w:val="auto"/>
                <w:lang w:val="sr-Cyrl-CS"/>
              </w:rPr>
              <w:t xml:space="preserve">0,4 милијарде </w:t>
            </w:r>
            <w:r w:rsidR="001721B1" w:rsidRPr="009F5B52">
              <w:rPr>
                <w:rFonts w:ascii="Times New Roman" w:hAnsi="Times New Roman" w:cs="Times New Roman"/>
                <w:noProof/>
                <w:color w:val="auto"/>
                <w:lang w:val="sr-Cyrl-CS"/>
              </w:rPr>
              <w:t>евра</w:t>
            </w:r>
          </w:p>
        </w:tc>
      </w:tr>
    </w:tbl>
    <w:p w:rsidR="0046476F" w:rsidRPr="009F5B52" w:rsidRDefault="008D62BD" w:rsidP="0046476F">
      <w:pPr>
        <w:pStyle w:val="Heading3"/>
        <w:rPr>
          <w:noProof/>
          <w:lang w:val="sr-Cyrl-CS"/>
        </w:rPr>
      </w:pPr>
      <w:bookmarkStart w:id="28" w:name="_Toc327447113"/>
      <w:bookmarkStart w:id="29" w:name="_Toc330562301"/>
      <w:r w:rsidRPr="009F5B52">
        <w:rPr>
          <w:noProof/>
          <w:lang w:val="sr-Cyrl-CS"/>
        </w:rPr>
        <w:lastRenderedPageBreak/>
        <w:t>2</w:t>
      </w:r>
      <w:r w:rsidR="0046476F" w:rsidRPr="009F5B52">
        <w:rPr>
          <w:noProof/>
          <w:lang w:val="sr-Cyrl-CS"/>
        </w:rPr>
        <w:t>.1.2. Инструмент за претприступну помоћ (ИПА)</w:t>
      </w:r>
      <w:bookmarkEnd w:id="28"/>
      <w:bookmarkEnd w:id="29"/>
      <w:r w:rsidR="0046476F" w:rsidRPr="009F5B52">
        <w:rPr>
          <w:noProof/>
          <w:lang w:val="sr-Cyrl-CS"/>
        </w:rPr>
        <w:t xml:space="preserve"> </w:t>
      </w:r>
    </w:p>
    <w:p w:rsidR="0046476F" w:rsidRPr="009F5B52" w:rsidRDefault="0046476F" w:rsidP="0046476F">
      <w:pPr>
        <w:rPr>
          <w:noProof/>
          <w:szCs w:val="24"/>
          <w:lang w:val="sr-Cyrl-CS"/>
        </w:rPr>
      </w:pPr>
      <w:r w:rsidRPr="009F5B52">
        <w:rPr>
          <w:noProof/>
          <w:szCs w:val="24"/>
          <w:lang w:val="sr-Cyrl-CS"/>
        </w:rPr>
        <w:t xml:space="preserve">Мада је чланство у Европској унији, које ће собом донети и приступ </w:t>
      </w:r>
      <w:r w:rsidR="001721B1" w:rsidRPr="009F5B52">
        <w:rPr>
          <w:noProof/>
          <w:szCs w:val="24"/>
          <w:lang w:val="sr-Cyrl-CS"/>
        </w:rPr>
        <w:t>с</w:t>
      </w:r>
      <w:r w:rsidRPr="009F5B52">
        <w:rPr>
          <w:noProof/>
          <w:szCs w:val="24"/>
          <w:lang w:val="sr-Cyrl-CS"/>
        </w:rPr>
        <w:t>труктурним фондовима ЕУ (укључујући и средствима Европског социјалног фонда), крајњи циљ, Република Србија – као земља која се н</w:t>
      </w:r>
      <w:r w:rsidR="003E1CBD" w:rsidRPr="009F5B52">
        <w:rPr>
          <w:noProof/>
          <w:szCs w:val="24"/>
          <w:lang w:val="sr-Cyrl-CS"/>
        </w:rPr>
        <w:t>алази у процесу приступања – има</w:t>
      </w:r>
      <w:r w:rsidRPr="009F5B52">
        <w:rPr>
          <w:noProof/>
          <w:szCs w:val="24"/>
          <w:lang w:val="sr-Cyrl-CS"/>
        </w:rPr>
        <w:t xml:space="preserve"> приступ фондовима ЕУ </w:t>
      </w:r>
      <w:r w:rsidR="003E1CBD" w:rsidRPr="009F5B52">
        <w:rPr>
          <w:noProof/>
          <w:szCs w:val="24"/>
          <w:lang w:val="sr-Cyrl-CS"/>
        </w:rPr>
        <w:t xml:space="preserve">у оквиру </w:t>
      </w:r>
      <w:r w:rsidR="00E823EE" w:rsidRPr="009F5B52">
        <w:rPr>
          <w:noProof/>
          <w:szCs w:val="24"/>
          <w:lang w:val="sr-Cyrl-CS"/>
        </w:rPr>
        <w:t>претприступне помоћи</w:t>
      </w:r>
      <w:r w:rsidRPr="009F5B52">
        <w:rPr>
          <w:noProof/>
          <w:szCs w:val="24"/>
          <w:lang w:val="sr-Cyrl-CS"/>
        </w:rPr>
        <w:t xml:space="preserve">. Према томе, важно је усмерити се на </w:t>
      </w:r>
      <w:r w:rsidR="003E1CBD" w:rsidRPr="009F5B52">
        <w:rPr>
          <w:noProof/>
          <w:szCs w:val="24"/>
          <w:lang w:val="sr-Cyrl-CS"/>
        </w:rPr>
        <w:t>спровођење</w:t>
      </w:r>
      <w:r w:rsidRPr="009F5B52">
        <w:rPr>
          <w:noProof/>
          <w:szCs w:val="24"/>
          <w:lang w:val="sr-Cyrl-CS"/>
        </w:rPr>
        <w:t xml:space="preserve"> програма социјалног укључивања у контексту Инструмента за претприступну помоћ (ИПА). </w:t>
      </w:r>
    </w:p>
    <w:p w:rsidR="0046476F" w:rsidRPr="009F5B52" w:rsidRDefault="0046476F" w:rsidP="0046476F">
      <w:pPr>
        <w:rPr>
          <w:noProof/>
          <w:szCs w:val="24"/>
          <w:lang w:val="sr-Cyrl-CS"/>
        </w:rPr>
      </w:pPr>
      <w:r w:rsidRPr="009F5B52">
        <w:rPr>
          <w:noProof/>
          <w:szCs w:val="24"/>
          <w:lang w:val="sr-Cyrl-CS"/>
        </w:rPr>
        <w:t>ЕУ је 2007. године преобликовала финансијску помоћ земљама кандидатима и потенцијалним кандидатима, укључујући и Србију</w:t>
      </w:r>
      <w:r w:rsidR="003E1CBD" w:rsidRPr="009F5B52">
        <w:rPr>
          <w:noProof/>
          <w:szCs w:val="24"/>
          <w:lang w:val="sr-Cyrl-CS"/>
        </w:rPr>
        <w:t>,</w:t>
      </w:r>
      <w:r w:rsidRPr="009F5B52">
        <w:rPr>
          <w:noProof/>
          <w:szCs w:val="24"/>
          <w:lang w:val="sr-Cyrl-CS"/>
        </w:rPr>
        <w:t xml:space="preserve"> пре свега успостављањем јединственог инструмента који је заменио све претходне </w:t>
      </w:r>
      <w:r w:rsidR="00E0770C" w:rsidRPr="009F5B52">
        <w:rPr>
          <w:noProof/>
          <w:szCs w:val="24"/>
          <w:lang w:val="sr-Cyrl-CS"/>
        </w:rPr>
        <w:t>–</w:t>
      </w:r>
      <w:r w:rsidRPr="009F5B52">
        <w:rPr>
          <w:noProof/>
          <w:szCs w:val="24"/>
          <w:lang w:val="sr-Cyrl-CS"/>
        </w:rPr>
        <w:t xml:space="preserve"> Инструмента за претприступну помоћ (ИПА). Инструмент за претприступну помоћ</w:t>
      </w:r>
      <w:r w:rsidRPr="009F5B52">
        <w:rPr>
          <w:rStyle w:val="FootnoteReference"/>
          <w:noProof/>
          <w:szCs w:val="24"/>
          <w:lang w:val="sr-Cyrl-CS"/>
        </w:rPr>
        <w:footnoteReference w:id="19"/>
      </w:r>
      <w:r w:rsidRPr="009F5B52">
        <w:rPr>
          <w:noProof/>
          <w:szCs w:val="24"/>
          <w:lang w:val="sr-Cyrl-CS"/>
        </w:rPr>
        <w:t xml:space="preserve"> уређују два кључна правна инструмента и оба су </w:t>
      </w:r>
      <w:r w:rsidR="003E1CBD" w:rsidRPr="009F5B52">
        <w:rPr>
          <w:noProof/>
          <w:szCs w:val="24"/>
          <w:lang w:val="sr-Cyrl-CS"/>
        </w:rPr>
        <w:t>транспонована</w:t>
      </w:r>
      <w:r w:rsidRPr="009F5B52">
        <w:rPr>
          <w:noProof/>
          <w:szCs w:val="24"/>
          <w:lang w:val="sr-Cyrl-CS"/>
        </w:rPr>
        <w:t xml:space="preserve"> у национално законодавство Србије</w:t>
      </w:r>
      <w:r w:rsidRPr="009F5B52">
        <w:rPr>
          <w:rStyle w:val="FootnoteReference"/>
          <w:noProof/>
          <w:szCs w:val="24"/>
          <w:lang w:val="sr-Cyrl-CS"/>
        </w:rPr>
        <w:footnoteReference w:id="20"/>
      </w:r>
      <w:r w:rsidRPr="009F5B52">
        <w:rPr>
          <w:noProof/>
          <w:szCs w:val="24"/>
          <w:lang w:val="sr-Cyrl-CS"/>
        </w:rPr>
        <w:t>.</w:t>
      </w:r>
    </w:p>
    <w:p w:rsidR="0046476F" w:rsidRPr="009F5B52" w:rsidRDefault="0046476F" w:rsidP="0046476F">
      <w:pPr>
        <w:rPr>
          <w:szCs w:val="24"/>
          <w:lang w:val="sr-Cyrl-CS"/>
        </w:rPr>
      </w:pPr>
      <w:r w:rsidRPr="009F5B52">
        <w:rPr>
          <w:noProof/>
          <w:szCs w:val="24"/>
          <w:lang w:val="sr-Cyrl-CS"/>
        </w:rPr>
        <w:t xml:space="preserve">ИПА има </w:t>
      </w:r>
      <w:r w:rsidRPr="009F5B52">
        <w:rPr>
          <w:b/>
          <w:noProof/>
          <w:szCs w:val="24"/>
          <w:lang w:val="sr-Cyrl-CS"/>
        </w:rPr>
        <w:t>пет компонент</w:t>
      </w:r>
      <w:r w:rsidR="003E1CBD" w:rsidRPr="009F5B52">
        <w:rPr>
          <w:b/>
          <w:noProof/>
          <w:szCs w:val="24"/>
          <w:lang w:val="sr-Cyrl-CS"/>
        </w:rPr>
        <w:t>и</w:t>
      </w:r>
      <w:r w:rsidRPr="009F5B52">
        <w:rPr>
          <w:noProof/>
          <w:szCs w:val="24"/>
          <w:lang w:val="sr-Cyrl-CS"/>
        </w:rPr>
        <w:t xml:space="preserve"> које пружају циљану и делотворну помоћ свакој земљи према њеним потребама и динамици развоја: помоћ за транзицију и изградњу институција; прекограничну сарадњу; регионални развој; развој људских ресурса и рурални развој. </w:t>
      </w:r>
      <w:r w:rsidRPr="009F5B52">
        <w:rPr>
          <w:b/>
          <w:noProof/>
          <w:szCs w:val="24"/>
          <w:lang w:val="sr-Cyrl-CS"/>
        </w:rPr>
        <w:t>Област Социјалног укључивања</w:t>
      </w:r>
      <w:r w:rsidR="00E823EE" w:rsidRPr="009F5B52">
        <w:rPr>
          <w:b/>
          <w:noProof/>
          <w:szCs w:val="24"/>
          <w:lang w:val="sr-Cyrl-CS"/>
        </w:rPr>
        <w:t>, према важећој ИПА уредби (која је на снази до 2013. године),</w:t>
      </w:r>
      <w:r w:rsidRPr="009F5B52">
        <w:rPr>
          <w:b/>
          <w:noProof/>
          <w:szCs w:val="24"/>
          <w:lang w:val="sr-Cyrl-CS"/>
        </w:rPr>
        <w:t xml:space="preserve"> покривена је у оквиру Компоненте IV – Развој људских ресурса</w:t>
      </w:r>
      <w:r w:rsidRPr="009F5B52">
        <w:rPr>
          <w:noProof/>
          <w:szCs w:val="24"/>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46476F" w:rsidRPr="008365F6" w:rsidTr="0046476F">
        <w:tc>
          <w:tcPr>
            <w:tcW w:w="9243" w:type="dxa"/>
          </w:tcPr>
          <w:p w:rsidR="0046476F" w:rsidRPr="009F5B52" w:rsidRDefault="001E1921" w:rsidP="0046476F">
            <w:pPr>
              <w:rPr>
                <w:b/>
                <w:noProof/>
                <w:szCs w:val="24"/>
                <w:lang w:val="sr-Cyrl-CS"/>
              </w:rPr>
            </w:pPr>
            <w:r w:rsidRPr="009F5B52">
              <w:rPr>
                <w:b/>
                <w:noProof/>
                <w:szCs w:val="24"/>
                <w:lang w:val="sr-Cyrl-CS"/>
              </w:rPr>
              <w:t>Бокс</w:t>
            </w:r>
            <w:r w:rsidR="0046476F" w:rsidRPr="009F5B52">
              <w:rPr>
                <w:b/>
                <w:noProof/>
                <w:szCs w:val="24"/>
                <w:lang w:val="sr-Cyrl-CS"/>
              </w:rPr>
              <w:t xml:space="preserve"> </w:t>
            </w:r>
            <w:r w:rsidR="00E823EE" w:rsidRPr="009F5B52">
              <w:rPr>
                <w:b/>
                <w:noProof/>
                <w:szCs w:val="24"/>
                <w:lang w:val="sr-Cyrl-CS"/>
              </w:rPr>
              <w:t>4</w:t>
            </w:r>
            <w:r w:rsidR="0046476F" w:rsidRPr="009F5B52">
              <w:rPr>
                <w:b/>
                <w:noProof/>
                <w:szCs w:val="24"/>
                <w:lang w:val="sr-Cyrl-CS"/>
              </w:rPr>
              <w:t xml:space="preserve">: </w:t>
            </w:r>
            <w:r w:rsidR="0046476F" w:rsidRPr="009F5B52">
              <w:rPr>
                <w:b/>
                <w:noProof/>
                <w:szCs w:val="24"/>
                <w:u w:val="single"/>
                <w:lang w:val="sr-Cyrl-CS"/>
              </w:rPr>
              <w:t>Области и облици помоћи који могу конкурисати за средства ИПА Компоненте IV - Развој људских ресурса</w:t>
            </w:r>
            <w:r w:rsidR="0046476F" w:rsidRPr="009F5B52">
              <w:rPr>
                <w:rStyle w:val="FootnoteReference"/>
                <w:b/>
                <w:noProof/>
                <w:szCs w:val="24"/>
                <w:lang w:val="sr-Cyrl-CS"/>
              </w:rPr>
              <w:footnoteReference w:id="21"/>
            </w:r>
            <w:r w:rsidR="0046476F" w:rsidRPr="009F5B52">
              <w:rPr>
                <w:b/>
                <w:noProof/>
                <w:szCs w:val="24"/>
                <w:lang w:val="sr-Cyrl-CS"/>
              </w:rPr>
              <w:t xml:space="preserve"> </w:t>
            </w:r>
          </w:p>
          <w:p w:rsidR="0046476F" w:rsidRPr="009F5B52" w:rsidRDefault="0046476F" w:rsidP="0046476F">
            <w:pPr>
              <w:rPr>
                <w:noProof/>
                <w:szCs w:val="24"/>
                <w:lang w:val="sr-Cyrl-CS"/>
              </w:rPr>
            </w:pPr>
            <w:r w:rsidRPr="009F5B52">
              <w:rPr>
                <w:noProof/>
                <w:szCs w:val="24"/>
                <w:lang w:val="sr-Cyrl-CS"/>
              </w:rPr>
              <w:t>1. Компонента развоја људских ресурса допринеће јачању економске и социјалне кохезије</w:t>
            </w:r>
            <w:r w:rsidR="00541A8C" w:rsidRPr="009F5B52">
              <w:rPr>
                <w:noProof/>
                <w:szCs w:val="24"/>
                <w:lang w:val="sr-Cyrl-CS"/>
              </w:rPr>
              <w:t>,</w:t>
            </w:r>
            <w:r w:rsidRPr="009F5B52">
              <w:rPr>
                <w:noProof/>
                <w:szCs w:val="24"/>
                <w:lang w:val="sr-Cyrl-CS"/>
              </w:rPr>
              <w:t xml:space="preserve"> као и приоритетима Европске стратегије запошљавања у области запошљавања, образовања и обуке и социјалног укључивања.</w:t>
            </w:r>
          </w:p>
          <w:p w:rsidR="0046476F" w:rsidRPr="009F5B52" w:rsidRDefault="0046476F" w:rsidP="0046476F">
            <w:pPr>
              <w:rPr>
                <w:noProof/>
                <w:szCs w:val="24"/>
                <w:lang w:val="sr-Cyrl-CS"/>
              </w:rPr>
            </w:pPr>
            <w:r w:rsidRPr="009F5B52">
              <w:rPr>
                <w:noProof/>
                <w:szCs w:val="24"/>
                <w:lang w:val="sr-Cyrl-CS"/>
              </w:rPr>
              <w:t>2. Ова компонента ће нарочито обухватити помоћ људима и фокусирање на доле наведене приоритете, чији ће тачан однос и концентрација зависити од економских и социјалних специфичности сваке земље кориснице:</w:t>
            </w:r>
          </w:p>
          <w:p w:rsidR="0046476F" w:rsidRPr="009F5B52" w:rsidRDefault="0046476F" w:rsidP="0046476F">
            <w:pPr>
              <w:pStyle w:val="ListParagraph"/>
              <w:numPr>
                <w:ilvl w:val="0"/>
                <w:numId w:val="41"/>
              </w:numPr>
              <w:rPr>
                <w:noProof/>
                <w:lang w:val="sr-Cyrl-CS"/>
              </w:rPr>
            </w:pPr>
            <w:r w:rsidRPr="009F5B52">
              <w:rPr>
                <w:noProof/>
                <w:lang w:val="sr-Cyrl-CS"/>
              </w:rPr>
              <w:t>Повећати степен прилагодљивости радника, предузећа и предузетника, са циљем да се повећа предвиђање и позитивно управљањ</w:t>
            </w:r>
            <w:r w:rsidR="00E823EE" w:rsidRPr="009F5B52">
              <w:rPr>
                <w:noProof/>
                <w:lang w:val="sr-Cyrl-CS"/>
              </w:rPr>
              <w:t>е економским променама</w:t>
            </w:r>
          </w:p>
          <w:p w:rsidR="0046476F" w:rsidRPr="009F5B52" w:rsidRDefault="0046476F" w:rsidP="0046476F">
            <w:pPr>
              <w:pStyle w:val="ListParagraph"/>
              <w:numPr>
                <w:ilvl w:val="0"/>
                <w:numId w:val="41"/>
              </w:numPr>
              <w:rPr>
                <w:noProof/>
                <w:szCs w:val="24"/>
                <w:lang w:val="sr-Cyrl-CS"/>
              </w:rPr>
            </w:pPr>
            <w:r w:rsidRPr="009F5B52">
              <w:rPr>
                <w:noProof/>
                <w:szCs w:val="24"/>
                <w:lang w:val="sr-Cyrl-CS"/>
              </w:rPr>
              <w:t>Повећати приступ запошљавању и одрживом укључивању на тржиште рада тражилаца посла и неактивних особа, спречава</w:t>
            </w:r>
            <w:r w:rsidR="00541A8C" w:rsidRPr="009F5B52">
              <w:rPr>
                <w:noProof/>
                <w:szCs w:val="24"/>
                <w:lang w:val="sr-Cyrl-CS"/>
              </w:rPr>
              <w:t>ти</w:t>
            </w:r>
            <w:r w:rsidRPr="009F5B52">
              <w:rPr>
                <w:noProof/>
                <w:szCs w:val="24"/>
                <w:lang w:val="sr-Cyrl-CS"/>
              </w:rPr>
              <w:t xml:space="preserve"> незапосленост, посебно </w:t>
            </w:r>
            <w:r w:rsidRPr="009F5B52">
              <w:rPr>
                <w:noProof/>
                <w:szCs w:val="24"/>
                <w:lang w:val="sr-Cyrl-CS"/>
              </w:rPr>
              <w:lastRenderedPageBreak/>
              <w:t>дугорочн</w:t>
            </w:r>
            <w:r w:rsidR="00541A8C" w:rsidRPr="009F5B52">
              <w:rPr>
                <w:noProof/>
                <w:szCs w:val="24"/>
                <w:lang w:val="sr-Cyrl-CS"/>
              </w:rPr>
              <w:t>у</w:t>
            </w:r>
            <w:r w:rsidRPr="009F5B52">
              <w:rPr>
                <w:noProof/>
                <w:szCs w:val="24"/>
                <w:lang w:val="sr-Cyrl-CS"/>
              </w:rPr>
              <w:t xml:space="preserve"> незапосленост и незапосленост младих, охрабрива</w:t>
            </w:r>
            <w:r w:rsidR="00541A8C" w:rsidRPr="009F5B52">
              <w:rPr>
                <w:noProof/>
                <w:szCs w:val="24"/>
                <w:lang w:val="sr-Cyrl-CS"/>
              </w:rPr>
              <w:t>ти</w:t>
            </w:r>
            <w:r w:rsidRPr="009F5B52">
              <w:rPr>
                <w:noProof/>
                <w:szCs w:val="24"/>
                <w:lang w:val="sr-Cyrl-CS"/>
              </w:rPr>
              <w:t xml:space="preserve"> активно старењ</w:t>
            </w:r>
            <w:r w:rsidR="00541A8C" w:rsidRPr="009F5B52">
              <w:rPr>
                <w:noProof/>
                <w:szCs w:val="24"/>
                <w:lang w:val="sr-Cyrl-CS"/>
              </w:rPr>
              <w:t>е</w:t>
            </w:r>
            <w:r w:rsidRPr="009F5B52">
              <w:rPr>
                <w:noProof/>
                <w:szCs w:val="24"/>
                <w:lang w:val="sr-Cyrl-CS"/>
              </w:rPr>
              <w:t xml:space="preserve"> и продуж</w:t>
            </w:r>
            <w:r w:rsidR="00541A8C" w:rsidRPr="009F5B52">
              <w:rPr>
                <w:noProof/>
                <w:szCs w:val="24"/>
                <w:lang w:val="sr-Cyrl-CS"/>
              </w:rPr>
              <w:t>ити</w:t>
            </w:r>
            <w:r w:rsidRPr="009F5B52">
              <w:rPr>
                <w:noProof/>
                <w:szCs w:val="24"/>
                <w:lang w:val="sr-Cyrl-CS"/>
              </w:rPr>
              <w:t xml:space="preserve"> радн</w:t>
            </w:r>
            <w:r w:rsidR="00541A8C" w:rsidRPr="009F5B52">
              <w:rPr>
                <w:noProof/>
                <w:szCs w:val="24"/>
                <w:lang w:val="sr-Cyrl-CS"/>
              </w:rPr>
              <w:t>и</w:t>
            </w:r>
            <w:r w:rsidRPr="009F5B52">
              <w:rPr>
                <w:noProof/>
                <w:szCs w:val="24"/>
                <w:lang w:val="sr-Cyrl-CS"/>
              </w:rPr>
              <w:t xml:space="preserve"> век</w:t>
            </w:r>
            <w:r w:rsidR="00541A8C" w:rsidRPr="009F5B52">
              <w:rPr>
                <w:noProof/>
                <w:szCs w:val="24"/>
                <w:lang w:val="sr-Cyrl-CS"/>
              </w:rPr>
              <w:t>, повећати учешће</w:t>
            </w:r>
            <w:r w:rsidRPr="009F5B52">
              <w:rPr>
                <w:noProof/>
                <w:szCs w:val="24"/>
                <w:lang w:val="sr-Cyrl-CS"/>
              </w:rPr>
              <w:t xml:space="preserve"> на трж</w:t>
            </w:r>
            <w:r w:rsidR="00E823EE" w:rsidRPr="009F5B52">
              <w:rPr>
                <w:noProof/>
                <w:szCs w:val="24"/>
                <w:lang w:val="sr-Cyrl-CS"/>
              </w:rPr>
              <w:t>ишту рада</w:t>
            </w:r>
          </w:p>
          <w:p w:rsidR="0046476F" w:rsidRPr="009F5B52" w:rsidRDefault="0046476F" w:rsidP="0046476F">
            <w:pPr>
              <w:pStyle w:val="ListParagraph"/>
              <w:numPr>
                <w:ilvl w:val="0"/>
                <w:numId w:val="41"/>
              </w:numPr>
              <w:rPr>
                <w:noProof/>
                <w:szCs w:val="24"/>
                <w:lang w:val="sr-Cyrl-CS"/>
              </w:rPr>
            </w:pPr>
            <w:r w:rsidRPr="009F5B52">
              <w:rPr>
                <w:noProof/>
                <w:szCs w:val="24"/>
                <w:lang w:val="sr-Cyrl-CS"/>
              </w:rPr>
              <w:t xml:space="preserve">Оснажити социјално укључивање и интеграцију </w:t>
            </w:r>
            <w:r w:rsidR="00787409" w:rsidRPr="009F5B52">
              <w:rPr>
                <w:noProof/>
                <w:szCs w:val="24"/>
                <w:lang w:val="sr-Cyrl-CS"/>
              </w:rPr>
              <w:t xml:space="preserve">социо-економски угроженог становништва </w:t>
            </w:r>
            <w:r w:rsidRPr="009F5B52">
              <w:rPr>
                <w:noProof/>
                <w:szCs w:val="24"/>
                <w:lang w:val="sr-Cyrl-CS"/>
              </w:rPr>
              <w:t xml:space="preserve">у циљу њиховог одрживог укључивања у </w:t>
            </w:r>
            <w:r w:rsidR="00541A8C" w:rsidRPr="009F5B52">
              <w:rPr>
                <w:noProof/>
                <w:szCs w:val="24"/>
                <w:lang w:val="sr-Cyrl-CS"/>
              </w:rPr>
              <w:t>свет рада</w:t>
            </w:r>
            <w:r w:rsidRPr="009F5B52">
              <w:rPr>
                <w:noProof/>
                <w:szCs w:val="24"/>
                <w:lang w:val="sr-Cyrl-CS"/>
              </w:rPr>
              <w:t xml:space="preserve"> и бор</w:t>
            </w:r>
            <w:r w:rsidR="00541A8C" w:rsidRPr="009F5B52">
              <w:rPr>
                <w:noProof/>
                <w:szCs w:val="24"/>
                <w:lang w:val="sr-Cyrl-CS"/>
              </w:rPr>
              <w:t>ити се</w:t>
            </w:r>
            <w:r w:rsidRPr="009F5B52">
              <w:rPr>
                <w:noProof/>
                <w:szCs w:val="24"/>
                <w:lang w:val="sr-Cyrl-CS"/>
              </w:rPr>
              <w:t xml:space="preserve"> против свих видова дискриминације на т</w:t>
            </w:r>
            <w:r w:rsidR="00E823EE" w:rsidRPr="009F5B52">
              <w:rPr>
                <w:noProof/>
                <w:szCs w:val="24"/>
                <w:lang w:val="sr-Cyrl-CS"/>
              </w:rPr>
              <w:t>ржишту рада</w:t>
            </w:r>
          </w:p>
          <w:p w:rsidR="0046476F" w:rsidRPr="009F5B52" w:rsidRDefault="0046476F" w:rsidP="0046476F">
            <w:pPr>
              <w:pStyle w:val="ListParagraph"/>
              <w:numPr>
                <w:ilvl w:val="0"/>
                <w:numId w:val="41"/>
              </w:numPr>
              <w:rPr>
                <w:noProof/>
                <w:szCs w:val="24"/>
                <w:lang w:val="sr-Cyrl-CS"/>
              </w:rPr>
            </w:pPr>
            <w:r w:rsidRPr="009F5B52">
              <w:rPr>
                <w:noProof/>
                <w:szCs w:val="24"/>
                <w:lang w:val="sr-Cyrl-CS"/>
              </w:rPr>
              <w:t xml:space="preserve">Унапредити партнерства, споразуме и иницијативе умрежавањем релевантних </w:t>
            </w:r>
            <w:r w:rsidR="000F6C2E" w:rsidRPr="009F5B52">
              <w:rPr>
                <w:noProof/>
                <w:szCs w:val="24"/>
                <w:lang w:val="sr-Cyrl-CS"/>
              </w:rPr>
              <w:t>заинтересованих страна</w:t>
            </w:r>
            <w:r w:rsidRPr="009F5B52">
              <w:rPr>
                <w:noProof/>
                <w:szCs w:val="24"/>
                <w:lang w:val="sr-Cyrl-CS"/>
              </w:rPr>
              <w:t xml:space="preserve"> попут социјалних партнера и невладиних организација на националном, регионалном и локалном нив</w:t>
            </w:r>
            <w:r w:rsidR="00E0770C" w:rsidRPr="009F5B52">
              <w:rPr>
                <w:noProof/>
                <w:szCs w:val="24"/>
                <w:lang w:val="sr-Cyrl-CS"/>
              </w:rPr>
              <w:t>о</w:t>
            </w:r>
            <w:r w:rsidRPr="009F5B52">
              <w:rPr>
                <w:noProof/>
                <w:szCs w:val="24"/>
                <w:lang w:val="sr-Cyrl-CS"/>
              </w:rPr>
              <w:t>у</w:t>
            </w:r>
            <w:r w:rsidR="000F6C2E" w:rsidRPr="009F5B52">
              <w:rPr>
                <w:noProof/>
                <w:szCs w:val="24"/>
                <w:lang w:val="sr-Cyrl-CS"/>
              </w:rPr>
              <w:t>,</w:t>
            </w:r>
            <w:r w:rsidRPr="009F5B52">
              <w:rPr>
                <w:noProof/>
                <w:szCs w:val="24"/>
                <w:lang w:val="sr-Cyrl-CS"/>
              </w:rPr>
              <w:t xml:space="preserve"> у циљу мобилизације за реформе у области запошљавања и инклузивности тржишта рада</w:t>
            </w:r>
          </w:p>
          <w:p w:rsidR="0046476F" w:rsidRPr="009F5B52" w:rsidRDefault="0046476F" w:rsidP="0046476F">
            <w:pPr>
              <w:pStyle w:val="ListParagraph"/>
              <w:numPr>
                <w:ilvl w:val="0"/>
                <w:numId w:val="41"/>
              </w:numPr>
              <w:rPr>
                <w:noProof/>
                <w:lang w:val="sr-Cyrl-CS"/>
              </w:rPr>
            </w:pPr>
            <w:r w:rsidRPr="009F5B52">
              <w:rPr>
                <w:noProof/>
                <w:szCs w:val="24"/>
                <w:lang w:val="sr-Cyrl-CS"/>
              </w:rPr>
              <w:t>Повећати и унапредити инвестиције у људски капитал</w:t>
            </w:r>
            <w:r w:rsidRPr="009F5B52">
              <w:rPr>
                <w:noProof/>
                <w:lang w:val="sr-Cyrl-CS"/>
              </w:rPr>
              <w:t xml:space="preserve"> </w:t>
            </w:r>
          </w:p>
          <w:p w:rsidR="0046476F" w:rsidRPr="009F5B52" w:rsidRDefault="0046476F" w:rsidP="000F6C2E">
            <w:pPr>
              <w:pStyle w:val="ListParagraph"/>
              <w:numPr>
                <w:ilvl w:val="0"/>
                <w:numId w:val="41"/>
              </w:numPr>
              <w:rPr>
                <w:noProof/>
                <w:szCs w:val="24"/>
                <w:lang w:val="sr-Cyrl-CS"/>
              </w:rPr>
            </w:pPr>
            <w:r w:rsidRPr="009F5B52">
              <w:rPr>
                <w:noProof/>
                <w:szCs w:val="24"/>
                <w:lang w:val="sr-Cyrl-CS"/>
              </w:rPr>
              <w:t>Јача</w:t>
            </w:r>
            <w:r w:rsidR="000F6C2E" w:rsidRPr="009F5B52">
              <w:rPr>
                <w:noProof/>
                <w:szCs w:val="24"/>
                <w:lang w:val="sr-Cyrl-CS"/>
              </w:rPr>
              <w:t>ти</w:t>
            </w:r>
            <w:r w:rsidRPr="009F5B52">
              <w:rPr>
                <w:noProof/>
                <w:szCs w:val="24"/>
                <w:lang w:val="sr-Cyrl-CS"/>
              </w:rPr>
              <w:t xml:space="preserve"> институционалн</w:t>
            </w:r>
            <w:r w:rsidR="000F6C2E" w:rsidRPr="009F5B52">
              <w:rPr>
                <w:noProof/>
                <w:szCs w:val="24"/>
                <w:lang w:val="sr-Cyrl-CS"/>
              </w:rPr>
              <w:t>е</w:t>
            </w:r>
            <w:r w:rsidRPr="009F5B52">
              <w:rPr>
                <w:noProof/>
                <w:szCs w:val="24"/>
                <w:lang w:val="sr-Cyrl-CS"/>
              </w:rPr>
              <w:t xml:space="preserve"> капацитет</w:t>
            </w:r>
            <w:r w:rsidR="000F6C2E" w:rsidRPr="009F5B52">
              <w:rPr>
                <w:noProof/>
                <w:szCs w:val="24"/>
                <w:lang w:val="sr-Cyrl-CS"/>
              </w:rPr>
              <w:t>е и ефикасност</w:t>
            </w:r>
            <w:r w:rsidRPr="009F5B52">
              <w:rPr>
                <w:noProof/>
                <w:szCs w:val="24"/>
                <w:lang w:val="sr-Cyrl-CS"/>
              </w:rPr>
              <w:t xml:space="preserve"> државних управа и јавних услуга на националном, регионалном и локалном нивоу и, тамо где је то потребно, социјалних партнера и невладиних организација са циљем да се спроводу реформе и добро управљање у областима запошљавања, образовања и обуке, као и у социјалним областима.</w:t>
            </w:r>
          </w:p>
        </w:tc>
      </w:tr>
    </w:tbl>
    <w:p w:rsidR="0046476F" w:rsidRPr="009F5B52" w:rsidRDefault="0046476F" w:rsidP="0046476F">
      <w:pPr>
        <w:rPr>
          <w:noProof/>
          <w:szCs w:val="24"/>
          <w:lang w:val="sr-Cyrl-CS"/>
        </w:rPr>
      </w:pPr>
      <w:r w:rsidRPr="009F5B52">
        <w:rPr>
          <w:noProof/>
          <w:szCs w:val="24"/>
          <w:lang w:val="sr-Cyrl-CS"/>
        </w:rPr>
        <w:lastRenderedPageBreak/>
        <w:t xml:space="preserve">До сада је </w:t>
      </w:r>
      <w:r w:rsidR="00787409" w:rsidRPr="009F5B52">
        <w:rPr>
          <w:noProof/>
          <w:szCs w:val="24"/>
          <w:lang w:val="sr-Cyrl-CS"/>
        </w:rPr>
        <w:t xml:space="preserve">Република </w:t>
      </w:r>
      <w:r w:rsidRPr="009F5B52">
        <w:rPr>
          <w:noProof/>
          <w:szCs w:val="24"/>
          <w:lang w:val="sr-Cyrl-CS"/>
        </w:rPr>
        <w:t xml:space="preserve">Србија имала приступ само Компонентама I и II Инструмента за претприступну помоћ, </w:t>
      </w:r>
      <w:r w:rsidR="000F6C2E" w:rsidRPr="009F5B52">
        <w:rPr>
          <w:noProof/>
          <w:szCs w:val="24"/>
          <w:lang w:val="sr-Cyrl-CS"/>
        </w:rPr>
        <w:t xml:space="preserve">с </w:t>
      </w:r>
      <w:r w:rsidRPr="009F5B52">
        <w:rPr>
          <w:noProof/>
          <w:szCs w:val="24"/>
          <w:lang w:val="sr-Cyrl-CS"/>
        </w:rPr>
        <w:t xml:space="preserve">обзиром да </w:t>
      </w:r>
      <w:r w:rsidR="00E823EE" w:rsidRPr="009F5B52">
        <w:rPr>
          <w:noProof/>
          <w:szCs w:val="24"/>
          <w:lang w:val="sr-Cyrl-CS"/>
        </w:rPr>
        <w:t xml:space="preserve">су </w:t>
      </w:r>
      <w:r w:rsidRPr="009F5B52">
        <w:rPr>
          <w:noProof/>
          <w:szCs w:val="24"/>
          <w:lang w:val="sr-Cyrl-CS"/>
        </w:rPr>
        <w:t>предуслови за приступ фондовима свих пет компоненти укључ</w:t>
      </w:r>
      <w:r w:rsidR="00E823EE" w:rsidRPr="009F5B52">
        <w:rPr>
          <w:noProof/>
          <w:szCs w:val="24"/>
          <w:lang w:val="sr-Cyrl-CS"/>
        </w:rPr>
        <w:t>ивали</w:t>
      </w:r>
      <w:r w:rsidRPr="009F5B52">
        <w:rPr>
          <w:noProof/>
          <w:szCs w:val="24"/>
          <w:lang w:val="sr-Cyrl-CS"/>
        </w:rPr>
        <w:t xml:space="preserve"> како статус земље кандидата за чланство</w:t>
      </w:r>
      <w:r w:rsidR="000F6C2E" w:rsidRPr="009F5B52">
        <w:rPr>
          <w:noProof/>
          <w:szCs w:val="24"/>
          <w:lang w:val="sr-Cyrl-CS"/>
        </w:rPr>
        <w:t>,</w:t>
      </w:r>
      <w:r w:rsidRPr="009F5B52">
        <w:rPr>
          <w:noProof/>
          <w:szCs w:val="24"/>
          <w:lang w:val="sr-Cyrl-CS"/>
        </w:rPr>
        <w:t xml:space="preserve"> тако и пренос овлашћења </w:t>
      </w:r>
      <w:r w:rsidR="000F6C2E" w:rsidRPr="009F5B52">
        <w:rPr>
          <w:noProof/>
          <w:szCs w:val="24"/>
          <w:lang w:val="sr-Cyrl-CS"/>
        </w:rPr>
        <w:t xml:space="preserve">за управљање </w:t>
      </w:r>
      <w:r w:rsidRPr="009F5B52">
        <w:rPr>
          <w:noProof/>
          <w:szCs w:val="24"/>
          <w:lang w:val="sr-Cyrl-CS"/>
        </w:rPr>
        <w:t xml:space="preserve">са Европске комисије на националне органе. Ово друго претпоставља постојање акредитованог децентрализованог управљања </w:t>
      </w:r>
      <w:r w:rsidR="00C16D4C" w:rsidRPr="009F5B52">
        <w:rPr>
          <w:noProof/>
          <w:szCs w:val="24"/>
          <w:lang w:val="sr-Cyrl-CS"/>
        </w:rPr>
        <w:t>ф</w:t>
      </w:r>
      <w:r w:rsidR="00E823EE" w:rsidRPr="009F5B52">
        <w:rPr>
          <w:noProof/>
          <w:szCs w:val="24"/>
          <w:lang w:val="sr-Cyrl-CS"/>
        </w:rPr>
        <w:t>ондовима ЕУ</w:t>
      </w:r>
      <w:r w:rsidRPr="009F5B52">
        <w:rPr>
          <w:noProof/>
          <w:szCs w:val="24"/>
          <w:lang w:val="sr-Cyrl-CS"/>
        </w:rPr>
        <w:t xml:space="preserve">. </w:t>
      </w:r>
    </w:p>
    <w:p w:rsidR="0046476F" w:rsidRPr="009F5B52" w:rsidRDefault="0046476F" w:rsidP="0046476F">
      <w:pPr>
        <w:rPr>
          <w:noProof/>
          <w:szCs w:val="24"/>
          <w:lang w:val="sr-Cyrl-CS"/>
        </w:rPr>
      </w:pPr>
      <w:r w:rsidRPr="009F5B52">
        <w:rPr>
          <w:noProof/>
          <w:szCs w:val="24"/>
          <w:lang w:val="sr-Cyrl-CS"/>
        </w:rPr>
        <w:t>Да би одговорила на своје обавезе у процесу управљања фондовима Инструмента за претприступну помоћ, Влада Републике Србије усвојила је Акциони план за акредитацију децентрализованог система управљања у јуну 2008. године. Овај Акциони план такође предвиђа успостављање структура које се односе на ИПА Компоненту IV.</w:t>
      </w:r>
    </w:p>
    <w:p w:rsidR="0046476F" w:rsidRPr="009F5B52" w:rsidRDefault="0046476F" w:rsidP="0046476F">
      <w:pPr>
        <w:rPr>
          <w:noProof/>
          <w:szCs w:val="24"/>
          <w:lang w:val="sr-Cyrl-CS"/>
        </w:rPr>
      </w:pPr>
      <w:r w:rsidRPr="009F5B52">
        <w:rPr>
          <w:noProof/>
          <w:szCs w:val="24"/>
          <w:lang w:val="sr-Cyrl-CS"/>
        </w:rPr>
        <w:t xml:space="preserve">Структуре за ИПА Компоненту IV креиране су на врло сличан начин као и структуре за управљање </w:t>
      </w:r>
      <w:r w:rsidR="001A0AAB" w:rsidRPr="009F5B52">
        <w:rPr>
          <w:noProof/>
          <w:szCs w:val="24"/>
          <w:lang w:val="sr-Cyrl-CS"/>
        </w:rPr>
        <w:t>с</w:t>
      </w:r>
      <w:r w:rsidRPr="009F5B52">
        <w:rPr>
          <w:noProof/>
          <w:szCs w:val="24"/>
          <w:lang w:val="sr-Cyrl-CS"/>
        </w:rPr>
        <w:t>труктурним/</w:t>
      </w:r>
      <w:r w:rsidR="001A0AAB" w:rsidRPr="009F5B52">
        <w:rPr>
          <w:noProof/>
          <w:szCs w:val="24"/>
          <w:lang w:val="sr-Cyrl-CS"/>
        </w:rPr>
        <w:t>к</w:t>
      </w:r>
      <w:r w:rsidRPr="009F5B52">
        <w:rPr>
          <w:noProof/>
          <w:szCs w:val="24"/>
          <w:lang w:val="sr-Cyrl-CS"/>
        </w:rPr>
        <w:t xml:space="preserve">охезионим фондовима. Док Уредба о спровођењу ИПА користи генерички термин </w:t>
      </w:r>
      <w:r w:rsidR="00E0770C" w:rsidRPr="009F5B52">
        <w:rPr>
          <w:bCs/>
          <w:noProof/>
          <w:szCs w:val="24"/>
          <w:lang w:val="sr-Cyrl-CS"/>
        </w:rPr>
        <w:t>„</w:t>
      </w:r>
      <w:r w:rsidRPr="009F5B52">
        <w:rPr>
          <w:noProof/>
          <w:szCs w:val="24"/>
          <w:lang w:val="sr-Cyrl-CS"/>
        </w:rPr>
        <w:t xml:space="preserve">Оперативна структура” који се односи на тело или збир тела надлежних за управљање и </w:t>
      </w:r>
      <w:r w:rsidR="001A0AAB" w:rsidRPr="009F5B52">
        <w:rPr>
          <w:noProof/>
          <w:szCs w:val="24"/>
          <w:lang w:val="sr-Cyrl-CS"/>
        </w:rPr>
        <w:t>спровођење</w:t>
      </w:r>
      <w:r w:rsidRPr="009F5B52">
        <w:rPr>
          <w:noProof/>
          <w:szCs w:val="24"/>
          <w:lang w:val="sr-Cyrl-CS"/>
        </w:rPr>
        <w:t xml:space="preserve">, регулатива која уређује коришћење </w:t>
      </w:r>
      <w:r w:rsidR="001A0AAB" w:rsidRPr="009F5B52">
        <w:rPr>
          <w:noProof/>
          <w:szCs w:val="24"/>
          <w:lang w:val="sr-Cyrl-CS"/>
        </w:rPr>
        <w:t>с</w:t>
      </w:r>
      <w:r w:rsidRPr="009F5B52">
        <w:rPr>
          <w:noProof/>
          <w:szCs w:val="24"/>
          <w:lang w:val="sr-Cyrl-CS"/>
        </w:rPr>
        <w:t>труктурних/</w:t>
      </w:r>
      <w:r w:rsidR="001A0AAB" w:rsidRPr="009F5B52">
        <w:rPr>
          <w:noProof/>
          <w:szCs w:val="24"/>
          <w:lang w:val="sr-Cyrl-CS"/>
        </w:rPr>
        <w:t>к</w:t>
      </w:r>
      <w:r w:rsidRPr="009F5B52">
        <w:rPr>
          <w:noProof/>
          <w:szCs w:val="24"/>
          <w:lang w:val="sr-Cyrl-CS"/>
        </w:rPr>
        <w:t xml:space="preserve">охезионих фондова назива ове структуре </w:t>
      </w:r>
      <w:r w:rsidR="00E0770C" w:rsidRPr="009F5B52">
        <w:rPr>
          <w:bCs/>
          <w:noProof/>
          <w:szCs w:val="24"/>
          <w:lang w:val="sr-Cyrl-CS"/>
        </w:rPr>
        <w:t>„</w:t>
      </w:r>
      <w:r w:rsidRPr="009F5B52">
        <w:rPr>
          <w:noProof/>
          <w:szCs w:val="24"/>
          <w:lang w:val="sr-Cyrl-CS"/>
        </w:rPr>
        <w:t xml:space="preserve">управљачким органима”, </w:t>
      </w:r>
      <w:r w:rsidR="00E0770C" w:rsidRPr="009F5B52">
        <w:rPr>
          <w:bCs/>
          <w:noProof/>
          <w:szCs w:val="24"/>
          <w:lang w:val="sr-Cyrl-CS"/>
        </w:rPr>
        <w:t>„</w:t>
      </w:r>
      <w:r w:rsidRPr="009F5B52">
        <w:rPr>
          <w:noProof/>
          <w:szCs w:val="24"/>
          <w:lang w:val="sr-Cyrl-CS"/>
        </w:rPr>
        <w:t xml:space="preserve">посредничким </w:t>
      </w:r>
      <w:r w:rsidR="00DD508E" w:rsidRPr="009F5B52">
        <w:rPr>
          <w:noProof/>
          <w:szCs w:val="24"/>
          <w:lang w:val="sr-Cyrl-CS"/>
        </w:rPr>
        <w:t>телима</w:t>
      </w:r>
      <w:r w:rsidRPr="009F5B52">
        <w:rPr>
          <w:noProof/>
          <w:szCs w:val="24"/>
          <w:lang w:val="sr-Cyrl-CS"/>
        </w:rPr>
        <w:t xml:space="preserve">” и </w:t>
      </w:r>
      <w:r w:rsidR="006F3651" w:rsidRPr="009F5B52">
        <w:rPr>
          <w:noProof/>
          <w:szCs w:val="24"/>
          <w:lang w:val="sr-Cyrl-CS"/>
        </w:rPr>
        <w:t>„</w:t>
      </w:r>
      <w:r w:rsidRPr="009F5B52">
        <w:rPr>
          <w:noProof/>
          <w:szCs w:val="24"/>
          <w:lang w:val="sr-Cyrl-CS"/>
        </w:rPr>
        <w:t>крајњим корисницима”.</w:t>
      </w:r>
    </w:p>
    <w:p w:rsidR="0046476F" w:rsidRPr="009F5B52" w:rsidRDefault="0046476F" w:rsidP="0046476F">
      <w:pPr>
        <w:rPr>
          <w:noProof/>
          <w:szCs w:val="24"/>
          <w:lang w:val="sr-Cyrl-CS"/>
        </w:rPr>
      </w:pPr>
      <w:r w:rsidRPr="009F5B52">
        <w:rPr>
          <w:noProof/>
          <w:szCs w:val="24"/>
          <w:lang w:val="sr-Cyrl-CS"/>
        </w:rPr>
        <w:t xml:space="preserve">Ради убрзања припрема за коришћење </w:t>
      </w:r>
      <w:r w:rsidR="001A0AAB" w:rsidRPr="009F5B52">
        <w:rPr>
          <w:noProof/>
          <w:szCs w:val="24"/>
          <w:lang w:val="sr-Cyrl-CS"/>
        </w:rPr>
        <w:t>с</w:t>
      </w:r>
      <w:r w:rsidRPr="009F5B52">
        <w:rPr>
          <w:noProof/>
          <w:szCs w:val="24"/>
          <w:lang w:val="sr-Cyrl-CS"/>
        </w:rPr>
        <w:t xml:space="preserve">труктурних фондова, механизми </w:t>
      </w:r>
      <w:r w:rsidR="001A0AAB" w:rsidRPr="009F5B52">
        <w:rPr>
          <w:noProof/>
          <w:szCs w:val="24"/>
          <w:lang w:val="sr-Cyrl-CS"/>
        </w:rPr>
        <w:t>спровођења</w:t>
      </w:r>
      <w:r w:rsidRPr="009F5B52">
        <w:rPr>
          <w:noProof/>
          <w:szCs w:val="24"/>
          <w:lang w:val="sr-Cyrl-CS"/>
        </w:rPr>
        <w:t xml:space="preserve"> за ИПА Компоненту IV осмишљени су на темељу структура које већ постоје за </w:t>
      </w:r>
      <w:r w:rsidR="001A0AAB" w:rsidRPr="009F5B52">
        <w:rPr>
          <w:noProof/>
          <w:szCs w:val="24"/>
          <w:lang w:val="sr-Cyrl-CS"/>
        </w:rPr>
        <w:t>с</w:t>
      </w:r>
      <w:r w:rsidRPr="009F5B52">
        <w:rPr>
          <w:noProof/>
          <w:szCs w:val="24"/>
          <w:lang w:val="sr-Cyrl-CS"/>
        </w:rPr>
        <w:t>труктурне фондове Европске уније, али у складу с</w:t>
      </w:r>
      <w:r w:rsidR="001A0AAB" w:rsidRPr="009F5B52">
        <w:rPr>
          <w:noProof/>
          <w:szCs w:val="24"/>
          <w:lang w:val="sr-Cyrl-CS"/>
        </w:rPr>
        <w:t>а Уредбом о спровођењу ИПА (УС ИПА</w:t>
      </w:r>
      <w:r w:rsidRPr="009F5B52">
        <w:rPr>
          <w:noProof/>
          <w:szCs w:val="24"/>
          <w:lang w:val="sr-Cyrl-CS"/>
        </w:rPr>
        <w:t>).</w:t>
      </w:r>
    </w:p>
    <w:p w:rsidR="00A55776" w:rsidRPr="009F5B52" w:rsidRDefault="00A55776" w:rsidP="0046476F">
      <w:pPr>
        <w:rPr>
          <w:noProof/>
          <w:szCs w:val="24"/>
          <w:lang w:val="sr-Cyrl-CS"/>
        </w:rPr>
      </w:pPr>
    </w:p>
    <w:p w:rsidR="00A55776" w:rsidRPr="009F5B52" w:rsidRDefault="00A55776" w:rsidP="0046476F">
      <w:pPr>
        <w:rPr>
          <w:noProof/>
          <w:szCs w:val="24"/>
          <w:lang w:val="sr-Cyrl-CS"/>
        </w:rPr>
      </w:pPr>
    </w:p>
    <w:p w:rsidR="00A55776" w:rsidRPr="009F5B52" w:rsidRDefault="00A55776" w:rsidP="0046476F">
      <w:pPr>
        <w:rPr>
          <w:noProof/>
          <w:szCs w:val="24"/>
          <w:lang w:val="sr-Cyrl-CS"/>
        </w:rPr>
      </w:pPr>
    </w:p>
    <w:p w:rsidR="00A55776" w:rsidRPr="009F5B52" w:rsidRDefault="00A55776" w:rsidP="0046476F">
      <w:pPr>
        <w:rPr>
          <w:noProof/>
          <w:szCs w:val="24"/>
          <w:lang w:val="sr-Cyrl-CS"/>
        </w:rPr>
      </w:pPr>
    </w:p>
    <w:p w:rsidR="0046476F" w:rsidRPr="009F5B52" w:rsidRDefault="0046476F" w:rsidP="0046476F">
      <w:pPr>
        <w:rPr>
          <w:szCs w:val="24"/>
          <w:lang w:val="sr-Cyrl-CS"/>
        </w:rPr>
      </w:pPr>
      <w:r w:rsidRPr="009F5B52">
        <w:rPr>
          <w:noProof/>
          <w:szCs w:val="24"/>
          <w:lang w:val="sr-Cyrl-CS"/>
        </w:rPr>
        <w:lastRenderedPageBreak/>
        <w:t xml:space="preserve">Те структуре су у складу са </w:t>
      </w:r>
      <w:r w:rsidR="001A0AAB" w:rsidRPr="009F5B52">
        <w:rPr>
          <w:noProof/>
          <w:szCs w:val="24"/>
          <w:lang w:val="sr-Cyrl-CS"/>
        </w:rPr>
        <w:t>ч</w:t>
      </w:r>
      <w:r w:rsidRPr="009F5B52">
        <w:rPr>
          <w:noProof/>
          <w:szCs w:val="24"/>
          <w:lang w:val="sr-Cyrl-CS"/>
        </w:rPr>
        <w:t xml:space="preserve">ланом 21. </w:t>
      </w:r>
      <w:r w:rsidR="001A0AAB" w:rsidRPr="009F5B52">
        <w:rPr>
          <w:noProof/>
          <w:szCs w:val="24"/>
          <w:lang w:val="sr-Cyrl-CS"/>
        </w:rPr>
        <w:t>УС ИПА</w:t>
      </w:r>
      <w:r w:rsidRPr="009F5B52">
        <w:rPr>
          <w:noProof/>
          <w:szCs w:val="24"/>
          <w:lang w:val="sr-Cyrl-CS"/>
        </w:rPr>
        <w:t xml:space="preserve"> и састоје се из: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5"/>
        <w:gridCol w:w="5648"/>
      </w:tblGrid>
      <w:tr w:rsidR="0046476F" w:rsidRPr="008365F6" w:rsidTr="0046476F">
        <w:tc>
          <w:tcPr>
            <w:tcW w:w="3708" w:type="dxa"/>
          </w:tcPr>
          <w:p w:rsidR="0046476F" w:rsidRPr="009F5B52" w:rsidRDefault="0046476F" w:rsidP="00A55776">
            <w:pPr>
              <w:spacing w:before="60" w:after="60"/>
              <w:jc w:val="center"/>
              <w:rPr>
                <w:b/>
                <w:noProof/>
                <w:szCs w:val="24"/>
                <w:lang w:val="sr-Cyrl-CS"/>
              </w:rPr>
            </w:pPr>
            <w:r w:rsidRPr="009F5B52">
              <w:rPr>
                <w:b/>
                <w:noProof/>
                <w:szCs w:val="24"/>
                <w:lang w:val="sr-Cyrl-CS"/>
              </w:rPr>
              <w:t>Уредба о спровођењу ИПА</w:t>
            </w:r>
          </w:p>
        </w:tc>
        <w:tc>
          <w:tcPr>
            <w:tcW w:w="5868" w:type="dxa"/>
          </w:tcPr>
          <w:p w:rsidR="0046476F" w:rsidRPr="009F5B52" w:rsidRDefault="0046476F" w:rsidP="00A55776">
            <w:pPr>
              <w:spacing w:before="60" w:after="60"/>
              <w:jc w:val="center"/>
              <w:rPr>
                <w:b/>
                <w:noProof/>
                <w:szCs w:val="24"/>
                <w:lang w:val="sr-Cyrl-CS"/>
              </w:rPr>
            </w:pPr>
            <w:r w:rsidRPr="009F5B52">
              <w:rPr>
                <w:b/>
                <w:noProof/>
                <w:szCs w:val="24"/>
                <w:lang w:val="sr-Cyrl-CS"/>
              </w:rPr>
              <w:t xml:space="preserve">Позиција у </w:t>
            </w:r>
            <w:r w:rsidR="001A0AAB" w:rsidRPr="009F5B52">
              <w:rPr>
                <w:b/>
                <w:noProof/>
                <w:szCs w:val="24"/>
                <w:lang w:val="sr-Cyrl-CS"/>
              </w:rPr>
              <w:t>В</w:t>
            </w:r>
            <w:r w:rsidRPr="009F5B52">
              <w:rPr>
                <w:b/>
                <w:noProof/>
                <w:szCs w:val="24"/>
                <w:lang w:val="sr-Cyrl-CS"/>
              </w:rPr>
              <w:t>лади Републике Србије</w:t>
            </w:r>
          </w:p>
        </w:tc>
      </w:tr>
      <w:tr w:rsidR="0046476F" w:rsidRPr="008365F6" w:rsidTr="0046476F">
        <w:tc>
          <w:tcPr>
            <w:tcW w:w="3708" w:type="dxa"/>
          </w:tcPr>
          <w:p w:rsidR="0046476F" w:rsidRPr="009F5B52" w:rsidRDefault="0046476F" w:rsidP="00A55776">
            <w:pPr>
              <w:spacing w:before="60" w:after="60"/>
              <w:jc w:val="center"/>
              <w:rPr>
                <w:noProof/>
                <w:szCs w:val="24"/>
                <w:lang w:val="sr-Cyrl-CS"/>
              </w:rPr>
            </w:pPr>
            <w:r w:rsidRPr="009F5B52">
              <w:rPr>
                <w:noProof/>
                <w:szCs w:val="24"/>
                <w:lang w:val="sr-Cyrl-CS"/>
              </w:rPr>
              <w:t>Национални</w:t>
            </w:r>
            <w:r w:rsidR="001A0AAB" w:rsidRPr="009F5B52">
              <w:rPr>
                <w:noProof/>
                <w:szCs w:val="24"/>
                <w:lang w:val="sr-Cyrl-CS"/>
              </w:rPr>
              <w:t xml:space="preserve"> ИПА</w:t>
            </w:r>
            <w:r w:rsidRPr="009F5B52">
              <w:rPr>
                <w:noProof/>
                <w:szCs w:val="24"/>
                <w:lang w:val="sr-Cyrl-CS"/>
              </w:rPr>
              <w:t xml:space="preserve"> координатор </w:t>
            </w:r>
            <w:r w:rsidR="001A0AAB" w:rsidRPr="009F5B52">
              <w:rPr>
                <w:noProof/>
                <w:szCs w:val="24"/>
                <w:lang w:val="sr-Cyrl-CS"/>
              </w:rPr>
              <w:t>(НИПАК)</w:t>
            </w:r>
          </w:p>
        </w:tc>
        <w:tc>
          <w:tcPr>
            <w:tcW w:w="5868" w:type="dxa"/>
          </w:tcPr>
          <w:p w:rsidR="0046476F" w:rsidRPr="009F5B52" w:rsidRDefault="0046476F" w:rsidP="00A55776">
            <w:pPr>
              <w:spacing w:before="60" w:after="60"/>
              <w:jc w:val="center"/>
              <w:rPr>
                <w:noProof/>
                <w:szCs w:val="24"/>
                <w:lang w:val="sr-Cyrl-CS"/>
              </w:rPr>
            </w:pPr>
            <w:r w:rsidRPr="009F5B52">
              <w:rPr>
                <w:noProof/>
                <w:szCs w:val="24"/>
                <w:lang w:val="sr-Cyrl-CS"/>
              </w:rPr>
              <w:t xml:space="preserve">Директор Канцеларије за европске интеграције </w:t>
            </w:r>
            <w:r w:rsidR="001A0AAB" w:rsidRPr="009F5B52">
              <w:rPr>
                <w:noProof/>
                <w:szCs w:val="24"/>
                <w:lang w:val="sr-Cyrl-CS"/>
              </w:rPr>
              <w:t>В</w:t>
            </w:r>
            <w:r w:rsidRPr="009F5B52">
              <w:rPr>
                <w:noProof/>
                <w:szCs w:val="24"/>
                <w:lang w:val="sr-Cyrl-CS"/>
              </w:rPr>
              <w:t>ладе Републике Србије</w:t>
            </w:r>
          </w:p>
        </w:tc>
      </w:tr>
      <w:tr w:rsidR="0046476F" w:rsidRPr="008365F6" w:rsidTr="0046476F">
        <w:trPr>
          <w:trHeight w:val="547"/>
        </w:trPr>
        <w:tc>
          <w:tcPr>
            <w:tcW w:w="3708" w:type="dxa"/>
          </w:tcPr>
          <w:p w:rsidR="0046476F" w:rsidRPr="009F5B52" w:rsidRDefault="0046476F" w:rsidP="00A55776">
            <w:pPr>
              <w:spacing w:before="60" w:after="60"/>
              <w:jc w:val="center"/>
              <w:rPr>
                <w:noProof/>
                <w:szCs w:val="24"/>
                <w:lang w:val="sr-Cyrl-CS"/>
              </w:rPr>
            </w:pPr>
            <w:r w:rsidRPr="009F5B52">
              <w:rPr>
                <w:noProof/>
                <w:szCs w:val="24"/>
                <w:lang w:val="sr-Cyrl-CS"/>
              </w:rPr>
              <w:t xml:space="preserve">Стратешки координатор </w:t>
            </w:r>
            <w:r w:rsidR="001A0AAB" w:rsidRPr="009F5B52">
              <w:rPr>
                <w:noProof/>
                <w:szCs w:val="24"/>
                <w:lang w:val="sr-Cyrl-CS"/>
              </w:rPr>
              <w:t xml:space="preserve">(СК) </w:t>
            </w:r>
            <w:r w:rsidRPr="009F5B52">
              <w:rPr>
                <w:noProof/>
                <w:szCs w:val="24"/>
                <w:lang w:val="sr-Cyrl-CS"/>
              </w:rPr>
              <w:t>за компоненту регионалног развоја и компоненту развоја људских ресурса</w:t>
            </w:r>
          </w:p>
        </w:tc>
        <w:tc>
          <w:tcPr>
            <w:tcW w:w="5868" w:type="dxa"/>
          </w:tcPr>
          <w:p w:rsidR="0046476F" w:rsidRPr="009F5B52" w:rsidRDefault="0046476F" w:rsidP="00A55776">
            <w:pPr>
              <w:spacing w:before="60" w:after="60"/>
              <w:jc w:val="center"/>
              <w:rPr>
                <w:noProof/>
                <w:szCs w:val="24"/>
                <w:lang w:val="sr-Cyrl-CS"/>
              </w:rPr>
            </w:pPr>
          </w:p>
          <w:p w:rsidR="0046476F" w:rsidRPr="009F5B52" w:rsidRDefault="0046476F" w:rsidP="00A55776">
            <w:pPr>
              <w:spacing w:before="60" w:after="60"/>
              <w:jc w:val="center"/>
              <w:rPr>
                <w:noProof/>
                <w:szCs w:val="24"/>
                <w:lang w:val="sr-Cyrl-CS"/>
              </w:rPr>
            </w:pPr>
            <w:r w:rsidRPr="009F5B52">
              <w:rPr>
                <w:noProof/>
                <w:szCs w:val="24"/>
                <w:lang w:val="sr-Cyrl-CS"/>
              </w:rPr>
              <w:t xml:space="preserve">Заменик </w:t>
            </w:r>
            <w:r w:rsidR="001A0AAB" w:rsidRPr="009F5B52">
              <w:rPr>
                <w:noProof/>
                <w:szCs w:val="24"/>
                <w:lang w:val="sr-Cyrl-CS"/>
              </w:rPr>
              <w:t>д</w:t>
            </w:r>
            <w:r w:rsidRPr="009F5B52">
              <w:rPr>
                <w:noProof/>
                <w:szCs w:val="24"/>
                <w:lang w:val="sr-Cyrl-CS"/>
              </w:rPr>
              <w:t>иректор</w:t>
            </w:r>
            <w:r w:rsidR="001A0AAB" w:rsidRPr="009F5B52">
              <w:rPr>
                <w:noProof/>
                <w:szCs w:val="24"/>
                <w:lang w:val="sr-Cyrl-CS"/>
              </w:rPr>
              <w:t>а</w:t>
            </w:r>
            <w:r w:rsidRPr="009F5B52">
              <w:rPr>
                <w:noProof/>
                <w:szCs w:val="24"/>
                <w:lang w:val="sr-Cyrl-CS"/>
              </w:rPr>
              <w:t xml:space="preserve"> Канцеларије за европске интеграције </w:t>
            </w:r>
            <w:r w:rsidR="001A0AAB" w:rsidRPr="009F5B52">
              <w:rPr>
                <w:noProof/>
                <w:szCs w:val="24"/>
                <w:lang w:val="sr-Cyrl-CS"/>
              </w:rPr>
              <w:t>В</w:t>
            </w:r>
            <w:r w:rsidRPr="009F5B52">
              <w:rPr>
                <w:noProof/>
                <w:szCs w:val="24"/>
                <w:lang w:val="sr-Cyrl-CS"/>
              </w:rPr>
              <w:t>ладе Републике Србије</w:t>
            </w:r>
          </w:p>
        </w:tc>
      </w:tr>
      <w:tr w:rsidR="0046476F" w:rsidRPr="009F5B52" w:rsidTr="0046476F">
        <w:tc>
          <w:tcPr>
            <w:tcW w:w="3708" w:type="dxa"/>
          </w:tcPr>
          <w:p w:rsidR="0046476F" w:rsidRPr="009F5B52" w:rsidRDefault="001A0AAB" w:rsidP="00A55776">
            <w:pPr>
              <w:spacing w:before="60" w:after="60"/>
              <w:jc w:val="center"/>
              <w:rPr>
                <w:noProof/>
                <w:szCs w:val="24"/>
                <w:lang w:val="sr-Cyrl-CS"/>
              </w:rPr>
            </w:pPr>
            <w:r w:rsidRPr="009F5B52">
              <w:rPr>
                <w:noProof/>
                <w:szCs w:val="24"/>
                <w:lang w:val="sr-Cyrl-CS"/>
              </w:rPr>
              <w:t>Национални службеник за акредитацију</w:t>
            </w:r>
          </w:p>
        </w:tc>
        <w:tc>
          <w:tcPr>
            <w:tcW w:w="5868" w:type="dxa"/>
          </w:tcPr>
          <w:p w:rsidR="0046476F" w:rsidRPr="009F5B52" w:rsidRDefault="0046476F" w:rsidP="00A55776">
            <w:pPr>
              <w:spacing w:before="60" w:after="60"/>
              <w:jc w:val="center"/>
              <w:rPr>
                <w:noProof/>
                <w:szCs w:val="24"/>
                <w:lang w:val="sr-Cyrl-CS"/>
              </w:rPr>
            </w:pPr>
            <w:r w:rsidRPr="009F5B52">
              <w:rPr>
                <w:noProof/>
                <w:szCs w:val="24"/>
                <w:lang w:val="sr-Cyrl-CS"/>
              </w:rPr>
              <w:t>Министар финансија</w:t>
            </w:r>
          </w:p>
        </w:tc>
      </w:tr>
      <w:tr w:rsidR="0046476F" w:rsidRPr="008365F6" w:rsidTr="0046476F">
        <w:tc>
          <w:tcPr>
            <w:tcW w:w="3708" w:type="dxa"/>
          </w:tcPr>
          <w:p w:rsidR="001A0AAB" w:rsidRPr="009F5B52" w:rsidRDefault="001A0AAB" w:rsidP="00A55776">
            <w:pPr>
              <w:spacing w:before="60" w:after="60"/>
              <w:jc w:val="center"/>
              <w:rPr>
                <w:noProof/>
                <w:szCs w:val="24"/>
                <w:lang w:val="sr-Cyrl-CS"/>
              </w:rPr>
            </w:pPr>
            <w:r w:rsidRPr="009F5B52">
              <w:rPr>
                <w:noProof/>
                <w:szCs w:val="24"/>
                <w:lang w:val="sr-Cyrl-CS"/>
              </w:rPr>
              <w:t>Надлежни службеник за одобравање</w:t>
            </w:r>
          </w:p>
        </w:tc>
        <w:tc>
          <w:tcPr>
            <w:tcW w:w="5868" w:type="dxa"/>
          </w:tcPr>
          <w:p w:rsidR="0046476F" w:rsidRPr="009F5B52" w:rsidRDefault="0046476F" w:rsidP="00A55776">
            <w:pPr>
              <w:spacing w:before="60" w:after="60"/>
              <w:jc w:val="center"/>
              <w:rPr>
                <w:noProof/>
                <w:szCs w:val="24"/>
                <w:lang w:val="sr-Cyrl-CS"/>
              </w:rPr>
            </w:pPr>
            <w:r w:rsidRPr="009F5B52">
              <w:rPr>
                <w:noProof/>
                <w:szCs w:val="24"/>
                <w:lang w:val="sr-Cyrl-CS"/>
              </w:rPr>
              <w:t>Државни секретар у Министарству финансија</w:t>
            </w:r>
          </w:p>
        </w:tc>
      </w:tr>
      <w:tr w:rsidR="0046476F" w:rsidRPr="008365F6" w:rsidTr="0046476F">
        <w:tc>
          <w:tcPr>
            <w:tcW w:w="3708" w:type="dxa"/>
          </w:tcPr>
          <w:p w:rsidR="0046476F" w:rsidRPr="009F5B52" w:rsidRDefault="0046476F" w:rsidP="00A55776">
            <w:pPr>
              <w:spacing w:before="60" w:after="60"/>
              <w:jc w:val="center"/>
              <w:rPr>
                <w:noProof/>
                <w:szCs w:val="24"/>
                <w:lang w:val="sr-Cyrl-CS"/>
              </w:rPr>
            </w:pPr>
            <w:r w:rsidRPr="009F5B52">
              <w:rPr>
                <w:noProof/>
                <w:szCs w:val="24"/>
                <w:lang w:val="sr-Cyrl-CS"/>
              </w:rPr>
              <w:t xml:space="preserve">Национални фонд </w:t>
            </w:r>
          </w:p>
        </w:tc>
        <w:tc>
          <w:tcPr>
            <w:tcW w:w="5868" w:type="dxa"/>
          </w:tcPr>
          <w:p w:rsidR="0046476F" w:rsidRPr="009F5B52" w:rsidRDefault="0046476F" w:rsidP="00A55776">
            <w:pPr>
              <w:spacing w:before="60" w:after="60"/>
              <w:jc w:val="center"/>
              <w:rPr>
                <w:noProof/>
                <w:szCs w:val="24"/>
                <w:lang w:val="sr-Cyrl-CS"/>
              </w:rPr>
            </w:pPr>
            <w:r w:rsidRPr="009F5B52">
              <w:rPr>
                <w:noProof/>
                <w:szCs w:val="24"/>
                <w:lang w:val="sr-Cyrl-CS"/>
              </w:rPr>
              <w:t>Сектор у оквиру Министарства финансија</w:t>
            </w:r>
          </w:p>
        </w:tc>
      </w:tr>
      <w:tr w:rsidR="0046476F" w:rsidRPr="008365F6" w:rsidTr="0046476F">
        <w:tc>
          <w:tcPr>
            <w:tcW w:w="3708" w:type="dxa"/>
          </w:tcPr>
          <w:p w:rsidR="0046476F" w:rsidRPr="009F5B52" w:rsidRDefault="0046476F" w:rsidP="00A55776">
            <w:pPr>
              <w:spacing w:before="60" w:after="60"/>
              <w:jc w:val="center"/>
              <w:rPr>
                <w:noProof/>
                <w:szCs w:val="24"/>
                <w:lang w:val="sr-Cyrl-CS"/>
              </w:rPr>
            </w:pPr>
            <w:r w:rsidRPr="009F5B52">
              <w:rPr>
                <w:noProof/>
                <w:szCs w:val="24"/>
                <w:lang w:val="sr-Cyrl-CS"/>
              </w:rPr>
              <w:t>Оперативна структура према ИПА компоненти или програму</w:t>
            </w:r>
          </w:p>
        </w:tc>
        <w:tc>
          <w:tcPr>
            <w:tcW w:w="5868" w:type="dxa"/>
          </w:tcPr>
          <w:p w:rsidR="0046476F" w:rsidRPr="009F5B52" w:rsidRDefault="0046476F" w:rsidP="00A55776">
            <w:pPr>
              <w:spacing w:before="60" w:after="60"/>
              <w:jc w:val="center"/>
              <w:rPr>
                <w:noProof/>
                <w:szCs w:val="24"/>
                <w:lang w:val="sr-Cyrl-CS"/>
              </w:rPr>
            </w:pPr>
          </w:p>
          <w:p w:rsidR="0046476F" w:rsidRPr="009F5B52" w:rsidRDefault="0046476F" w:rsidP="00A55776">
            <w:pPr>
              <w:spacing w:before="60" w:after="60"/>
              <w:jc w:val="center"/>
              <w:rPr>
                <w:noProof/>
                <w:szCs w:val="24"/>
                <w:lang w:val="sr-Cyrl-CS"/>
              </w:rPr>
            </w:pPr>
          </w:p>
        </w:tc>
      </w:tr>
      <w:tr w:rsidR="0046476F" w:rsidRPr="008365F6" w:rsidTr="0046476F">
        <w:tc>
          <w:tcPr>
            <w:tcW w:w="3708" w:type="dxa"/>
          </w:tcPr>
          <w:p w:rsidR="0046476F" w:rsidRPr="009F5B52" w:rsidRDefault="0046476F" w:rsidP="00A55776">
            <w:pPr>
              <w:spacing w:before="60" w:after="60"/>
              <w:jc w:val="center"/>
              <w:rPr>
                <w:noProof/>
                <w:szCs w:val="24"/>
                <w:lang w:val="sr-Cyrl-CS"/>
              </w:rPr>
            </w:pPr>
            <w:r w:rsidRPr="009F5B52">
              <w:rPr>
                <w:noProof/>
                <w:szCs w:val="24"/>
                <w:lang w:val="sr-Cyrl-CS"/>
              </w:rPr>
              <w:t>Развој људских ресурса</w:t>
            </w:r>
          </w:p>
        </w:tc>
        <w:tc>
          <w:tcPr>
            <w:tcW w:w="5868" w:type="dxa"/>
          </w:tcPr>
          <w:p w:rsidR="0046476F" w:rsidRPr="009F5B52" w:rsidRDefault="0046476F" w:rsidP="00A55776">
            <w:pPr>
              <w:spacing w:before="60" w:after="60"/>
              <w:jc w:val="center"/>
              <w:rPr>
                <w:noProof/>
                <w:szCs w:val="24"/>
                <w:lang w:val="sr-Cyrl-CS"/>
              </w:rPr>
            </w:pPr>
            <w:r w:rsidRPr="009F5B52">
              <w:rPr>
                <w:noProof/>
                <w:szCs w:val="24"/>
                <w:lang w:val="sr-Cyrl-CS"/>
              </w:rPr>
              <w:t xml:space="preserve">Руководилац Оперативне структуре – Помоћник министра </w:t>
            </w:r>
            <w:r w:rsidR="006F3651" w:rsidRPr="009F5B52">
              <w:rPr>
                <w:noProof/>
                <w:szCs w:val="24"/>
                <w:lang w:val="sr-Cyrl-CS"/>
              </w:rPr>
              <w:t xml:space="preserve">економије </w:t>
            </w:r>
            <w:r w:rsidRPr="009F5B52">
              <w:rPr>
                <w:noProof/>
                <w:szCs w:val="24"/>
                <w:lang w:val="sr-Cyrl-CS"/>
              </w:rPr>
              <w:t>и регионалног развоја</w:t>
            </w:r>
          </w:p>
        </w:tc>
      </w:tr>
      <w:tr w:rsidR="0046476F" w:rsidRPr="008365F6" w:rsidTr="0046476F">
        <w:tc>
          <w:tcPr>
            <w:tcW w:w="3708" w:type="dxa"/>
          </w:tcPr>
          <w:p w:rsidR="0046476F" w:rsidRPr="009F5B52" w:rsidRDefault="0046476F" w:rsidP="00A55776">
            <w:pPr>
              <w:spacing w:before="60" w:after="60"/>
              <w:jc w:val="center"/>
              <w:rPr>
                <w:noProof/>
                <w:szCs w:val="24"/>
                <w:lang w:val="sr-Cyrl-CS"/>
              </w:rPr>
            </w:pPr>
            <w:r w:rsidRPr="009F5B52">
              <w:rPr>
                <w:noProof/>
                <w:szCs w:val="24"/>
                <w:lang w:val="sr-Cyrl-CS"/>
              </w:rPr>
              <w:t>Економски развој</w:t>
            </w:r>
          </w:p>
        </w:tc>
        <w:tc>
          <w:tcPr>
            <w:tcW w:w="5868" w:type="dxa"/>
          </w:tcPr>
          <w:p w:rsidR="0046476F" w:rsidRPr="009F5B52" w:rsidRDefault="0046476F" w:rsidP="00A55776">
            <w:pPr>
              <w:spacing w:before="60" w:after="60"/>
              <w:jc w:val="center"/>
              <w:rPr>
                <w:noProof/>
                <w:szCs w:val="24"/>
                <w:lang w:val="sr-Cyrl-CS"/>
              </w:rPr>
            </w:pPr>
            <w:r w:rsidRPr="009F5B52">
              <w:rPr>
                <w:noProof/>
                <w:szCs w:val="24"/>
                <w:lang w:val="sr-Cyrl-CS"/>
              </w:rPr>
              <w:t>Руководилац Оперативне структуре – Помоћник министра финансија</w:t>
            </w:r>
          </w:p>
        </w:tc>
      </w:tr>
      <w:tr w:rsidR="0046476F" w:rsidRPr="008365F6" w:rsidTr="0046476F">
        <w:tc>
          <w:tcPr>
            <w:tcW w:w="3708" w:type="dxa"/>
          </w:tcPr>
          <w:p w:rsidR="0046476F" w:rsidRPr="009F5B52" w:rsidRDefault="0046476F" w:rsidP="00A55776">
            <w:pPr>
              <w:spacing w:before="60" w:after="60"/>
              <w:jc w:val="center"/>
              <w:rPr>
                <w:noProof/>
                <w:szCs w:val="24"/>
                <w:lang w:val="sr-Cyrl-CS"/>
              </w:rPr>
            </w:pPr>
            <w:r w:rsidRPr="009F5B52">
              <w:rPr>
                <w:noProof/>
                <w:szCs w:val="24"/>
                <w:lang w:val="sr-Cyrl-CS"/>
              </w:rPr>
              <w:t>Ревизорск</w:t>
            </w:r>
            <w:r w:rsidR="006F3651" w:rsidRPr="009F5B52">
              <w:rPr>
                <w:noProof/>
                <w:szCs w:val="24"/>
                <w:lang w:val="sr-Cyrl-CS"/>
              </w:rPr>
              <w:t xml:space="preserve">о тело </w:t>
            </w:r>
            <w:r w:rsidRPr="009F5B52">
              <w:rPr>
                <w:noProof/>
                <w:szCs w:val="24"/>
                <w:lang w:val="sr-Cyrl-CS"/>
              </w:rPr>
              <w:t>(</w:t>
            </w:r>
            <w:r w:rsidR="006F3651" w:rsidRPr="009F5B52">
              <w:rPr>
                <w:noProof/>
                <w:szCs w:val="24"/>
                <w:lang w:val="sr-Cyrl-CS"/>
              </w:rPr>
              <w:t>РТ</w:t>
            </w:r>
            <w:r w:rsidRPr="009F5B52">
              <w:rPr>
                <w:noProof/>
                <w:szCs w:val="24"/>
                <w:lang w:val="sr-Cyrl-CS"/>
              </w:rPr>
              <w:t>)</w:t>
            </w:r>
          </w:p>
        </w:tc>
        <w:tc>
          <w:tcPr>
            <w:tcW w:w="5868" w:type="dxa"/>
          </w:tcPr>
          <w:p w:rsidR="0046476F" w:rsidRPr="009F5B52" w:rsidRDefault="0046476F" w:rsidP="00A55776">
            <w:pPr>
              <w:spacing w:before="60" w:after="60"/>
              <w:jc w:val="center"/>
              <w:rPr>
                <w:noProof/>
                <w:szCs w:val="24"/>
                <w:lang w:val="sr-Cyrl-CS"/>
              </w:rPr>
            </w:pPr>
            <w:r w:rsidRPr="009F5B52">
              <w:rPr>
                <w:noProof/>
                <w:szCs w:val="24"/>
                <w:lang w:val="sr-Cyrl-CS"/>
              </w:rPr>
              <w:t xml:space="preserve">Канцеларија за ревизију система управљања </w:t>
            </w:r>
            <w:r w:rsidR="00ED5D5A" w:rsidRPr="009F5B52">
              <w:rPr>
                <w:noProof/>
                <w:szCs w:val="24"/>
                <w:lang w:val="sr-Cyrl-CS"/>
              </w:rPr>
              <w:t>средствима</w:t>
            </w:r>
            <w:r w:rsidRPr="009F5B52">
              <w:rPr>
                <w:noProof/>
                <w:szCs w:val="24"/>
                <w:lang w:val="sr-Cyrl-CS"/>
              </w:rPr>
              <w:t xml:space="preserve"> ЕУ </w:t>
            </w:r>
          </w:p>
        </w:tc>
      </w:tr>
    </w:tbl>
    <w:p w:rsidR="0046476F" w:rsidRPr="009F5B52" w:rsidRDefault="0046476F" w:rsidP="0046476F">
      <w:pPr>
        <w:rPr>
          <w:noProof/>
          <w:szCs w:val="24"/>
          <w:lang w:val="sr-Cyrl-CS"/>
        </w:rPr>
      </w:pPr>
      <w:r w:rsidRPr="009F5B52">
        <w:rPr>
          <w:noProof/>
          <w:szCs w:val="24"/>
          <w:lang w:val="sr-Cyrl-CS"/>
        </w:rPr>
        <w:t xml:space="preserve">Да би се у потпуности припремила за процес апсорпције фондова ЕУ у оквиру Компоненти </w:t>
      </w:r>
      <w:smartTag w:uri="urn:schemas-microsoft-com:office:smarttags" w:element="stockticker">
        <w:r w:rsidRPr="009F5B52">
          <w:rPr>
            <w:noProof/>
            <w:szCs w:val="24"/>
            <w:lang w:val="sr-Cyrl-CS"/>
          </w:rPr>
          <w:t>III</w:t>
        </w:r>
      </w:smartTag>
      <w:r w:rsidRPr="009F5B52">
        <w:rPr>
          <w:noProof/>
          <w:szCs w:val="24"/>
          <w:lang w:val="sr-Cyrl-CS"/>
        </w:rPr>
        <w:t xml:space="preserve"> и IV, Србија је израдила Оквир за стратешко </w:t>
      </w:r>
      <w:r w:rsidR="00D71BD4" w:rsidRPr="009F5B52">
        <w:rPr>
          <w:noProof/>
          <w:szCs w:val="24"/>
          <w:lang w:val="sr-Cyrl-CS"/>
        </w:rPr>
        <w:t>усклађивање</w:t>
      </w:r>
      <w:r w:rsidRPr="009F5B52">
        <w:rPr>
          <w:noProof/>
          <w:szCs w:val="24"/>
          <w:lang w:val="sr-Cyrl-CS"/>
        </w:rPr>
        <w:t xml:space="preserve"> (</w:t>
      </w:r>
      <w:r w:rsidR="00685339" w:rsidRPr="009F5B52">
        <w:rPr>
          <w:noProof/>
          <w:szCs w:val="24"/>
          <w:lang w:val="sr-Cyrl-CS"/>
        </w:rPr>
        <w:t>ОСУ</w:t>
      </w:r>
      <w:r w:rsidRPr="009F5B52">
        <w:rPr>
          <w:noProof/>
          <w:szCs w:val="24"/>
          <w:lang w:val="sr-Cyrl-CS"/>
        </w:rPr>
        <w:t xml:space="preserve">) и одговарајуће </w:t>
      </w:r>
      <w:r w:rsidR="00D71BD4" w:rsidRPr="009F5B52">
        <w:rPr>
          <w:noProof/>
          <w:szCs w:val="24"/>
          <w:lang w:val="sr-Cyrl-CS"/>
        </w:rPr>
        <w:t>о</w:t>
      </w:r>
      <w:r w:rsidRPr="009F5B52">
        <w:rPr>
          <w:noProof/>
          <w:szCs w:val="24"/>
          <w:lang w:val="sr-Cyrl-CS"/>
        </w:rPr>
        <w:t>перативне програме (ОП). Овај процес започео је Управни одбор ИПА у складу са Уредбом о спровођењу ИПА. Да би се осигурала усклађеност са циљевима националне политике и потпуно власништво надлежних</w:t>
      </w:r>
      <w:r w:rsidR="00D71BD4" w:rsidRPr="009F5B52">
        <w:rPr>
          <w:noProof/>
          <w:szCs w:val="24"/>
          <w:lang w:val="sr-Cyrl-CS"/>
        </w:rPr>
        <w:t xml:space="preserve"> ресорних министарстава над ИПА к</w:t>
      </w:r>
      <w:r w:rsidRPr="009F5B52">
        <w:rPr>
          <w:noProof/>
          <w:szCs w:val="24"/>
          <w:lang w:val="sr-Cyrl-CS"/>
        </w:rPr>
        <w:t xml:space="preserve">омпонентама </w:t>
      </w:r>
      <w:smartTag w:uri="urn:schemas-microsoft-com:office:smarttags" w:element="stockticker">
        <w:r w:rsidRPr="009F5B52">
          <w:rPr>
            <w:noProof/>
            <w:szCs w:val="24"/>
            <w:lang w:val="sr-Cyrl-CS"/>
          </w:rPr>
          <w:t>III</w:t>
        </w:r>
      </w:smartTag>
      <w:r w:rsidRPr="009F5B52">
        <w:rPr>
          <w:noProof/>
          <w:szCs w:val="24"/>
          <w:lang w:val="sr-Cyrl-CS"/>
        </w:rPr>
        <w:t xml:space="preserve"> и IV, у овом процесу је </w:t>
      </w:r>
      <w:r w:rsidR="00685339" w:rsidRPr="009F5B52">
        <w:rPr>
          <w:noProof/>
          <w:szCs w:val="24"/>
          <w:lang w:val="sr-Cyrl-CS"/>
        </w:rPr>
        <w:t>с</w:t>
      </w:r>
      <w:r w:rsidRPr="009F5B52">
        <w:rPr>
          <w:noProof/>
          <w:szCs w:val="24"/>
          <w:lang w:val="sr-Cyrl-CS"/>
        </w:rPr>
        <w:t>тратешком координатору помог</w:t>
      </w:r>
      <w:r w:rsidR="00177135" w:rsidRPr="009F5B52">
        <w:rPr>
          <w:noProof/>
          <w:szCs w:val="24"/>
          <w:lang w:val="sr-Cyrl-CS"/>
        </w:rPr>
        <w:t>ло</w:t>
      </w:r>
      <w:r w:rsidRPr="009F5B52">
        <w:rPr>
          <w:noProof/>
          <w:szCs w:val="24"/>
          <w:lang w:val="sr-Cyrl-CS"/>
        </w:rPr>
        <w:t xml:space="preserve"> Заједничк</w:t>
      </w:r>
      <w:r w:rsidR="00685339" w:rsidRPr="009F5B52">
        <w:rPr>
          <w:noProof/>
          <w:szCs w:val="24"/>
          <w:lang w:val="sr-Cyrl-CS"/>
        </w:rPr>
        <w:t>о тело</w:t>
      </w:r>
      <w:r w:rsidRPr="009F5B52">
        <w:rPr>
          <w:noProof/>
          <w:szCs w:val="24"/>
          <w:lang w:val="sr-Cyrl-CS"/>
        </w:rPr>
        <w:t xml:space="preserve"> </w:t>
      </w:r>
      <w:r w:rsidR="00685339" w:rsidRPr="009F5B52">
        <w:rPr>
          <w:noProof/>
          <w:szCs w:val="24"/>
          <w:lang w:val="sr-Cyrl-CS"/>
        </w:rPr>
        <w:t>за ОСУ</w:t>
      </w:r>
      <w:r w:rsidRPr="009F5B52">
        <w:rPr>
          <w:noProof/>
          <w:szCs w:val="24"/>
          <w:lang w:val="sr-Cyrl-CS"/>
        </w:rPr>
        <w:t xml:space="preserve"> (</w:t>
      </w:r>
      <w:r w:rsidR="00177135" w:rsidRPr="009F5B52">
        <w:rPr>
          <w:noProof/>
          <w:szCs w:val="24"/>
          <w:lang w:val="sr-Cyrl-CS"/>
        </w:rPr>
        <w:t>ЗТОСУ</w:t>
      </w:r>
      <w:r w:rsidRPr="009F5B52">
        <w:rPr>
          <w:noProof/>
          <w:szCs w:val="24"/>
          <w:lang w:val="sr-Cyrl-CS"/>
        </w:rPr>
        <w:t xml:space="preserve">). </w:t>
      </w:r>
      <w:r w:rsidR="00177135" w:rsidRPr="009F5B52">
        <w:rPr>
          <w:noProof/>
          <w:szCs w:val="24"/>
          <w:lang w:val="sr-Cyrl-CS"/>
        </w:rPr>
        <w:t>ЗТОСУ</w:t>
      </w:r>
      <w:r w:rsidRPr="009F5B52">
        <w:rPr>
          <w:noProof/>
          <w:szCs w:val="24"/>
          <w:lang w:val="sr-Cyrl-CS"/>
        </w:rPr>
        <w:t xml:space="preserve"> је званично основан</w:t>
      </w:r>
      <w:r w:rsidR="00177135" w:rsidRPr="009F5B52">
        <w:rPr>
          <w:noProof/>
          <w:szCs w:val="24"/>
          <w:lang w:val="sr-Cyrl-CS"/>
        </w:rPr>
        <w:t>о</w:t>
      </w:r>
      <w:r w:rsidRPr="009F5B52">
        <w:rPr>
          <w:noProof/>
          <w:szCs w:val="24"/>
          <w:lang w:val="sr-Cyrl-CS"/>
        </w:rPr>
        <w:t xml:space="preserve"> међуминистарским споразумом који је усвојен 28. августа 2009. године. </w:t>
      </w:r>
      <w:r w:rsidR="00177135" w:rsidRPr="009F5B52">
        <w:rPr>
          <w:noProof/>
          <w:szCs w:val="24"/>
          <w:lang w:val="sr-Cyrl-CS"/>
        </w:rPr>
        <w:t>ЗТОСУ</w:t>
      </w:r>
      <w:r w:rsidRPr="009F5B52">
        <w:rPr>
          <w:noProof/>
          <w:szCs w:val="24"/>
          <w:lang w:val="sr-Cyrl-CS"/>
        </w:rPr>
        <w:t xml:space="preserve"> је омогући</w:t>
      </w:r>
      <w:r w:rsidR="00177135" w:rsidRPr="009F5B52">
        <w:rPr>
          <w:noProof/>
          <w:szCs w:val="24"/>
          <w:lang w:val="sr-Cyrl-CS"/>
        </w:rPr>
        <w:t>л</w:t>
      </w:r>
      <w:r w:rsidRPr="009F5B52">
        <w:rPr>
          <w:noProof/>
          <w:szCs w:val="24"/>
          <w:lang w:val="sr-Cyrl-CS"/>
        </w:rPr>
        <w:t>о међуресорну координацију, ради</w:t>
      </w:r>
      <w:r w:rsidR="00177135" w:rsidRPr="009F5B52">
        <w:rPr>
          <w:noProof/>
          <w:szCs w:val="24"/>
          <w:lang w:val="sr-Cyrl-CS"/>
        </w:rPr>
        <w:t>л</w:t>
      </w:r>
      <w:r w:rsidRPr="009F5B52">
        <w:rPr>
          <w:noProof/>
          <w:szCs w:val="24"/>
          <w:lang w:val="sr-Cyrl-CS"/>
        </w:rPr>
        <w:t xml:space="preserve">о као форум за разматрање информација које се уносе у </w:t>
      </w:r>
      <w:r w:rsidR="00177135" w:rsidRPr="009F5B52">
        <w:rPr>
          <w:noProof/>
          <w:szCs w:val="24"/>
          <w:lang w:val="sr-Cyrl-CS"/>
        </w:rPr>
        <w:t>ОСУ</w:t>
      </w:r>
      <w:r w:rsidRPr="009F5B52">
        <w:rPr>
          <w:noProof/>
          <w:szCs w:val="24"/>
          <w:lang w:val="sr-Cyrl-CS"/>
        </w:rPr>
        <w:t xml:space="preserve"> и разматрање нацрта докумената у складу са договореним протоколима. Такође је осигурава</w:t>
      </w:r>
      <w:r w:rsidR="00177135" w:rsidRPr="009F5B52">
        <w:rPr>
          <w:noProof/>
          <w:szCs w:val="24"/>
          <w:lang w:val="sr-Cyrl-CS"/>
        </w:rPr>
        <w:t>л</w:t>
      </w:r>
      <w:r w:rsidRPr="009F5B52">
        <w:rPr>
          <w:noProof/>
          <w:szCs w:val="24"/>
          <w:lang w:val="sr-Cyrl-CS"/>
        </w:rPr>
        <w:t xml:space="preserve">о координацију, комплементарност и синергију између </w:t>
      </w:r>
      <w:r w:rsidR="00177135" w:rsidRPr="009F5B52">
        <w:rPr>
          <w:noProof/>
          <w:szCs w:val="24"/>
          <w:lang w:val="sr-Cyrl-CS"/>
        </w:rPr>
        <w:t>о</w:t>
      </w:r>
      <w:r w:rsidRPr="009F5B52">
        <w:rPr>
          <w:noProof/>
          <w:szCs w:val="24"/>
          <w:lang w:val="sr-Cyrl-CS"/>
        </w:rPr>
        <w:t>перативних програма.</w:t>
      </w:r>
    </w:p>
    <w:p w:rsidR="0046476F" w:rsidRPr="009F5B52" w:rsidRDefault="0046476F" w:rsidP="0046476F">
      <w:pPr>
        <w:rPr>
          <w:noProof/>
          <w:szCs w:val="24"/>
          <w:lang w:val="sr-Cyrl-CS"/>
        </w:rPr>
      </w:pPr>
      <w:r w:rsidRPr="009F5B52">
        <w:rPr>
          <w:noProof/>
          <w:szCs w:val="24"/>
          <w:lang w:val="sr-Cyrl-CS"/>
        </w:rPr>
        <w:t>Међутим, ове документе Влада није званично усвојила због тога што је Србији одобрен статус кандидата у поодмаклој фази текуће Финансијске перспективе ЕУ (2007-2013). Па ипак, већина пројеката програмираних у оквиру овог процеса биће реализована под окриљем процедуре и правила формулисаних за ИПА Компоненту I за 2012. и 2013. годину.</w:t>
      </w:r>
    </w:p>
    <w:p w:rsidR="0046476F" w:rsidRPr="009F5B52" w:rsidRDefault="00787409" w:rsidP="0046476F">
      <w:pPr>
        <w:rPr>
          <w:szCs w:val="24"/>
          <w:lang w:val="sr-Cyrl-CS"/>
        </w:rPr>
      </w:pPr>
      <w:r w:rsidRPr="009F5B52">
        <w:rPr>
          <w:noProof/>
          <w:lang w:val="sr-Cyrl-RS" w:eastAsia="sr-Cyrl-RS"/>
        </w:rPr>
        <w:lastRenderedPageBreak/>
        <mc:AlternateContent>
          <mc:Choice Requires="wps">
            <w:drawing>
              <wp:anchor distT="0" distB="0" distL="114300" distR="114300" simplePos="0" relativeHeight="251705344" behindDoc="0" locked="0" layoutInCell="1" allowOverlap="1" wp14:anchorId="3356DE31" wp14:editId="2696D7CB">
                <wp:simplePos x="0" y="0"/>
                <wp:positionH relativeFrom="column">
                  <wp:posOffset>21265</wp:posOffset>
                </wp:positionH>
                <wp:positionV relativeFrom="paragraph">
                  <wp:posOffset>-9230</wp:posOffset>
                </wp:positionV>
                <wp:extent cx="5835650" cy="1148317"/>
                <wp:effectExtent l="0" t="0" r="12700" b="13970"/>
                <wp:wrapNone/>
                <wp:docPr id="15"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1148317"/>
                        </a:xfrm>
                        <a:prstGeom prst="rect">
                          <a:avLst/>
                        </a:prstGeom>
                        <a:solidFill>
                          <a:srgbClr val="D8D8D8"/>
                        </a:solidFill>
                        <a:ln w="12700">
                          <a:solidFill>
                            <a:srgbClr val="000000"/>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172313" w:rsidRPr="00CB1BC3" w:rsidRDefault="00172313" w:rsidP="0046476F">
                            <w:pPr>
                              <w:rPr>
                                <w:lang w:val="sr-Cyrl-CS"/>
                              </w:rPr>
                            </w:pPr>
                            <w:r>
                              <w:rPr>
                                <w:b/>
                                <w:noProof/>
                                <w:lang w:val="sr-Cyrl-CS"/>
                              </w:rPr>
                              <w:t>Влада Србије</w:t>
                            </w:r>
                            <w:r w:rsidRPr="00CB1BC3">
                              <w:rPr>
                                <w:b/>
                                <w:noProof/>
                                <w:lang w:val="sr-Cyrl-CS"/>
                              </w:rPr>
                              <w:t xml:space="preserve"> </w:t>
                            </w:r>
                            <w:r>
                              <w:rPr>
                                <w:b/>
                                <w:noProof/>
                                <w:lang w:val="sr-Cyrl-CS"/>
                              </w:rPr>
                              <w:t>је</w:t>
                            </w:r>
                            <w:r w:rsidRPr="00CB1BC3">
                              <w:rPr>
                                <w:b/>
                                <w:noProof/>
                                <w:lang w:val="sr-Cyrl-CS"/>
                              </w:rPr>
                              <w:t xml:space="preserve"> </w:t>
                            </w:r>
                            <w:r>
                              <w:rPr>
                                <w:b/>
                                <w:noProof/>
                                <w:lang w:val="sr-Cyrl-CS"/>
                              </w:rPr>
                              <w:t>израдила</w:t>
                            </w:r>
                            <w:r w:rsidRPr="00CB1BC3">
                              <w:rPr>
                                <w:b/>
                                <w:noProof/>
                                <w:lang w:val="sr-Cyrl-CS"/>
                              </w:rPr>
                              <w:t xml:space="preserve"> </w:t>
                            </w:r>
                            <w:r>
                              <w:rPr>
                                <w:b/>
                                <w:noProof/>
                                <w:lang w:val="sr-Cyrl-CS"/>
                              </w:rPr>
                              <w:t>Оквир</w:t>
                            </w:r>
                            <w:r w:rsidRPr="00CB1BC3">
                              <w:rPr>
                                <w:b/>
                                <w:noProof/>
                                <w:lang w:val="sr-Cyrl-CS"/>
                              </w:rPr>
                              <w:t xml:space="preserve"> </w:t>
                            </w:r>
                            <w:r>
                              <w:rPr>
                                <w:b/>
                                <w:noProof/>
                                <w:lang w:val="sr-Cyrl-CS"/>
                              </w:rPr>
                              <w:t>за</w:t>
                            </w:r>
                            <w:r w:rsidRPr="00CB1BC3">
                              <w:rPr>
                                <w:b/>
                                <w:noProof/>
                                <w:lang w:val="sr-Cyrl-CS"/>
                              </w:rPr>
                              <w:t xml:space="preserve"> </w:t>
                            </w:r>
                            <w:r>
                              <w:rPr>
                                <w:b/>
                                <w:noProof/>
                                <w:lang w:val="sr-Cyrl-CS"/>
                              </w:rPr>
                              <w:t>стратешко</w:t>
                            </w:r>
                            <w:r w:rsidRPr="00CB1BC3">
                              <w:rPr>
                                <w:b/>
                                <w:noProof/>
                                <w:lang w:val="sr-Cyrl-CS"/>
                              </w:rPr>
                              <w:t xml:space="preserve"> </w:t>
                            </w:r>
                            <w:r>
                              <w:rPr>
                                <w:b/>
                                <w:noProof/>
                                <w:lang w:val="sr-Cyrl-CS"/>
                              </w:rPr>
                              <w:t>усклађивање</w:t>
                            </w:r>
                            <w:r w:rsidRPr="00CB1BC3">
                              <w:rPr>
                                <w:b/>
                                <w:noProof/>
                                <w:lang w:val="sr-Cyrl-CS"/>
                              </w:rPr>
                              <w:t xml:space="preserve"> </w:t>
                            </w:r>
                            <w:r>
                              <w:rPr>
                                <w:b/>
                                <w:noProof/>
                                <w:lang w:val="sr-Cyrl-CS"/>
                              </w:rPr>
                              <w:t>и</w:t>
                            </w:r>
                            <w:r w:rsidRPr="00CB1BC3">
                              <w:rPr>
                                <w:b/>
                                <w:noProof/>
                                <w:lang w:val="sr-Cyrl-CS"/>
                              </w:rPr>
                              <w:t xml:space="preserve"> </w:t>
                            </w:r>
                            <w:r>
                              <w:rPr>
                                <w:b/>
                                <w:noProof/>
                                <w:lang w:val="sr-Cyrl-CS"/>
                              </w:rPr>
                              <w:t>Оперативни</w:t>
                            </w:r>
                            <w:r w:rsidRPr="00CB1BC3">
                              <w:rPr>
                                <w:b/>
                                <w:noProof/>
                                <w:lang w:val="sr-Cyrl-CS"/>
                              </w:rPr>
                              <w:t xml:space="preserve"> </w:t>
                            </w:r>
                            <w:r>
                              <w:rPr>
                                <w:b/>
                                <w:noProof/>
                                <w:lang w:val="sr-Cyrl-CS"/>
                              </w:rPr>
                              <w:t>програм</w:t>
                            </w:r>
                            <w:r w:rsidRPr="00CB1BC3">
                              <w:rPr>
                                <w:b/>
                                <w:noProof/>
                                <w:lang w:val="sr-Cyrl-CS"/>
                              </w:rPr>
                              <w:t xml:space="preserve"> </w:t>
                            </w:r>
                            <w:r>
                              <w:rPr>
                                <w:b/>
                                <w:noProof/>
                                <w:lang w:val="sr-Cyrl-CS"/>
                              </w:rPr>
                              <w:t>за</w:t>
                            </w:r>
                            <w:r w:rsidRPr="00CB1BC3">
                              <w:rPr>
                                <w:b/>
                                <w:noProof/>
                                <w:lang w:val="sr-Cyrl-CS"/>
                              </w:rPr>
                              <w:t xml:space="preserve"> </w:t>
                            </w:r>
                            <w:r>
                              <w:rPr>
                                <w:b/>
                                <w:noProof/>
                                <w:lang w:val="sr-Cyrl-CS"/>
                              </w:rPr>
                              <w:t>Развој</w:t>
                            </w:r>
                            <w:r w:rsidRPr="00CB1BC3">
                              <w:rPr>
                                <w:b/>
                                <w:noProof/>
                                <w:lang w:val="sr-Cyrl-CS"/>
                              </w:rPr>
                              <w:t xml:space="preserve"> </w:t>
                            </w:r>
                            <w:r>
                              <w:rPr>
                                <w:b/>
                                <w:noProof/>
                                <w:lang w:val="sr-Cyrl-CS"/>
                              </w:rPr>
                              <w:t>људских</w:t>
                            </w:r>
                            <w:r w:rsidRPr="00CB1BC3">
                              <w:rPr>
                                <w:b/>
                                <w:noProof/>
                                <w:lang w:val="sr-Cyrl-CS"/>
                              </w:rPr>
                              <w:t xml:space="preserve"> </w:t>
                            </w:r>
                            <w:r>
                              <w:rPr>
                                <w:b/>
                                <w:noProof/>
                                <w:lang w:val="sr-Cyrl-CS"/>
                              </w:rPr>
                              <w:t>ресурса</w:t>
                            </w:r>
                            <w:r w:rsidRPr="00CB1BC3">
                              <w:rPr>
                                <w:b/>
                                <w:noProof/>
                                <w:lang w:val="sr-Cyrl-CS"/>
                              </w:rPr>
                              <w:t xml:space="preserve"> </w:t>
                            </w:r>
                            <w:r>
                              <w:rPr>
                                <w:b/>
                                <w:noProof/>
                                <w:lang w:val="sr-Cyrl-CS"/>
                              </w:rPr>
                              <w:t>и</w:t>
                            </w:r>
                            <w:r w:rsidRPr="00CB1BC3">
                              <w:rPr>
                                <w:b/>
                                <w:noProof/>
                                <w:lang w:val="sr-Cyrl-CS"/>
                              </w:rPr>
                              <w:t xml:space="preserve"> </w:t>
                            </w:r>
                            <w:r>
                              <w:rPr>
                                <w:b/>
                                <w:noProof/>
                                <w:lang w:val="sr-Cyrl-CS"/>
                              </w:rPr>
                              <w:t>успоставила</w:t>
                            </w:r>
                            <w:r w:rsidRPr="00CB1BC3">
                              <w:rPr>
                                <w:b/>
                                <w:noProof/>
                                <w:lang w:val="sr-Cyrl-CS"/>
                              </w:rPr>
                              <w:t xml:space="preserve"> </w:t>
                            </w:r>
                            <w:r>
                              <w:rPr>
                                <w:b/>
                                <w:noProof/>
                                <w:lang w:val="sr-Cyrl-CS"/>
                              </w:rPr>
                              <w:t>оперативне</w:t>
                            </w:r>
                            <w:r w:rsidRPr="00CB1BC3">
                              <w:rPr>
                                <w:b/>
                                <w:noProof/>
                                <w:lang w:val="sr-Cyrl-CS"/>
                              </w:rPr>
                              <w:t xml:space="preserve"> </w:t>
                            </w:r>
                            <w:r>
                              <w:rPr>
                                <w:b/>
                                <w:noProof/>
                                <w:lang w:val="sr-Cyrl-CS"/>
                              </w:rPr>
                              <w:t>структуре</w:t>
                            </w:r>
                            <w:r w:rsidRPr="00CB1BC3">
                              <w:rPr>
                                <w:b/>
                                <w:noProof/>
                                <w:lang w:val="sr-Cyrl-CS"/>
                              </w:rPr>
                              <w:t xml:space="preserve">. </w:t>
                            </w:r>
                            <w:r>
                              <w:rPr>
                                <w:b/>
                                <w:noProof/>
                                <w:lang w:val="sr-Cyrl-CS"/>
                              </w:rPr>
                              <w:t xml:space="preserve">Започете су припреме за успостављање децентрализованог управљања фондовима ЕУ – предат је акредитациони пакет, а пренос овлашћења за управљање за све четири ИПА компоненте се очекује средином 2013. године.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ounded Rectangle 27" o:spid="_x0000_s1028" style="position:absolute;left:0;text-align:left;margin-left:1.65pt;margin-top:-.75pt;width:459.5pt;height:9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" fillcolor="#d8d8d8" strokeweight="1pt">
                <v:shadow color="black" opacity="24903f" origin=",.5" offset="0,.55556mm"/>
                <v:path arrowok="t"/>
                <v:textbox>
                  <w:txbxContent>
                    <w:p w:rsidR="00172313" w:rsidRPr="00CB1BC3" w:rsidRDefault="00172313" w:rsidP="0046476F">
                      <w:pPr>
                        <w:rPr>
                          <w:lang w:val="sr-Cyrl-CS"/>
                        </w:rPr>
                      </w:pPr>
                      <w:r>
                        <w:rPr>
                          <w:b/>
                          <w:noProof/>
                          <w:lang w:val="sr-Cyrl-CS"/>
                        </w:rPr>
                        <w:t>Влада Србије</w:t>
                      </w:r>
                      <w:r w:rsidRPr="00CB1BC3">
                        <w:rPr>
                          <w:b/>
                          <w:noProof/>
                          <w:lang w:val="sr-Cyrl-CS"/>
                        </w:rPr>
                        <w:t xml:space="preserve"> </w:t>
                      </w:r>
                      <w:r>
                        <w:rPr>
                          <w:b/>
                          <w:noProof/>
                          <w:lang w:val="sr-Cyrl-CS"/>
                        </w:rPr>
                        <w:t>је</w:t>
                      </w:r>
                      <w:r w:rsidRPr="00CB1BC3">
                        <w:rPr>
                          <w:b/>
                          <w:noProof/>
                          <w:lang w:val="sr-Cyrl-CS"/>
                        </w:rPr>
                        <w:t xml:space="preserve"> </w:t>
                      </w:r>
                      <w:r>
                        <w:rPr>
                          <w:b/>
                          <w:noProof/>
                          <w:lang w:val="sr-Cyrl-CS"/>
                        </w:rPr>
                        <w:t>израдила</w:t>
                      </w:r>
                      <w:r w:rsidRPr="00CB1BC3">
                        <w:rPr>
                          <w:b/>
                          <w:noProof/>
                          <w:lang w:val="sr-Cyrl-CS"/>
                        </w:rPr>
                        <w:t xml:space="preserve"> </w:t>
                      </w:r>
                      <w:r>
                        <w:rPr>
                          <w:b/>
                          <w:noProof/>
                          <w:lang w:val="sr-Cyrl-CS"/>
                        </w:rPr>
                        <w:t>Оквир</w:t>
                      </w:r>
                      <w:r w:rsidRPr="00CB1BC3">
                        <w:rPr>
                          <w:b/>
                          <w:noProof/>
                          <w:lang w:val="sr-Cyrl-CS"/>
                        </w:rPr>
                        <w:t xml:space="preserve"> </w:t>
                      </w:r>
                      <w:r>
                        <w:rPr>
                          <w:b/>
                          <w:noProof/>
                          <w:lang w:val="sr-Cyrl-CS"/>
                        </w:rPr>
                        <w:t>за</w:t>
                      </w:r>
                      <w:r w:rsidRPr="00CB1BC3">
                        <w:rPr>
                          <w:b/>
                          <w:noProof/>
                          <w:lang w:val="sr-Cyrl-CS"/>
                        </w:rPr>
                        <w:t xml:space="preserve"> </w:t>
                      </w:r>
                      <w:r>
                        <w:rPr>
                          <w:b/>
                          <w:noProof/>
                          <w:lang w:val="sr-Cyrl-CS"/>
                        </w:rPr>
                        <w:t>стратешко</w:t>
                      </w:r>
                      <w:r w:rsidRPr="00CB1BC3">
                        <w:rPr>
                          <w:b/>
                          <w:noProof/>
                          <w:lang w:val="sr-Cyrl-CS"/>
                        </w:rPr>
                        <w:t xml:space="preserve"> </w:t>
                      </w:r>
                      <w:r>
                        <w:rPr>
                          <w:b/>
                          <w:noProof/>
                          <w:lang w:val="sr-Cyrl-CS"/>
                        </w:rPr>
                        <w:t>усклађивање</w:t>
                      </w:r>
                      <w:r w:rsidRPr="00CB1BC3">
                        <w:rPr>
                          <w:b/>
                          <w:noProof/>
                          <w:lang w:val="sr-Cyrl-CS"/>
                        </w:rPr>
                        <w:t xml:space="preserve"> </w:t>
                      </w:r>
                      <w:r>
                        <w:rPr>
                          <w:b/>
                          <w:noProof/>
                          <w:lang w:val="sr-Cyrl-CS"/>
                        </w:rPr>
                        <w:t>и</w:t>
                      </w:r>
                      <w:r w:rsidRPr="00CB1BC3">
                        <w:rPr>
                          <w:b/>
                          <w:noProof/>
                          <w:lang w:val="sr-Cyrl-CS"/>
                        </w:rPr>
                        <w:t xml:space="preserve"> </w:t>
                      </w:r>
                      <w:r>
                        <w:rPr>
                          <w:b/>
                          <w:noProof/>
                          <w:lang w:val="sr-Cyrl-CS"/>
                        </w:rPr>
                        <w:t>Оперативни</w:t>
                      </w:r>
                      <w:r w:rsidRPr="00CB1BC3">
                        <w:rPr>
                          <w:b/>
                          <w:noProof/>
                          <w:lang w:val="sr-Cyrl-CS"/>
                        </w:rPr>
                        <w:t xml:space="preserve"> </w:t>
                      </w:r>
                      <w:r>
                        <w:rPr>
                          <w:b/>
                          <w:noProof/>
                          <w:lang w:val="sr-Cyrl-CS"/>
                        </w:rPr>
                        <w:t>програм</w:t>
                      </w:r>
                      <w:r w:rsidRPr="00CB1BC3">
                        <w:rPr>
                          <w:b/>
                          <w:noProof/>
                          <w:lang w:val="sr-Cyrl-CS"/>
                        </w:rPr>
                        <w:t xml:space="preserve"> </w:t>
                      </w:r>
                      <w:r>
                        <w:rPr>
                          <w:b/>
                          <w:noProof/>
                          <w:lang w:val="sr-Cyrl-CS"/>
                        </w:rPr>
                        <w:t>за</w:t>
                      </w:r>
                      <w:r w:rsidRPr="00CB1BC3">
                        <w:rPr>
                          <w:b/>
                          <w:noProof/>
                          <w:lang w:val="sr-Cyrl-CS"/>
                        </w:rPr>
                        <w:t xml:space="preserve"> </w:t>
                      </w:r>
                      <w:r>
                        <w:rPr>
                          <w:b/>
                          <w:noProof/>
                          <w:lang w:val="sr-Cyrl-CS"/>
                        </w:rPr>
                        <w:t>Развој</w:t>
                      </w:r>
                      <w:r w:rsidRPr="00CB1BC3">
                        <w:rPr>
                          <w:b/>
                          <w:noProof/>
                          <w:lang w:val="sr-Cyrl-CS"/>
                        </w:rPr>
                        <w:t xml:space="preserve"> </w:t>
                      </w:r>
                      <w:r>
                        <w:rPr>
                          <w:b/>
                          <w:noProof/>
                          <w:lang w:val="sr-Cyrl-CS"/>
                        </w:rPr>
                        <w:t>људских</w:t>
                      </w:r>
                      <w:r w:rsidRPr="00CB1BC3">
                        <w:rPr>
                          <w:b/>
                          <w:noProof/>
                          <w:lang w:val="sr-Cyrl-CS"/>
                        </w:rPr>
                        <w:t xml:space="preserve"> </w:t>
                      </w:r>
                      <w:r>
                        <w:rPr>
                          <w:b/>
                          <w:noProof/>
                          <w:lang w:val="sr-Cyrl-CS"/>
                        </w:rPr>
                        <w:t>ресурса</w:t>
                      </w:r>
                      <w:r w:rsidRPr="00CB1BC3">
                        <w:rPr>
                          <w:b/>
                          <w:noProof/>
                          <w:lang w:val="sr-Cyrl-CS"/>
                        </w:rPr>
                        <w:t xml:space="preserve"> </w:t>
                      </w:r>
                      <w:r>
                        <w:rPr>
                          <w:b/>
                          <w:noProof/>
                          <w:lang w:val="sr-Cyrl-CS"/>
                        </w:rPr>
                        <w:t>и</w:t>
                      </w:r>
                      <w:r w:rsidRPr="00CB1BC3">
                        <w:rPr>
                          <w:b/>
                          <w:noProof/>
                          <w:lang w:val="sr-Cyrl-CS"/>
                        </w:rPr>
                        <w:t xml:space="preserve"> </w:t>
                      </w:r>
                      <w:r>
                        <w:rPr>
                          <w:b/>
                          <w:noProof/>
                          <w:lang w:val="sr-Cyrl-CS"/>
                        </w:rPr>
                        <w:t>успоставила</w:t>
                      </w:r>
                      <w:r w:rsidRPr="00CB1BC3">
                        <w:rPr>
                          <w:b/>
                          <w:noProof/>
                          <w:lang w:val="sr-Cyrl-CS"/>
                        </w:rPr>
                        <w:t xml:space="preserve"> </w:t>
                      </w:r>
                      <w:r>
                        <w:rPr>
                          <w:b/>
                          <w:noProof/>
                          <w:lang w:val="sr-Cyrl-CS"/>
                        </w:rPr>
                        <w:t>оперативне</w:t>
                      </w:r>
                      <w:r w:rsidRPr="00CB1BC3">
                        <w:rPr>
                          <w:b/>
                          <w:noProof/>
                          <w:lang w:val="sr-Cyrl-CS"/>
                        </w:rPr>
                        <w:t xml:space="preserve"> </w:t>
                      </w:r>
                      <w:r>
                        <w:rPr>
                          <w:b/>
                          <w:noProof/>
                          <w:lang w:val="sr-Cyrl-CS"/>
                        </w:rPr>
                        <w:t>структуре</w:t>
                      </w:r>
                      <w:r w:rsidRPr="00CB1BC3">
                        <w:rPr>
                          <w:b/>
                          <w:noProof/>
                          <w:lang w:val="sr-Cyrl-CS"/>
                        </w:rPr>
                        <w:t xml:space="preserve">. </w:t>
                      </w:r>
                      <w:r>
                        <w:rPr>
                          <w:b/>
                          <w:noProof/>
                          <w:lang w:val="sr-Cyrl-CS"/>
                        </w:rPr>
                        <w:t xml:space="preserve">Започете су припреме за успостављање децентрализованог управљања фондовима ЕУ – предат је акредитациони пакет, а пренос овлашћења за управљање за све четири ИПА компоненте се очекује средином 2013. године. </w:t>
                      </w:r>
                    </w:p>
                  </w:txbxContent>
                </v:textbox>
              </v:rect>
            </w:pict>
          </mc:Fallback>
        </mc:AlternateContent>
      </w:r>
    </w:p>
    <w:p w:rsidR="0046476F" w:rsidRPr="009F5B52" w:rsidRDefault="0046476F" w:rsidP="0046476F">
      <w:pPr>
        <w:rPr>
          <w:szCs w:val="24"/>
          <w:lang w:val="sr-Cyrl-CS"/>
        </w:rPr>
      </w:pPr>
    </w:p>
    <w:p w:rsidR="00E823EE" w:rsidRPr="009F5B52" w:rsidRDefault="00E823EE" w:rsidP="0046476F">
      <w:pPr>
        <w:rPr>
          <w:b/>
          <w:noProof/>
          <w:szCs w:val="24"/>
          <w:lang w:val="sr-Cyrl-CS"/>
        </w:rPr>
      </w:pPr>
    </w:p>
    <w:p w:rsidR="00E823EE" w:rsidRPr="009F5B52" w:rsidRDefault="00E823EE" w:rsidP="0046476F">
      <w:pPr>
        <w:rPr>
          <w:b/>
          <w:noProof/>
          <w:szCs w:val="24"/>
          <w:lang w:val="sr-Cyrl-CS"/>
        </w:rPr>
      </w:pPr>
    </w:p>
    <w:p w:rsidR="00A55776" w:rsidRPr="009F5B52" w:rsidRDefault="00A55776" w:rsidP="0046476F">
      <w:pPr>
        <w:rPr>
          <w:b/>
          <w:noProof/>
          <w:szCs w:val="24"/>
          <w:lang w:val="sr-Cyrl-CS"/>
        </w:rPr>
      </w:pPr>
    </w:p>
    <w:p w:rsidR="0046476F" w:rsidRPr="009F5B52" w:rsidRDefault="0046476F" w:rsidP="0046476F">
      <w:pPr>
        <w:rPr>
          <w:noProof/>
          <w:szCs w:val="24"/>
          <w:lang w:val="sr-Cyrl-CS"/>
        </w:rPr>
      </w:pPr>
      <w:r w:rsidRPr="009F5B52">
        <w:rPr>
          <w:b/>
          <w:noProof/>
          <w:szCs w:val="24"/>
          <w:lang w:val="sr-Cyrl-CS"/>
        </w:rPr>
        <w:t xml:space="preserve">Нацрт </w:t>
      </w:r>
      <w:r w:rsidR="00177135" w:rsidRPr="009F5B52">
        <w:rPr>
          <w:b/>
          <w:noProof/>
          <w:szCs w:val="24"/>
          <w:lang w:val="sr-Cyrl-CS"/>
        </w:rPr>
        <w:t>о</w:t>
      </w:r>
      <w:r w:rsidRPr="009F5B52">
        <w:rPr>
          <w:b/>
          <w:noProof/>
          <w:szCs w:val="24"/>
          <w:lang w:val="sr-Cyrl-CS"/>
        </w:rPr>
        <w:t xml:space="preserve">перативног програма за развој људских ресурса у периоду </w:t>
      </w:r>
      <w:r w:rsidR="00177135" w:rsidRPr="009F5B52">
        <w:rPr>
          <w:b/>
          <w:noProof/>
          <w:szCs w:val="24"/>
          <w:lang w:val="sr-Cyrl-CS"/>
        </w:rPr>
        <w:t xml:space="preserve">од </w:t>
      </w:r>
      <w:r w:rsidRPr="009F5B52">
        <w:rPr>
          <w:b/>
          <w:noProof/>
          <w:szCs w:val="24"/>
          <w:lang w:val="sr-Cyrl-CS"/>
        </w:rPr>
        <w:t>2012 – 2013. годин</w:t>
      </w:r>
      <w:r w:rsidR="00177135" w:rsidRPr="009F5B52">
        <w:rPr>
          <w:b/>
          <w:noProof/>
          <w:szCs w:val="24"/>
          <w:lang w:val="sr-Cyrl-CS"/>
        </w:rPr>
        <w:t>е</w:t>
      </w:r>
      <w:r w:rsidRPr="009F5B52">
        <w:rPr>
          <w:noProof/>
          <w:szCs w:val="24"/>
          <w:lang w:val="sr-Cyrl-CS"/>
        </w:rPr>
        <w:t xml:space="preserve">, предвиђа две мере </w:t>
      </w:r>
      <w:r w:rsidR="00EC34AE" w:rsidRPr="009F5B52">
        <w:rPr>
          <w:noProof/>
          <w:szCs w:val="24"/>
          <w:lang w:val="sr-Cyrl-CS"/>
        </w:rPr>
        <w:t xml:space="preserve">директно </w:t>
      </w:r>
      <w:r w:rsidRPr="009F5B52">
        <w:rPr>
          <w:noProof/>
          <w:szCs w:val="24"/>
          <w:lang w:val="sr-Cyrl-CS"/>
        </w:rPr>
        <w:t>усмерене на социјално укључивање</w:t>
      </w:r>
      <w:r w:rsidR="00EC34AE" w:rsidRPr="009F5B52">
        <w:rPr>
          <w:noProof/>
          <w:szCs w:val="24"/>
          <w:lang w:val="sr-Cyrl-CS"/>
        </w:rPr>
        <w:t xml:space="preserve"> (иако и друге мере индиректно таргетирају социјално укључивање)</w:t>
      </w:r>
      <w:r w:rsidRPr="009F5B52">
        <w:rPr>
          <w:noProof/>
          <w:szCs w:val="24"/>
          <w:lang w:val="sr-Cyrl-CS"/>
        </w:rPr>
        <w:t>:</w:t>
      </w:r>
    </w:p>
    <w:p w:rsidR="00A55776" w:rsidRPr="009F5B52" w:rsidRDefault="00787409" w:rsidP="0046476F">
      <w:pPr>
        <w:pStyle w:val="ListParagraph"/>
        <w:numPr>
          <w:ilvl w:val="0"/>
          <w:numId w:val="48"/>
        </w:numPr>
        <w:rPr>
          <w:noProof/>
          <w:lang w:val="sr-Cyrl-CS"/>
        </w:rPr>
      </w:pPr>
      <w:r w:rsidRPr="009F5B52">
        <w:rPr>
          <w:noProof/>
          <w:lang w:val="sr-Cyrl-CS"/>
        </w:rPr>
        <w:t xml:space="preserve">подршку </w:t>
      </w:r>
      <w:r w:rsidR="0046476F" w:rsidRPr="009F5B52">
        <w:rPr>
          <w:noProof/>
          <w:lang w:val="sr-Cyrl-CS"/>
        </w:rPr>
        <w:t>процесу социјалног укључив</w:t>
      </w:r>
      <w:r w:rsidR="00177135" w:rsidRPr="009F5B52">
        <w:rPr>
          <w:noProof/>
          <w:lang w:val="sr-Cyrl-CS"/>
        </w:rPr>
        <w:t>а</w:t>
      </w:r>
      <w:r w:rsidR="0046476F" w:rsidRPr="009F5B52">
        <w:rPr>
          <w:noProof/>
          <w:lang w:val="sr-Cyrl-CS"/>
        </w:rPr>
        <w:t>ња путем веће диверзификације социјалних услуга у заједници у циљу јачања капацитета локалних самоуправа за предвођење политика социјалног укључивања засновани</w:t>
      </w:r>
      <w:r w:rsidR="00177135" w:rsidRPr="009F5B52">
        <w:rPr>
          <w:noProof/>
          <w:lang w:val="sr-Cyrl-CS"/>
        </w:rPr>
        <w:t>х</w:t>
      </w:r>
      <w:r w:rsidR="0046476F" w:rsidRPr="009F5B52">
        <w:rPr>
          <w:noProof/>
          <w:lang w:val="sr-Cyrl-CS"/>
        </w:rPr>
        <w:t xml:space="preserve"> на партнерствима и повећања спектра и квалитета социјалних услуга у заједници којима се обезбеђују мултисекторска решења за </w:t>
      </w:r>
      <w:r w:rsidR="00177135" w:rsidRPr="009F5B52">
        <w:rPr>
          <w:noProof/>
          <w:lang w:val="sr-Cyrl-CS"/>
        </w:rPr>
        <w:t>осетљиве</w:t>
      </w:r>
      <w:r w:rsidRPr="009F5B52">
        <w:rPr>
          <w:noProof/>
          <w:lang w:val="sr-Cyrl-CS"/>
        </w:rPr>
        <w:t xml:space="preserve"> групе</w:t>
      </w:r>
      <w:r w:rsidR="0046476F" w:rsidRPr="009F5B52">
        <w:rPr>
          <w:noProof/>
          <w:lang w:val="sr-Cyrl-CS"/>
        </w:rPr>
        <w:t xml:space="preserve"> и </w:t>
      </w:r>
      <w:r w:rsidRPr="009F5B52">
        <w:rPr>
          <w:noProof/>
          <w:lang w:val="sr-Cyrl-CS"/>
        </w:rPr>
        <w:t>социо-економско угрожено становништво</w:t>
      </w:r>
      <w:r w:rsidR="00A55776" w:rsidRPr="009F5B52">
        <w:rPr>
          <w:noProof/>
          <w:lang w:val="sr-Cyrl-CS"/>
        </w:rPr>
        <w:t>,</w:t>
      </w:r>
    </w:p>
    <w:p w:rsidR="00177135" w:rsidRPr="009F5B52" w:rsidRDefault="00787409" w:rsidP="0046476F">
      <w:pPr>
        <w:pStyle w:val="ListParagraph"/>
        <w:numPr>
          <w:ilvl w:val="0"/>
          <w:numId w:val="48"/>
        </w:numPr>
        <w:rPr>
          <w:noProof/>
          <w:lang w:val="sr-Cyrl-CS"/>
        </w:rPr>
      </w:pPr>
      <w:r w:rsidRPr="009F5B52">
        <w:rPr>
          <w:noProof/>
          <w:szCs w:val="24"/>
          <w:lang w:val="sr-Cyrl-CS"/>
        </w:rPr>
        <w:t xml:space="preserve">подршку </w:t>
      </w:r>
      <w:r w:rsidR="0046476F" w:rsidRPr="009F5B52">
        <w:rPr>
          <w:noProof/>
          <w:szCs w:val="24"/>
          <w:lang w:val="sr-Cyrl-CS"/>
        </w:rPr>
        <w:t xml:space="preserve">прелазу са социјалне помоћи на </w:t>
      </w:r>
      <w:r w:rsidR="00A55776" w:rsidRPr="009F5B52">
        <w:rPr>
          <w:noProof/>
          <w:szCs w:val="24"/>
          <w:lang w:val="sr-Cyrl-CS"/>
        </w:rPr>
        <w:t>тржиште рада</w:t>
      </w:r>
      <w:r w:rsidR="0046476F" w:rsidRPr="009F5B52">
        <w:rPr>
          <w:noProof/>
          <w:szCs w:val="24"/>
          <w:lang w:val="sr-Cyrl-CS"/>
        </w:rPr>
        <w:t xml:space="preserve"> путем активног укључивања у циљу повећања обухвата загарантованог минималног дохотка за </w:t>
      </w:r>
      <w:r w:rsidR="00177135" w:rsidRPr="009F5B52">
        <w:rPr>
          <w:noProof/>
          <w:szCs w:val="24"/>
          <w:lang w:val="sr-Cyrl-CS"/>
        </w:rPr>
        <w:t>социјално</w:t>
      </w:r>
      <w:r w:rsidR="0046476F" w:rsidRPr="009F5B52">
        <w:rPr>
          <w:noProof/>
          <w:szCs w:val="24"/>
          <w:lang w:val="sr-Cyrl-CS"/>
        </w:rPr>
        <w:t xml:space="preserve"> искључене категорије, и подстицање преласка са социјалне помоћи на рад путем активног укључивања и боље интегрисаних социјалних услуга и услуга запошљавања. </w:t>
      </w:r>
    </w:p>
    <w:p w:rsidR="0046476F" w:rsidRPr="009F5B52" w:rsidRDefault="0046476F" w:rsidP="0046476F">
      <w:pPr>
        <w:rPr>
          <w:szCs w:val="24"/>
          <w:lang w:val="sr-Cyrl-CS"/>
        </w:rPr>
      </w:pPr>
      <w:r w:rsidRPr="009F5B52">
        <w:rPr>
          <w:noProof/>
          <w:szCs w:val="24"/>
          <w:lang w:val="sr-Cyrl-CS"/>
        </w:rPr>
        <w:t>Остал</w:t>
      </w:r>
      <w:r w:rsidR="00177135" w:rsidRPr="009F5B52">
        <w:rPr>
          <w:noProof/>
          <w:szCs w:val="24"/>
          <w:lang w:val="sr-Cyrl-CS"/>
        </w:rPr>
        <w:t>е</w:t>
      </w:r>
      <w:r w:rsidRPr="009F5B52">
        <w:rPr>
          <w:noProof/>
          <w:szCs w:val="24"/>
          <w:lang w:val="sr-Cyrl-CS"/>
        </w:rPr>
        <w:t xml:space="preserve"> приоритет</w:t>
      </w:r>
      <w:r w:rsidR="00177135" w:rsidRPr="009F5B52">
        <w:rPr>
          <w:noProof/>
          <w:szCs w:val="24"/>
          <w:lang w:val="sr-Cyrl-CS"/>
        </w:rPr>
        <w:t>не осе</w:t>
      </w:r>
      <w:r w:rsidRPr="009F5B52">
        <w:rPr>
          <w:noProof/>
          <w:szCs w:val="24"/>
          <w:lang w:val="sr-Cyrl-CS"/>
        </w:rPr>
        <w:t xml:space="preserve"> и мере у оквиру Компоненте IV Инструмента за претприступну помоћ приказан</w:t>
      </w:r>
      <w:r w:rsidR="00177135" w:rsidRPr="009F5B52">
        <w:rPr>
          <w:noProof/>
          <w:szCs w:val="24"/>
          <w:lang w:val="sr-Cyrl-CS"/>
        </w:rPr>
        <w:t>е</w:t>
      </w:r>
      <w:r w:rsidRPr="009F5B52">
        <w:rPr>
          <w:noProof/>
          <w:szCs w:val="24"/>
          <w:lang w:val="sr-Cyrl-CS"/>
        </w:rPr>
        <w:t xml:space="preserve"> су у Анексу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46476F" w:rsidRPr="008365F6" w:rsidTr="0047484D">
        <w:trPr>
          <w:trHeight w:val="3950"/>
        </w:trPr>
        <w:tc>
          <w:tcPr>
            <w:tcW w:w="9243" w:type="dxa"/>
          </w:tcPr>
          <w:p w:rsidR="0046476F" w:rsidRPr="009F5B52" w:rsidRDefault="001E1921" w:rsidP="0046476F">
            <w:pPr>
              <w:autoSpaceDE w:val="0"/>
              <w:autoSpaceDN w:val="0"/>
              <w:adjustRightInd w:val="0"/>
              <w:rPr>
                <w:b/>
                <w:noProof/>
                <w:szCs w:val="24"/>
                <w:lang w:val="sr-Cyrl-CS"/>
              </w:rPr>
            </w:pPr>
            <w:r w:rsidRPr="009F5B52">
              <w:rPr>
                <w:b/>
                <w:noProof/>
                <w:szCs w:val="24"/>
                <w:lang w:val="sr-Cyrl-CS"/>
              </w:rPr>
              <w:t>Бокс</w:t>
            </w:r>
            <w:r w:rsidR="0046476F" w:rsidRPr="009F5B52">
              <w:rPr>
                <w:b/>
                <w:noProof/>
                <w:szCs w:val="24"/>
                <w:lang w:val="sr-Cyrl-CS"/>
              </w:rPr>
              <w:t xml:space="preserve"> </w:t>
            </w:r>
            <w:r w:rsidR="00EC34AE" w:rsidRPr="009F5B52">
              <w:rPr>
                <w:b/>
                <w:noProof/>
                <w:szCs w:val="24"/>
                <w:lang w:val="sr-Cyrl-CS"/>
              </w:rPr>
              <w:t>5</w:t>
            </w:r>
            <w:r w:rsidR="0046476F" w:rsidRPr="009F5B52">
              <w:rPr>
                <w:b/>
                <w:noProof/>
                <w:szCs w:val="24"/>
                <w:lang w:val="sr-Cyrl-CS"/>
              </w:rPr>
              <w:t xml:space="preserve">: ИПА према новој Финансијској перспективи за период </w:t>
            </w:r>
            <w:r w:rsidR="00177135" w:rsidRPr="009F5B52">
              <w:rPr>
                <w:b/>
                <w:noProof/>
                <w:szCs w:val="24"/>
                <w:lang w:val="sr-Cyrl-CS"/>
              </w:rPr>
              <w:t xml:space="preserve">од </w:t>
            </w:r>
            <w:r w:rsidR="0046476F" w:rsidRPr="009F5B52">
              <w:rPr>
                <w:b/>
                <w:noProof/>
                <w:szCs w:val="24"/>
                <w:lang w:val="sr-Cyrl-CS"/>
              </w:rPr>
              <w:t>2014-2020.</w:t>
            </w:r>
            <w:r w:rsidR="00177135" w:rsidRPr="009F5B52">
              <w:rPr>
                <w:b/>
                <w:noProof/>
                <w:szCs w:val="24"/>
                <w:lang w:val="sr-Cyrl-CS"/>
              </w:rPr>
              <w:t xml:space="preserve"> </w:t>
            </w:r>
            <w:r w:rsidR="0046476F" w:rsidRPr="009F5B52">
              <w:rPr>
                <w:b/>
                <w:noProof/>
                <w:szCs w:val="24"/>
                <w:lang w:val="sr-Cyrl-CS"/>
              </w:rPr>
              <w:t>годин</w:t>
            </w:r>
            <w:r w:rsidR="00177135" w:rsidRPr="009F5B52">
              <w:rPr>
                <w:b/>
                <w:noProof/>
                <w:szCs w:val="24"/>
                <w:lang w:val="sr-Cyrl-CS"/>
              </w:rPr>
              <w:t>е</w:t>
            </w:r>
            <w:r w:rsidR="0046476F" w:rsidRPr="009F5B52">
              <w:rPr>
                <w:b/>
                <w:noProof/>
                <w:szCs w:val="24"/>
                <w:lang w:val="sr-Cyrl-CS"/>
              </w:rPr>
              <w:t>а</w:t>
            </w:r>
          </w:p>
          <w:p w:rsidR="0046476F" w:rsidRPr="009F5B52" w:rsidRDefault="0046476F" w:rsidP="0046476F">
            <w:pPr>
              <w:autoSpaceDE w:val="0"/>
              <w:autoSpaceDN w:val="0"/>
              <w:adjustRightInd w:val="0"/>
              <w:rPr>
                <w:b/>
                <w:noProof/>
                <w:szCs w:val="24"/>
                <w:lang w:val="sr-Cyrl-CS"/>
              </w:rPr>
            </w:pPr>
            <w:r w:rsidRPr="009F5B52">
              <w:rPr>
                <w:noProof/>
                <w:szCs w:val="24"/>
                <w:lang w:val="sr-Cyrl-CS"/>
              </w:rPr>
              <w:t xml:space="preserve">Предлог Уредбе о Инструменту за претприступну помоћ (ИПА II) Европског парламента и Савета (7.12.2011.) (у даљем тексту </w:t>
            </w:r>
            <w:r w:rsidR="00E0770C" w:rsidRPr="009F5B52">
              <w:rPr>
                <w:bCs/>
                <w:noProof/>
                <w:szCs w:val="24"/>
                <w:lang w:val="sr-Cyrl-CS"/>
              </w:rPr>
              <w:t>„</w:t>
            </w:r>
            <w:r w:rsidRPr="009F5B52">
              <w:rPr>
                <w:noProof/>
                <w:szCs w:val="24"/>
                <w:lang w:val="sr-Cyrl-CS"/>
              </w:rPr>
              <w:t xml:space="preserve">Предлог”) представља снажну </w:t>
            </w:r>
            <w:r w:rsidR="00177135" w:rsidRPr="009F5B52">
              <w:rPr>
                <w:noProof/>
                <w:szCs w:val="24"/>
                <w:lang w:val="sr-Cyrl-CS"/>
              </w:rPr>
              <w:t>поруку</w:t>
            </w:r>
            <w:r w:rsidRPr="009F5B52">
              <w:rPr>
                <w:noProof/>
                <w:szCs w:val="24"/>
                <w:lang w:val="sr-Cyrl-CS"/>
              </w:rPr>
              <w:t xml:space="preserve"> да ће Европска унија наставити да пружа техничку и финансијску помоћ земљама кандидатима и потенцијалним кандидатима за чланство за усклађивање њихових институција и привреда</w:t>
            </w:r>
            <w:r w:rsidR="00177135" w:rsidRPr="009F5B52">
              <w:rPr>
                <w:noProof/>
                <w:szCs w:val="24"/>
                <w:lang w:val="sr-Cyrl-CS"/>
              </w:rPr>
              <w:t xml:space="preserve"> са</w:t>
            </w:r>
            <w:r w:rsidRPr="009F5B52">
              <w:rPr>
                <w:noProof/>
                <w:szCs w:val="24"/>
                <w:lang w:val="sr-Cyrl-CS"/>
              </w:rPr>
              <w:t xml:space="preserve"> стандардима и политикама Европске уније у складу са новом Финансијском перспективом за период </w:t>
            </w:r>
            <w:r w:rsidR="00177135" w:rsidRPr="009F5B52">
              <w:rPr>
                <w:noProof/>
                <w:szCs w:val="24"/>
                <w:lang w:val="sr-Cyrl-CS"/>
              </w:rPr>
              <w:t xml:space="preserve">од </w:t>
            </w:r>
            <w:r w:rsidRPr="009F5B52">
              <w:rPr>
                <w:noProof/>
                <w:szCs w:val="24"/>
                <w:lang w:val="sr-Cyrl-CS"/>
              </w:rPr>
              <w:t xml:space="preserve">2014-2020. </w:t>
            </w:r>
            <w:r w:rsidR="00177135" w:rsidRPr="009F5B52">
              <w:rPr>
                <w:noProof/>
                <w:szCs w:val="24"/>
                <w:lang w:val="sr-Cyrl-CS"/>
              </w:rPr>
              <w:t>године</w:t>
            </w:r>
            <w:r w:rsidRPr="009F5B52">
              <w:rPr>
                <w:noProof/>
                <w:szCs w:val="24"/>
                <w:lang w:val="sr-Cyrl-CS"/>
              </w:rPr>
              <w:t>.</w:t>
            </w:r>
          </w:p>
          <w:p w:rsidR="0046476F" w:rsidRPr="009F5B52" w:rsidRDefault="0046476F" w:rsidP="0046476F">
            <w:pPr>
              <w:autoSpaceDE w:val="0"/>
              <w:autoSpaceDN w:val="0"/>
              <w:adjustRightInd w:val="0"/>
              <w:rPr>
                <w:b/>
                <w:noProof/>
                <w:szCs w:val="24"/>
                <w:lang w:val="sr-Cyrl-CS"/>
              </w:rPr>
            </w:pPr>
            <w:r w:rsidRPr="009F5B52">
              <w:rPr>
                <w:noProof/>
                <w:szCs w:val="24"/>
                <w:lang w:val="sr-Cyrl-CS"/>
              </w:rPr>
              <w:t xml:space="preserve">Мада ће циљ новог Инструмента за претприступну помоћ остати непромењен: остваривање </w:t>
            </w:r>
            <w:r w:rsidR="00177135" w:rsidRPr="009F5B52">
              <w:rPr>
                <w:noProof/>
                <w:szCs w:val="24"/>
                <w:lang w:val="sr-Cyrl-CS"/>
              </w:rPr>
              <w:t>п</w:t>
            </w:r>
            <w:r w:rsidRPr="009F5B52">
              <w:rPr>
                <w:noProof/>
                <w:szCs w:val="24"/>
                <w:lang w:val="sr-Cyrl-CS"/>
              </w:rPr>
              <w:t xml:space="preserve">олитике проширења подршком земљама кандидатима и потенцијалним кандидатима да се припреме за чланство у Европској унији, остаје нејасно каква ће бити форма нове ИПА. Па ипак, већ је очигледно да ће се догодити неке промене. Неки од главних трендова који су наговештени у новом </w:t>
            </w:r>
            <w:r w:rsidR="001E60EE" w:rsidRPr="009F5B52">
              <w:rPr>
                <w:noProof/>
                <w:szCs w:val="24"/>
                <w:lang w:val="sr-Cyrl-CS"/>
              </w:rPr>
              <w:t>п</w:t>
            </w:r>
            <w:r w:rsidRPr="009F5B52">
              <w:rPr>
                <w:noProof/>
                <w:szCs w:val="24"/>
                <w:lang w:val="sr-Cyrl-CS"/>
              </w:rPr>
              <w:t>редлогу могу се сумирати на следећи начин:</w:t>
            </w:r>
          </w:p>
          <w:p w:rsidR="0046476F" w:rsidRPr="009F5B52" w:rsidRDefault="0046476F" w:rsidP="0046476F">
            <w:pPr>
              <w:pStyle w:val="ListParagraph"/>
              <w:numPr>
                <w:ilvl w:val="0"/>
                <w:numId w:val="16"/>
              </w:numPr>
              <w:autoSpaceDE w:val="0"/>
              <w:autoSpaceDN w:val="0"/>
              <w:adjustRightInd w:val="0"/>
              <w:rPr>
                <w:b/>
                <w:noProof/>
                <w:szCs w:val="24"/>
                <w:lang w:val="sr-Cyrl-CS"/>
              </w:rPr>
            </w:pPr>
            <w:r w:rsidRPr="009F5B52">
              <w:rPr>
                <w:b/>
                <w:noProof/>
                <w:szCs w:val="24"/>
                <w:lang w:val="sr-Cyrl-CS"/>
              </w:rPr>
              <w:t>Јачање секторског приступа</w:t>
            </w:r>
            <w:r w:rsidRPr="009F5B52">
              <w:rPr>
                <w:noProof/>
                <w:szCs w:val="24"/>
                <w:lang w:val="sr-Cyrl-CS"/>
              </w:rPr>
              <w:t xml:space="preserve"> </w:t>
            </w:r>
          </w:p>
          <w:p w:rsidR="006C5C45" w:rsidRPr="009F5B52" w:rsidRDefault="0046476F" w:rsidP="0046476F">
            <w:pPr>
              <w:pStyle w:val="ListParagraph"/>
              <w:numPr>
                <w:ilvl w:val="0"/>
                <w:numId w:val="16"/>
              </w:numPr>
              <w:autoSpaceDE w:val="0"/>
              <w:autoSpaceDN w:val="0"/>
              <w:adjustRightInd w:val="0"/>
              <w:rPr>
                <w:b/>
                <w:noProof/>
                <w:szCs w:val="24"/>
                <w:lang w:val="sr-Cyrl-CS"/>
              </w:rPr>
            </w:pPr>
            <w:r w:rsidRPr="009F5B52">
              <w:rPr>
                <w:b/>
                <w:noProof/>
                <w:szCs w:val="24"/>
                <w:lang w:val="sr-Cyrl-CS"/>
              </w:rPr>
              <w:t>Фокусирање на иновативне инструменте финансирања</w:t>
            </w:r>
            <w:r w:rsidRPr="009F5B52">
              <w:rPr>
                <w:noProof/>
                <w:szCs w:val="24"/>
                <w:lang w:val="sr-Cyrl-CS"/>
              </w:rPr>
              <w:t xml:space="preserve"> </w:t>
            </w:r>
          </w:p>
          <w:p w:rsidR="0046476F" w:rsidRPr="009F5B52" w:rsidRDefault="0046476F" w:rsidP="0046476F">
            <w:pPr>
              <w:pStyle w:val="ListParagraph"/>
              <w:numPr>
                <w:ilvl w:val="0"/>
                <w:numId w:val="16"/>
              </w:numPr>
              <w:autoSpaceDE w:val="0"/>
              <w:autoSpaceDN w:val="0"/>
              <w:adjustRightInd w:val="0"/>
              <w:rPr>
                <w:b/>
                <w:noProof/>
                <w:szCs w:val="24"/>
                <w:lang w:val="sr-Cyrl-CS"/>
              </w:rPr>
            </w:pPr>
            <w:r w:rsidRPr="009F5B52">
              <w:rPr>
                <w:b/>
                <w:noProof/>
                <w:szCs w:val="24"/>
                <w:lang w:val="sr-Cyrl-CS"/>
              </w:rPr>
              <w:t xml:space="preserve">Приступ различитим видовима помоћи </w:t>
            </w:r>
            <w:r w:rsidR="001E60EE" w:rsidRPr="009F5B52">
              <w:rPr>
                <w:b/>
                <w:noProof/>
                <w:szCs w:val="24"/>
                <w:lang w:val="sr-Cyrl-CS"/>
              </w:rPr>
              <w:t>независно</w:t>
            </w:r>
            <w:r w:rsidRPr="009F5B52">
              <w:rPr>
                <w:b/>
                <w:noProof/>
                <w:szCs w:val="24"/>
                <w:lang w:val="sr-Cyrl-CS"/>
              </w:rPr>
              <w:t xml:space="preserve"> од статуса </w:t>
            </w:r>
            <w:r w:rsidRPr="009F5B52">
              <w:rPr>
                <w:b/>
                <w:noProof/>
                <w:szCs w:val="24"/>
                <w:lang w:val="sr-Cyrl-CS"/>
              </w:rPr>
              <w:lastRenderedPageBreak/>
              <w:t>кандидата/потенцијалног кандидата</w:t>
            </w:r>
          </w:p>
          <w:p w:rsidR="0046476F" w:rsidRPr="009F5B52" w:rsidRDefault="0046476F" w:rsidP="0046476F">
            <w:pPr>
              <w:pStyle w:val="ListParagraph"/>
              <w:numPr>
                <w:ilvl w:val="0"/>
                <w:numId w:val="16"/>
              </w:numPr>
              <w:autoSpaceDE w:val="0"/>
              <w:autoSpaceDN w:val="0"/>
              <w:adjustRightInd w:val="0"/>
              <w:rPr>
                <w:b/>
                <w:noProof/>
                <w:szCs w:val="24"/>
                <w:lang w:val="sr-Cyrl-CS"/>
              </w:rPr>
            </w:pPr>
            <w:r w:rsidRPr="009F5B52">
              <w:rPr>
                <w:b/>
                <w:noProof/>
                <w:szCs w:val="24"/>
                <w:lang w:val="sr-Cyrl-CS"/>
              </w:rPr>
              <w:t>Увођење вишегодишњег планирања да би се покрило трајање наредног ви</w:t>
            </w:r>
            <w:r w:rsidR="006C5C45" w:rsidRPr="009F5B52">
              <w:rPr>
                <w:b/>
                <w:noProof/>
                <w:szCs w:val="24"/>
                <w:lang w:val="sr-Cyrl-CS"/>
              </w:rPr>
              <w:t>шегодишњег финансијског оквира</w:t>
            </w:r>
          </w:p>
          <w:p w:rsidR="0046476F" w:rsidRPr="009F5B52" w:rsidRDefault="0046476F" w:rsidP="0046476F">
            <w:pPr>
              <w:rPr>
                <w:noProof/>
                <w:szCs w:val="24"/>
                <w:lang w:val="sr-Cyrl-CS"/>
              </w:rPr>
            </w:pPr>
            <w:r w:rsidRPr="009F5B52">
              <w:rPr>
                <w:noProof/>
                <w:szCs w:val="24"/>
                <w:lang w:val="sr-Cyrl-CS"/>
              </w:rPr>
              <w:t>Могуће импликације за процес социјалног укључивања:</w:t>
            </w:r>
          </w:p>
          <w:p w:rsidR="0046476F" w:rsidRPr="009F5B52" w:rsidRDefault="0046476F" w:rsidP="0046476F">
            <w:pPr>
              <w:pStyle w:val="ListParagraph"/>
              <w:numPr>
                <w:ilvl w:val="0"/>
                <w:numId w:val="17"/>
              </w:numPr>
              <w:rPr>
                <w:noProof/>
                <w:szCs w:val="24"/>
                <w:lang w:val="sr-Cyrl-CS"/>
              </w:rPr>
            </w:pPr>
            <w:r w:rsidRPr="009F5B52">
              <w:rPr>
                <w:noProof/>
                <w:szCs w:val="24"/>
                <w:lang w:val="sr-Cyrl-CS"/>
              </w:rPr>
              <w:t>Социјално укључивање ће вероватно остати под Развојем људских ресурса</w:t>
            </w:r>
            <w:r w:rsidR="001E60EE" w:rsidRPr="009F5B52">
              <w:rPr>
                <w:noProof/>
                <w:szCs w:val="24"/>
                <w:lang w:val="sr-Cyrl-CS"/>
              </w:rPr>
              <w:t>, који ће вероватно</w:t>
            </w:r>
            <w:r w:rsidRPr="009F5B52">
              <w:rPr>
                <w:noProof/>
                <w:szCs w:val="24"/>
                <w:lang w:val="sr-Cyrl-CS"/>
              </w:rPr>
              <w:t xml:space="preserve"> постати сектор – у оквиру секторског приступа планирању</w:t>
            </w:r>
          </w:p>
          <w:p w:rsidR="0046476F" w:rsidRPr="009F5B52" w:rsidRDefault="0046476F" w:rsidP="001E60EE">
            <w:pPr>
              <w:pStyle w:val="ListParagraph"/>
              <w:numPr>
                <w:ilvl w:val="0"/>
                <w:numId w:val="17"/>
              </w:numPr>
              <w:rPr>
                <w:noProof/>
                <w:szCs w:val="24"/>
                <w:lang w:val="sr-Cyrl-CS"/>
              </w:rPr>
            </w:pPr>
            <w:r w:rsidRPr="009F5B52">
              <w:rPr>
                <w:noProof/>
                <w:szCs w:val="24"/>
                <w:lang w:val="sr-Cyrl-CS"/>
              </w:rPr>
              <w:t xml:space="preserve">Координација политика/програмирање и </w:t>
            </w:r>
            <w:r w:rsidR="001E60EE" w:rsidRPr="009F5B52">
              <w:rPr>
                <w:noProof/>
                <w:szCs w:val="24"/>
                <w:lang w:val="sr-Cyrl-CS"/>
              </w:rPr>
              <w:t>спровођење</w:t>
            </w:r>
            <w:r w:rsidRPr="009F5B52">
              <w:rPr>
                <w:noProof/>
                <w:szCs w:val="24"/>
                <w:lang w:val="sr-Cyrl-CS"/>
              </w:rPr>
              <w:t xml:space="preserve"> политик</w:t>
            </w:r>
            <w:r w:rsidR="001E60EE" w:rsidRPr="009F5B52">
              <w:rPr>
                <w:noProof/>
                <w:szCs w:val="24"/>
                <w:lang w:val="sr-Cyrl-CS"/>
              </w:rPr>
              <w:t>а</w:t>
            </w:r>
            <w:r w:rsidRPr="009F5B52">
              <w:rPr>
                <w:noProof/>
                <w:szCs w:val="24"/>
                <w:lang w:val="sr-Cyrl-CS"/>
              </w:rPr>
              <w:t xml:space="preserve"> социјалног укључивања мораће бити појачани услед дужих интервала програмирања (од 3 до 7 година – да се покрије цео буџетски циклус ЕУ), </w:t>
            </w:r>
            <w:r w:rsidR="001E60EE" w:rsidRPr="009F5B52">
              <w:rPr>
                <w:noProof/>
                <w:szCs w:val="24"/>
                <w:lang w:val="sr-Cyrl-CS"/>
              </w:rPr>
              <w:t xml:space="preserve">са </w:t>
            </w:r>
            <w:r w:rsidRPr="009F5B52">
              <w:rPr>
                <w:noProof/>
                <w:szCs w:val="24"/>
                <w:lang w:val="sr-Cyrl-CS"/>
              </w:rPr>
              <w:t>нагласк</w:t>
            </w:r>
            <w:r w:rsidR="001E60EE" w:rsidRPr="009F5B52">
              <w:rPr>
                <w:noProof/>
                <w:szCs w:val="24"/>
                <w:lang w:val="sr-Cyrl-CS"/>
              </w:rPr>
              <w:t>ом</w:t>
            </w:r>
            <w:r w:rsidRPr="009F5B52">
              <w:rPr>
                <w:noProof/>
                <w:szCs w:val="24"/>
                <w:lang w:val="sr-Cyrl-CS"/>
              </w:rPr>
              <w:t xml:space="preserve"> на секторск</w:t>
            </w:r>
            <w:r w:rsidR="001E60EE" w:rsidRPr="009F5B52">
              <w:rPr>
                <w:noProof/>
                <w:szCs w:val="24"/>
                <w:lang w:val="sr-Cyrl-CS"/>
              </w:rPr>
              <w:t>ом</w:t>
            </w:r>
            <w:r w:rsidRPr="009F5B52">
              <w:rPr>
                <w:noProof/>
                <w:szCs w:val="24"/>
                <w:lang w:val="sr-Cyrl-CS"/>
              </w:rPr>
              <w:t xml:space="preserve"> приступ</w:t>
            </w:r>
            <w:r w:rsidR="001E60EE" w:rsidRPr="009F5B52">
              <w:rPr>
                <w:noProof/>
                <w:szCs w:val="24"/>
                <w:lang w:val="sr-Cyrl-CS"/>
              </w:rPr>
              <w:t>у</w:t>
            </w:r>
            <w:r w:rsidRPr="009F5B52">
              <w:rPr>
                <w:noProof/>
                <w:szCs w:val="24"/>
                <w:lang w:val="sr-Cyrl-CS"/>
              </w:rPr>
              <w:t xml:space="preserve"> планирању и предложено</w:t>
            </w:r>
            <w:r w:rsidR="001E60EE" w:rsidRPr="009F5B52">
              <w:rPr>
                <w:noProof/>
                <w:szCs w:val="24"/>
                <w:lang w:val="sr-Cyrl-CS"/>
              </w:rPr>
              <w:t>м</w:t>
            </w:r>
            <w:r w:rsidRPr="009F5B52">
              <w:rPr>
                <w:noProof/>
                <w:szCs w:val="24"/>
                <w:lang w:val="sr-Cyrl-CS"/>
              </w:rPr>
              <w:t xml:space="preserve"> повећањ</w:t>
            </w:r>
            <w:r w:rsidR="001E60EE" w:rsidRPr="009F5B52">
              <w:rPr>
                <w:noProof/>
                <w:szCs w:val="24"/>
                <w:lang w:val="sr-Cyrl-CS"/>
              </w:rPr>
              <w:t>у</w:t>
            </w:r>
            <w:r w:rsidRPr="009F5B52">
              <w:rPr>
                <w:noProof/>
                <w:szCs w:val="24"/>
                <w:lang w:val="sr-Cyrl-CS"/>
              </w:rPr>
              <w:t xml:space="preserve"> удруживања различитих извора финансирања.</w:t>
            </w:r>
          </w:p>
        </w:tc>
      </w:tr>
    </w:tbl>
    <w:p w:rsidR="0046476F" w:rsidRPr="009F5B52" w:rsidRDefault="008D62BD" w:rsidP="0046476F">
      <w:pPr>
        <w:pStyle w:val="Heading3"/>
        <w:rPr>
          <w:noProof/>
          <w:lang w:val="sr-Cyrl-CS"/>
        </w:rPr>
      </w:pPr>
      <w:bookmarkStart w:id="30" w:name="_Toc330562302"/>
      <w:bookmarkStart w:id="31" w:name="_Toc327447114"/>
      <w:r w:rsidRPr="009F5B52">
        <w:rPr>
          <w:noProof/>
          <w:lang w:val="sr-Cyrl-CS"/>
        </w:rPr>
        <w:lastRenderedPageBreak/>
        <w:t>2</w:t>
      </w:r>
      <w:r w:rsidR="0046476F" w:rsidRPr="009F5B52">
        <w:rPr>
          <w:noProof/>
          <w:lang w:val="sr-Cyrl-CS"/>
        </w:rPr>
        <w:t>.1.3. Децентрализован</w:t>
      </w:r>
      <w:r w:rsidR="00C41BC0" w:rsidRPr="009F5B52">
        <w:rPr>
          <w:noProof/>
          <w:lang w:val="sr-Cyrl-CS"/>
        </w:rPr>
        <w:t>о</w:t>
      </w:r>
      <w:r w:rsidR="0046476F" w:rsidRPr="009F5B52">
        <w:rPr>
          <w:noProof/>
          <w:lang w:val="sr-Cyrl-CS"/>
        </w:rPr>
        <w:t xml:space="preserve"> управљањ</w:t>
      </w:r>
      <w:r w:rsidR="00C41BC0" w:rsidRPr="009F5B52">
        <w:rPr>
          <w:noProof/>
          <w:lang w:val="sr-Cyrl-CS"/>
        </w:rPr>
        <w:t>е</w:t>
      </w:r>
      <w:r w:rsidR="0046476F" w:rsidRPr="009F5B52">
        <w:rPr>
          <w:noProof/>
          <w:lang w:val="sr-Cyrl-CS"/>
        </w:rPr>
        <w:t xml:space="preserve"> фондовима ЕУ</w:t>
      </w:r>
      <w:bookmarkEnd w:id="30"/>
      <w:r w:rsidR="0046476F" w:rsidRPr="009F5B52">
        <w:rPr>
          <w:noProof/>
          <w:lang w:val="sr-Cyrl-CS"/>
        </w:rPr>
        <w:t xml:space="preserve"> </w:t>
      </w:r>
      <w:bookmarkEnd w:id="31"/>
    </w:p>
    <w:p w:rsidR="0046476F" w:rsidRPr="009F5B52" w:rsidRDefault="00C41BC0" w:rsidP="0046476F">
      <w:pPr>
        <w:rPr>
          <w:noProof/>
          <w:szCs w:val="24"/>
          <w:lang w:val="sr-Cyrl-CS"/>
        </w:rPr>
      </w:pPr>
      <w:r w:rsidRPr="009F5B52">
        <w:rPr>
          <w:noProof/>
          <w:szCs w:val="24"/>
          <w:lang w:val="sr-Cyrl-CS"/>
        </w:rPr>
        <w:t>П</w:t>
      </w:r>
      <w:r w:rsidR="0046476F" w:rsidRPr="009F5B52">
        <w:rPr>
          <w:noProof/>
          <w:szCs w:val="24"/>
          <w:lang w:val="sr-Cyrl-CS"/>
        </w:rPr>
        <w:t xml:space="preserve">ренос овлашћења </w:t>
      </w:r>
      <w:r w:rsidR="001E60EE" w:rsidRPr="009F5B52">
        <w:rPr>
          <w:noProof/>
          <w:szCs w:val="24"/>
          <w:lang w:val="sr-Cyrl-CS"/>
        </w:rPr>
        <w:t xml:space="preserve">за управљање </w:t>
      </w:r>
      <w:r w:rsidR="0046476F" w:rsidRPr="009F5B52">
        <w:rPr>
          <w:noProof/>
          <w:szCs w:val="24"/>
          <w:lang w:val="sr-Cyrl-CS"/>
        </w:rPr>
        <w:t>са ЕУ на националне структуре захтева</w:t>
      </w:r>
      <w:r w:rsidRPr="009F5B52">
        <w:rPr>
          <w:noProof/>
          <w:szCs w:val="24"/>
          <w:lang w:val="sr-Cyrl-CS"/>
        </w:rPr>
        <w:t>о је</w:t>
      </w:r>
      <w:r w:rsidR="0046476F" w:rsidRPr="009F5B52">
        <w:rPr>
          <w:noProof/>
          <w:szCs w:val="24"/>
          <w:lang w:val="sr-Cyrl-CS"/>
        </w:rPr>
        <w:t xml:space="preserve"> успостављање и обезбеђење ресурса у институцијама Србије за ИПА </w:t>
      </w:r>
      <w:r w:rsidR="00497BB9" w:rsidRPr="009F5B52">
        <w:rPr>
          <w:noProof/>
          <w:szCs w:val="24"/>
          <w:lang w:val="sr-Cyrl-CS"/>
        </w:rPr>
        <w:t>к</w:t>
      </w:r>
      <w:r w:rsidR="0046476F" w:rsidRPr="009F5B52">
        <w:rPr>
          <w:noProof/>
          <w:szCs w:val="24"/>
          <w:lang w:val="sr-Cyrl-CS"/>
        </w:rPr>
        <w:t xml:space="preserve">омпоненте </w:t>
      </w:r>
      <w:smartTag w:uri="urn:schemas-microsoft-com:office:smarttags" w:element="stockticker">
        <w:r w:rsidR="0046476F" w:rsidRPr="009F5B52">
          <w:rPr>
            <w:noProof/>
            <w:szCs w:val="24"/>
            <w:lang w:val="sr-Cyrl-CS"/>
          </w:rPr>
          <w:t>III</w:t>
        </w:r>
      </w:smartTag>
      <w:r w:rsidR="0046476F" w:rsidRPr="009F5B52">
        <w:rPr>
          <w:noProof/>
          <w:szCs w:val="24"/>
          <w:lang w:val="sr-Cyrl-CS"/>
        </w:rPr>
        <w:t xml:space="preserve"> и IV, израду система и планова контроле; спровођење консултација о предложеном устројству система, организацију и управљање ризиком, међуинституционалне договоре и писане процедуре. </w:t>
      </w:r>
    </w:p>
    <w:p w:rsidR="0046476F" w:rsidRPr="009F5B52" w:rsidRDefault="0046476F" w:rsidP="0046476F">
      <w:pPr>
        <w:rPr>
          <w:noProof/>
          <w:szCs w:val="24"/>
          <w:lang w:val="sr-Cyrl-CS"/>
        </w:rPr>
      </w:pPr>
      <w:r w:rsidRPr="009F5B52">
        <w:rPr>
          <w:noProof/>
          <w:szCs w:val="24"/>
          <w:lang w:val="sr-Cyrl-CS"/>
        </w:rPr>
        <w:t>Према постојећем институционалном устројству релевантном за ИПА Компоненту IV, све мере социјалног укључивања спроводиће успостављена Оперативна структура (ОС) коју чине:</w:t>
      </w:r>
    </w:p>
    <w:p w:rsidR="0046476F" w:rsidRPr="009F5B52" w:rsidRDefault="0046476F" w:rsidP="0046476F">
      <w:pPr>
        <w:pStyle w:val="ListParagraph"/>
        <w:rPr>
          <w:noProof/>
          <w:lang w:val="sr-Cyrl-CS"/>
        </w:rPr>
      </w:pPr>
      <w:r w:rsidRPr="009F5B52">
        <w:rPr>
          <w:noProof/>
          <w:lang w:val="sr-Cyrl-CS"/>
        </w:rPr>
        <w:t>•</w:t>
      </w:r>
      <w:r w:rsidRPr="009F5B52">
        <w:rPr>
          <w:noProof/>
          <w:lang w:val="sr-Cyrl-CS"/>
        </w:rPr>
        <w:tab/>
        <w:t xml:space="preserve">Министарство </w:t>
      </w:r>
      <w:r w:rsidR="000F6C2E" w:rsidRPr="009F5B52">
        <w:rPr>
          <w:noProof/>
          <w:lang w:val="sr-Cyrl-CS"/>
        </w:rPr>
        <w:t>економије</w:t>
      </w:r>
      <w:r w:rsidRPr="009F5B52">
        <w:rPr>
          <w:noProof/>
          <w:lang w:val="sr-Cyrl-CS"/>
        </w:rPr>
        <w:t xml:space="preserve"> и регионалног развоја</w:t>
      </w:r>
    </w:p>
    <w:p w:rsidR="0046476F" w:rsidRPr="009F5B52" w:rsidRDefault="0046476F" w:rsidP="0046476F">
      <w:pPr>
        <w:pStyle w:val="ListParagraph"/>
        <w:rPr>
          <w:noProof/>
          <w:lang w:val="sr-Cyrl-CS"/>
        </w:rPr>
      </w:pPr>
      <w:r w:rsidRPr="009F5B52">
        <w:rPr>
          <w:noProof/>
          <w:lang w:val="sr-Cyrl-CS"/>
        </w:rPr>
        <w:t>•</w:t>
      </w:r>
      <w:r w:rsidRPr="009F5B52">
        <w:rPr>
          <w:noProof/>
          <w:lang w:val="sr-Cyrl-CS"/>
        </w:rPr>
        <w:tab/>
        <w:t xml:space="preserve">Министарство просвете и </w:t>
      </w:r>
      <w:r w:rsidR="00497BB9" w:rsidRPr="009F5B52">
        <w:rPr>
          <w:noProof/>
          <w:lang w:val="sr-Cyrl-CS"/>
        </w:rPr>
        <w:t>науке</w:t>
      </w:r>
    </w:p>
    <w:p w:rsidR="0046476F" w:rsidRPr="009F5B52" w:rsidRDefault="0046476F" w:rsidP="0046476F">
      <w:pPr>
        <w:pStyle w:val="ListParagraph"/>
        <w:rPr>
          <w:noProof/>
          <w:lang w:val="sr-Cyrl-CS"/>
        </w:rPr>
      </w:pPr>
      <w:r w:rsidRPr="009F5B52">
        <w:rPr>
          <w:noProof/>
          <w:lang w:val="sr-Cyrl-CS"/>
        </w:rPr>
        <w:t>•</w:t>
      </w:r>
      <w:r w:rsidRPr="009F5B52">
        <w:rPr>
          <w:noProof/>
          <w:lang w:val="sr-Cyrl-CS"/>
        </w:rPr>
        <w:tab/>
        <w:t>Министарство рад</w:t>
      </w:r>
      <w:r w:rsidR="000F6C2E" w:rsidRPr="009F5B52">
        <w:rPr>
          <w:noProof/>
          <w:lang w:val="sr-Cyrl-CS"/>
        </w:rPr>
        <w:t>а</w:t>
      </w:r>
      <w:r w:rsidRPr="009F5B52">
        <w:rPr>
          <w:noProof/>
          <w:lang w:val="sr-Cyrl-CS"/>
        </w:rPr>
        <w:t xml:space="preserve"> и социјалн</w:t>
      </w:r>
      <w:r w:rsidR="000F6C2E" w:rsidRPr="009F5B52">
        <w:rPr>
          <w:noProof/>
          <w:lang w:val="sr-Cyrl-CS"/>
        </w:rPr>
        <w:t>е</w:t>
      </w:r>
      <w:r w:rsidRPr="009F5B52">
        <w:rPr>
          <w:noProof/>
          <w:lang w:val="sr-Cyrl-CS"/>
        </w:rPr>
        <w:t xml:space="preserve"> политик</w:t>
      </w:r>
      <w:r w:rsidR="000F6C2E" w:rsidRPr="009F5B52">
        <w:rPr>
          <w:noProof/>
          <w:lang w:val="sr-Cyrl-CS"/>
        </w:rPr>
        <w:t>е</w:t>
      </w:r>
    </w:p>
    <w:p w:rsidR="0046476F" w:rsidRPr="009F5B52" w:rsidRDefault="0046476F" w:rsidP="00E0770C">
      <w:pPr>
        <w:pStyle w:val="ListParagraph"/>
        <w:ind w:left="1440" w:hanging="720"/>
        <w:rPr>
          <w:noProof/>
          <w:lang w:val="sr-Cyrl-CS"/>
        </w:rPr>
      </w:pPr>
      <w:r w:rsidRPr="009F5B52">
        <w:rPr>
          <w:noProof/>
          <w:lang w:val="sr-Cyrl-CS"/>
        </w:rPr>
        <w:t>•</w:t>
      </w:r>
      <w:r w:rsidRPr="009F5B52">
        <w:rPr>
          <w:noProof/>
          <w:lang w:val="sr-Cyrl-CS"/>
        </w:rPr>
        <w:tab/>
        <w:t xml:space="preserve">Министарство финансија – Централна јединица за финансирање и уговарање пројеката које финансира ЕУ </w:t>
      </w:r>
    </w:p>
    <w:p w:rsidR="0046476F" w:rsidRPr="009F5B52" w:rsidRDefault="0046476F" w:rsidP="0046476F">
      <w:pPr>
        <w:rPr>
          <w:szCs w:val="24"/>
          <w:lang w:val="sr-Cyrl-CS"/>
        </w:rPr>
      </w:pPr>
      <w:r w:rsidRPr="009F5B52">
        <w:rPr>
          <w:noProof/>
          <w:szCs w:val="24"/>
          <w:lang w:val="sr-Cyrl-CS"/>
        </w:rPr>
        <w:t xml:space="preserve">Органиграм </w:t>
      </w:r>
      <w:r w:rsidR="00497BB9" w:rsidRPr="009F5B52">
        <w:rPr>
          <w:noProof/>
          <w:szCs w:val="24"/>
          <w:lang w:val="sr-Cyrl-CS"/>
        </w:rPr>
        <w:t>Оперативне</w:t>
      </w:r>
      <w:r w:rsidRPr="009F5B52">
        <w:rPr>
          <w:noProof/>
          <w:szCs w:val="24"/>
          <w:lang w:val="sr-Cyrl-CS"/>
        </w:rPr>
        <w:t xml:space="preserve"> структуре који следи представља поделу одговорности за Оперативни програм, </w:t>
      </w:r>
      <w:r w:rsidR="00497BB9" w:rsidRPr="009F5B52">
        <w:rPr>
          <w:noProof/>
          <w:szCs w:val="24"/>
          <w:lang w:val="sr-Cyrl-CS"/>
        </w:rPr>
        <w:t>приоритетне осе</w:t>
      </w:r>
      <w:r w:rsidRPr="009F5B52">
        <w:rPr>
          <w:noProof/>
          <w:szCs w:val="24"/>
          <w:lang w:val="sr-Cyrl-CS"/>
        </w:rPr>
        <w:t xml:space="preserve">, </w:t>
      </w:r>
      <w:r w:rsidR="00497BB9" w:rsidRPr="009F5B52">
        <w:rPr>
          <w:noProof/>
          <w:szCs w:val="24"/>
          <w:lang w:val="sr-Cyrl-CS"/>
        </w:rPr>
        <w:t>м</w:t>
      </w:r>
      <w:r w:rsidRPr="009F5B52">
        <w:rPr>
          <w:noProof/>
          <w:szCs w:val="24"/>
          <w:lang w:val="sr-Cyrl-CS"/>
        </w:rPr>
        <w:t xml:space="preserve">ере и </w:t>
      </w:r>
      <w:r w:rsidR="00497BB9" w:rsidRPr="009F5B52">
        <w:rPr>
          <w:noProof/>
          <w:szCs w:val="24"/>
          <w:lang w:val="sr-Cyrl-CS"/>
        </w:rPr>
        <w:t>у</w:t>
      </w:r>
      <w:r w:rsidRPr="009F5B52">
        <w:rPr>
          <w:noProof/>
          <w:szCs w:val="24"/>
          <w:lang w:val="sr-Cyrl-CS"/>
        </w:rPr>
        <w:t xml:space="preserve">говарање и </w:t>
      </w:r>
      <w:r w:rsidR="00497BB9" w:rsidRPr="009F5B52">
        <w:rPr>
          <w:noProof/>
          <w:szCs w:val="24"/>
          <w:lang w:val="sr-Cyrl-CS"/>
        </w:rPr>
        <w:t>с</w:t>
      </w:r>
      <w:r w:rsidRPr="009F5B52">
        <w:rPr>
          <w:noProof/>
          <w:szCs w:val="24"/>
          <w:lang w:val="sr-Cyrl-CS"/>
        </w:rPr>
        <w:t>провођење. Сваки орган такође садржи и јединицу за интерну ревизију која ће бити надлежна за спровођење редовних независних прегледа функционисања система управљања и контроле ИПА IV у оквиру министарстава</w:t>
      </w:r>
      <w:r w:rsidR="00497BB9" w:rsidRPr="009F5B52">
        <w:rPr>
          <w:noProof/>
          <w:szCs w:val="24"/>
          <w:lang w:val="sr-Cyrl-CS"/>
        </w:rPr>
        <w:t>,</w:t>
      </w:r>
      <w:r w:rsidRPr="009F5B52">
        <w:rPr>
          <w:noProof/>
          <w:szCs w:val="24"/>
          <w:lang w:val="sr-Cyrl-CS"/>
        </w:rPr>
        <w:t xml:space="preserve"> а у складу са Чланом 28. (Уредба о спровођењу ИПА и </w:t>
      </w:r>
      <w:r w:rsidR="00497BB9" w:rsidRPr="009F5B52">
        <w:rPr>
          <w:noProof/>
          <w:szCs w:val="24"/>
          <w:lang w:val="sr-Cyrl-CS"/>
        </w:rPr>
        <w:t>к</w:t>
      </w:r>
      <w:r w:rsidRPr="009F5B52">
        <w:rPr>
          <w:noProof/>
          <w:szCs w:val="24"/>
          <w:lang w:val="sr-Cyrl-CS"/>
        </w:rPr>
        <w:t>ритеријуми за акредитацију).</w:t>
      </w:r>
    </w:p>
    <w:p w:rsidR="009F0E5B" w:rsidRPr="009F5B52" w:rsidRDefault="002D461C" w:rsidP="0046476F">
      <w:pPr>
        <w:jc w:val="center"/>
        <w:rPr>
          <w:noProof/>
          <w:szCs w:val="24"/>
          <w:lang w:val="sr-Cyrl-CS"/>
        </w:rPr>
      </w:pPr>
      <w:r w:rsidRPr="009F5B52">
        <w:rPr>
          <w:noProof/>
          <w:lang w:val="sr-Cyrl-RS" w:eastAsia="sr-Cyrl-RS"/>
        </w:rPr>
        <w:lastRenderedPageBreak/>
        <w:drawing>
          <wp:inline distT="0" distB="0" distL="0" distR="0" wp14:anchorId="03E13FFF" wp14:editId="7360C46B">
            <wp:extent cx="5732145" cy="3546459"/>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a op po min.tif"/>
                    <pic:cNvPicPr/>
                  </pic:nvPicPr>
                  <pic:blipFill>
                    <a:blip r:embed="rId12">
                      <a:extLst>
                        <a:ext uri="{28A0092B-C50C-407E-A947-70E740481C1C}">
                          <a14:useLocalDpi xmlns:a14="http://schemas.microsoft.com/office/drawing/2010/main" val="0"/>
                        </a:ext>
                      </a:extLst>
                    </a:blip>
                    <a:stretch>
                      <a:fillRect/>
                    </a:stretch>
                  </pic:blipFill>
                  <pic:spPr>
                    <a:xfrm>
                      <a:off x="0" y="0"/>
                      <a:ext cx="5732145" cy="3546459"/>
                    </a:xfrm>
                    <a:prstGeom prst="rect">
                      <a:avLst/>
                    </a:prstGeom>
                  </pic:spPr>
                </pic:pic>
              </a:graphicData>
            </a:graphic>
          </wp:inline>
        </w:drawing>
      </w:r>
    </w:p>
    <w:p w:rsidR="0046476F" w:rsidRPr="009F5B52" w:rsidRDefault="0046476F" w:rsidP="0046476F">
      <w:pPr>
        <w:jc w:val="center"/>
        <w:rPr>
          <w:noProof/>
          <w:szCs w:val="24"/>
          <w:lang w:val="sr-Cyrl-CS"/>
        </w:rPr>
      </w:pPr>
      <w:r w:rsidRPr="009F5B52">
        <w:rPr>
          <w:noProof/>
          <w:szCs w:val="24"/>
          <w:lang w:val="sr-Cyrl-CS"/>
        </w:rPr>
        <w:t xml:space="preserve">Слика </w:t>
      </w:r>
      <w:r w:rsidR="006C2C68" w:rsidRPr="009F5B52">
        <w:rPr>
          <w:noProof/>
          <w:szCs w:val="24"/>
          <w:lang w:val="sr-Cyrl-CS"/>
        </w:rPr>
        <w:t>1</w:t>
      </w:r>
      <w:r w:rsidRPr="009F5B52">
        <w:rPr>
          <w:noProof/>
          <w:szCs w:val="24"/>
          <w:lang w:val="sr-Cyrl-CS"/>
        </w:rPr>
        <w:t>: Приказ организаци</w:t>
      </w:r>
      <w:r w:rsidR="000F6C2E" w:rsidRPr="009F5B52">
        <w:rPr>
          <w:noProof/>
          <w:szCs w:val="24"/>
          <w:lang w:val="sr-Cyrl-CS"/>
        </w:rPr>
        <w:t>о</w:t>
      </w:r>
      <w:r w:rsidRPr="009F5B52">
        <w:rPr>
          <w:noProof/>
          <w:szCs w:val="24"/>
          <w:lang w:val="sr-Cyrl-CS"/>
        </w:rPr>
        <w:t xml:space="preserve">них надлежности према </w:t>
      </w:r>
      <w:r w:rsidR="000F6C2E" w:rsidRPr="009F5B52">
        <w:rPr>
          <w:noProof/>
          <w:szCs w:val="24"/>
          <w:lang w:val="sr-Cyrl-CS"/>
        </w:rPr>
        <w:t>Н</w:t>
      </w:r>
      <w:r w:rsidRPr="009F5B52">
        <w:rPr>
          <w:noProof/>
          <w:szCs w:val="24"/>
          <w:lang w:val="sr-Cyrl-CS"/>
        </w:rPr>
        <w:t xml:space="preserve">ацрту </w:t>
      </w:r>
      <w:r w:rsidR="000F6C2E" w:rsidRPr="009F5B52">
        <w:rPr>
          <w:noProof/>
          <w:szCs w:val="24"/>
          <w:lang w:val="sr-Cyrl-CS"/>
        </w:rPr>
        <w:t>о</w:t>
      </w:r>
      <w:r w:rsidRPr="009F5B52">
        <w:rPr>
          <w:noProof/>
          <w:szCs w:val="24"/>
          <w:lang w:val="sr-Cyrl-CS"/>
        </w:rPr>
        <w:t xml:space="preserve">перативног програма </w:t>
      </w:r>
      <w:r w:rsidR="000F6C2E" w:rsidRPr="009F5B52">
        <w:rPr>
          <w:noProof/>
          <w:szCs w:val="24"/>
          <w:lang w:val="sr-Cyrl-CS"/>
        </w:rPr>
        <w:t xml:space="preserve">за </w:t>
      </w:r>
      <w:r w:rsidRPr="009F5B52">
        <w:rPr>
          <w:noProof/>
          <w:szCs w:val="24"/>
          <w:lang w:val="sr-Cyrl-CS"/>
        </w:rPr>
        <w:t>развој људских ресурса</w:t>
      </w:r>
    </w:p>
    <w:p w:rsidR="0046476F" w:rsidRPr="009F5B52" w:rsidRDefault="0046476F" w:rsidP="0046476F">
      <w:pPr>
        <w:rPr>
          <w:noProof/>
          <w:szCs w:val="24"/>
          <w:lang w:val="sr-Cyrl-CS"/>
        </w:rPr>
      </w:pPr>
      <w:r w:rsidRPr="009F5B52">
        <w:rPr>
          <w:noProof/>
          <w:szCs w:val="24"/>
          <w:lang w:val="sr-Cyrl-CS"/>
        </w:rPr>
        <w:t xml:space="preserve">До предаје овлашћења </w:t>
      </w:r>
      <w:r w:rsidR="00497BB9" w:rsidRPr="009F5B52">
        <w:rPr>
          <w:noProof/>
          <w:szCs w:val="24"/>
          <w:lang w:val="sr-Cyrl-CS"/>
        </w:rPr>
        <w:t xml:space="preserve">за управљање </w:t>
      </w:r>
      <w:r w:rsidRPr="009F5B52">
        <w:rPr>
          <w:noProof/>
          <w:szCs w:val="24"/>
          <w:lang w:val="sr-Cyrl-CS"/>
        </w:rPr>
        <w:t>још увек није дошло</w:t>
      </w:r>
      <w:r w:rsidR="00C41BC0" w:rsidRPr="009F5B52">
        <w:rPr>
          <w:noProof/>
          <w:szCs w:val="24"/>
          <w:lang w:val="sr-Cyrl-CS"/>
        </w:rPr>
        <w:t>, али је оно планирано за средину 2013. године,</w:t>
      </w:r>
      <w:r w:rsidR="00497BB9" w:rsidRPr="009F5B52">
        <w:rPr>
          <w:noProof/>
          <w:szCs w:val="24"/>
          <w:lang w:val="sr-Cyrl-CS"/>
        </w:rPr>
        <w:t xml:space="preserve"> с</w:t>
      </w:r>
      <w:r w:rsidRPr="009F5B52">
        <w:rPr>
          <w:noProof/>
          <w:szCs w:val="24"/>
          <w:lang w:val="sr-Cyrl-CS"/>
        </w:rPr>
        <w:t xml:space="preserve"> обзиром да </w:t>
      </w:r>
      <w:r w:rsidR="00C41BC0" w:rsidRPr="009F5B52">
        <w:rPr>
          <w:noProof/>
          <w:szCs w:val="24"/>
          <w:lang w:val="sr-Cyrl-CS"/>
        </w:rPr>
        <w:t xml:space="preserve">је предат </w:t>
      </w:r>
      <w:r w:rsidR="00497BB9" w:rsidRPr="009F5B52">
        <w:rPr>
          <w:noProof/>
          <w:szCs w:val="24"/>
          <w:lang w:val="sr-Cyrl-CS"/>
        </w:rPr>
        <w:t>акредитаци</w:t>
      </w:r>
      <w:r w:rsidR="00C41BC0" w:rsidRPr="009F5B52">
        <w:rPr>
          <w:noProof/>
          <w:szCs w:val="24"/>
          <w:lang w:val="sr-Cyrl-CS"/>
        </w:rPr>
        <w:t>они пакет</w:t>
      </w:r>
      <w:r w:rsidRPr="009F5B52">
        <w:rPr>
          <w:noProof/>
          <w:szCs w:val="24"/>
          <w:lang w:val="sr-Cyrl-CS"/>
        </w:rPr>
        <w:t xml:space="preserve">. Република Србија се сада налази између треће и четврте од пет фаза процеса акредитације. </w:t>
      </w:r>
    </w:p>
    <w:p w:rsidR="0046476F" w:rsidRPr="009F5B52" w:rsidRDefault="008D62BD" w:rsidP="0046476F">
      <w:pPr>
        <w:pStyle w:val="Heading2"/>
        <w:rPr>
          <w:noProof/>
          <w:lang w:val="sr-Cyrl-CS"/>
        </w:rPr>
      </w:pPr>
      <w:bookmarkStart w:id="32" w:name="_Toc327447115"/>
      <w:bookmarkStart w:id="33" w:name="_Toc330562303"/>
      <w:r w:rsidRPr="009F5B52">
        <w:rPr>
          <w:noProof/>
          <w:szCs w:val="24"/>
          <w:lang w:val="sr-Cyrl-CS"/>
        </w:rPr>
        <w:t>2</w:t>
      </w:r>
      <w:r w:rsidR="0046476F" w:rsidRPr="009F5B52">
        <w:rPr>
          <w:noProof/>
          <w:szCs w:val="24"/>
          <w:lang w:val="sr-Cyrl-CS"/>
        </w:rPr>
        <w:t xml:space="preserve">.2. </w:t>
      </w:r>
      <w:r w:rsidR="0046476F" w:rsidRPr="009F5B52">
        <w:rPr>
          <w:noProof/>
          <w:lang w:val="sr-Cyrl-CS"/>
        </w:rPr>
        <w:t>Главни изазов</w:t>
      </w:r>
      <w:bookmarkEnd w:id="32"/>
      <w:r w:rsidR="0046476F" w:rsidRPr="009F5B52">
        <w:rPr>
          <w:noProof/>
          <w:lang w:val="sr-Cyrl-CS"/>
        </w:rPr>
        <w:t>и</w:t>
      </w:r>
      <w:bookmarkEnd w:id="33"/>
    </w:p>
    <w:p w:rsidR="0046476F" w:rsidRPr="009F5B52" w:rsidRDefault="008D62BD" w:rsidP="0046476F">
      <w:pPr>
        <w:pStyle w:val="Heading3"/>
        <w:rPr>
          <w:noProof/>
          <w:lang w:val="sr-Cyrl-CS"/>
        </w:rPr>
      </w:pPr>
      <w:bookmarkStart w:id="34" w:name="_Toc327447116"/>
      <w:bookmarkStart w:id="35" w:name="_Toc330562304"/>
      <w:r w:rsidRPr="009F5B52">
        <w:rPr>
          <w:noProof/>
          <w:lang w:val="sr-Cyrl-CS"/>
        </w:rPr>
        <w:t>2</w:t>
      </w:r>
      <w:r w:rsidR="0046476F" w:rsidRPr="009F5B52">
        <w:rPr>
          <w:noProof/>
          <w:lang w:val="sr-Cyrl-CS"/>
        </w:rPr>
        <w:t>.2.1. Административни капацитети за управљање фондовима Е</w:t>
      </w:r>
      <w:bookmarkEnd w:id="34"/>
      <w:r w:rsidR="0046476F" w:rsidRPr="009F5B52">
        <w:rPr>
          <w:noProof/>
          <w:lang w:val="sr-Cyrl-CS"/>
        </w:rPr>
        <w:t>У</w:t>
      </w:r>
      <w:bookmarkEnd w:id="35"/>
    </w:p>
    <w:p w:rsidR="0046476F" w:rsidRPr="009F5B52" w:rsidRDefault="0046476F" w:rsidP="0046476F">
      <w:pPr>
        <w:rPr>
          <w:noProof/>
          <w:szCs w:val="24"/>
          <w:lang w:val="sr-Cyrl-CS"/>
        </w:rPr>
      </w:pPr>
      <w:r w:rsidRPr="009F5B52">
        <w:rPr>
          <w:noProof/>
          <w:szCs w:val="24"/>
          <w:lang w:val="sr-Cyrl-CS"/>
        </w:rPr>
        <w:t>Искуства других земаља које су прошле кроз процес успостављања децентрализован</w:t>
      </w:r>
      <w:r w:rsidR="001E2A59" w:rsidRPr="009F5B52">
        <w:rPr>
          <w:noProof/>
          <w:szCs w:val="24"/>
          <w:lang w:val="sr-Cyrl-CS"/>
        </w:rPr>
        <w:t>ог</w:t>
      </w:r>
      <w:r w:rsidRPr="009F5B52">
        <w:rPr>
          <w:noProof/>
          <w:szCs w:val="24"/>
          <w:lang w:val="sr-Cyrl-CS"/>
        </w:rPr>
        <w:t xml:space="preserve"> управљања </w:t>
      </w:r>
      <w:r w:rsidR="00C41BC0" w:rsidRPr="009F5B52">
        <w:rPr>
          <w:noProof/>
          <w:szCs w:val="24"/>
          <w:lang w:val="sr-Cyrl-CS"/>
        </w:rPr>
        <w:t xml:space="preserve">фондовима ЕУ </w:t>
      </w:r>
      <w:r w:rsidRPr="009F5B52">
        <w:rPr>
          <w:noProof/>
          <w:szCs w:val="24"/>
          <w:lang w:val="sr-Cyrl-CS"/>
        </w:rPr>
        <w:t xml:space="preserve">и </w:t>
      </w:r>
      <w:r w:rsidR="001E2A59" w:rsidRPr="009F5B52">
        <w:rPr>
          <w:noProof/>
          <w:szCs w:val="24"/>
          <w:lang w:val="sr-Cyrl-CS"/>
        </w:rPr>
        <w:t>добиле овлашћење за управљање</w:t>
      </w:r>
      <w:r w:rsidRPr="009F5B52">
        <w:rPr>
          <w:noProof/>
          <w:szCs w:val="24"/>
          <w:lang w:val="sr-Cyrl-CS"/>
        </w:rPr>
        <w:t xml:space="preserve"> показују да су наишле на проблеме скопчане са усвајањем нових правила и процедура. То је резултирало нижим степеном апсорпције фондова у поређењу са периодом у коме су ови задаци били </w:t>
      </w:r>
      <w:r w:rsidR="00E0770C" w:rsidRPr="009F5B52">
        <w:rPr>
          <w:bCs/>
          <w:noProof/>
          <w:szCs w:val="24"/>
          <w:lang w:val="sr-Cyrl-CS"/>
        </w:rPr>
        <w:t>„</w:t>
      </w:r>
      <w:r w:rsidR="001E2A59" w:rsidRPr="009F5B52">
        <w:rPr>
          <w:noProof/>
          <w:szCs w:val="24"/>
          <w:lang w:val="sr-Cyrl-CS"/>
        </w:rPr>
        <w:t>централизовани” у д</w:t>
      </w:r>
      <w:r w:rsidRPr="009F5B52">
        <w:rPr>
          <w:noProof/>
          <w:szCs w:val="24"/>
          <w:lang w:val="sr-Cyrl-CS"/>
        </w:rPr>
        <w:t>елегацијама ЕУ</w:t>
      </w:r>
      <w:r w:rsidRPr="009F5B52">
        <w:rPr>
          <w:rStyle w:val="FootnoteReference"/>
          <w:noProof/>
          <w:szCs w:val="24"/>
          <w:lang w:val="sr-Cyrl-CS"/>
        </w:rPr>
        <w:footnoteReference w:id="22"/>
      </w:r>
      <w:r w:rsidR="001E2A59" w:rsidRPr="009F5B52">
        <w:rPr>
          <w:noProof/>
          <w:szCs w:val="24"/>
          <w:lang w:val="sr-Cyrl-CS"/>
        </w:rPr>
        <w:t>.</w:t>
      </w:r>
      <w:r w:rsidRPr="009F5B52">
        <w:rPr>
          <w:noProof/>
          <w:szCs w:val="24"/>
          <w:lang w:val="sr-Cyrl-CS"/>
        </w:rPr>
        <w:t xml:space="preserve"> Шта више, нижи степен потрошње настављен је и онда када би некадашња земља кандидат постала пуноправна чланица ЕУ. Оваква ситуација је превасходно резултат неодговарајућих капацитета управе да апсорбује средства у складу са новим режимом потрошње. </w:t>
      </w:r>
    </w:p>
    <w:p w:rsidR="0046476F" w:rsidRPr="009F5B52" w:rsidRDefault="0046476F" w:rsidP="0046476F">
      <w:pPr>
        <w:rPr>
          <w:noProof/>
          <w:szCs w:val="24"/>
          <w:lang w:val="sr-Cyrl-CS"/>
        </w:rPr>
      </w:pPr>
      <w:r w:rsidRPr="009F5B52">
        <w:rPr>
          <w:noProof/>
          <w:szCs w:val="24"/>
          <w:lang w:val="sr-Cyrl-CS"/>
        </w:rPr>
        <w:lastRenderedPageBreak/>
        <w:t>У погледу апсорпције фондова, проблеме је могуће резимирати у три посебне дефиниције капацита за апсорпцију</w:t>
      </w:r>
      <w:r w:rsidRPr="009F5B52">
        <w:rPr>
          <w:rStyle w:val="FootnoteReference"/>
          <w:noProof/>
          <w:szCs w:val="24"/>
          <w:lang w:val="sr-Cyrl-CS"/>
        </w:rPr>
        <w:footnoteReference w:id="23"/>
      </w:r>
      <w:r w:rsidRPr="009F5B52">
        <w:rPr>
          <w:noProof/>
          <w:szCs w:val="24"/>
          <w:lang w:val="sr-Cyrl-CS"/>
        </w:rPr>
        <w:t>:</w:t>
      </w:r>
    </w:p>
    <w:p w:rsidR="0046476F" w:rsidRPr="009F5B52" w:rsidRDefault="0046476F" w:rsidP="0046476F">
      <w:pPr>
        <w:pStyle w:val="ListParagraph"/>
        <w:numPr>
          <w:ilvl w:val="0"/>
          <w:numId w:val="44"/>
        </w:numPr>
        <w:rPr>
          <w:noProof/>
          <w:lang w:val="sr-Cyrl-CS"/>
        </w:rPr>
      </w:pPr>
      <w:r w:rsidRPr="009F5B52">
        <w:rPr>
          <w:noProof/>
          <w:lang w:val="sr-Cyrl-CS"/>
        </w:rPr>
        <w:t>Капацитет за макроекономску апсорпцију који је могуће дефинисати и мерити нивоом БДП према опредељени</w:t>
      </w:r>
      <w:r w:rsidR="001E2A59" w:rsidRPr="009F5B52">
        <w:rPr>
          <w:noProof/>
          <w:lang w:val="sr-Cyrl-CS"/>
        </w:rPr>
        <w:t>м с</w:t>
      </w:r>
      <w:r w:rsidRPr="009F5B52">
        <w:rPr>
          <w:noProof/>
          <w:lang w:val="sr-Cyrl-CS"/>
        </w:rPr>
        <w:t xml:space="preserve">труктурним фондовима. </w:t>
      </w:r>
    </w:p>
    <w:p w:rsidR="0046476F" w:rsidRPr="009F5B52" w:rsidRDefault="0046476F" w:rsidP="0046476F">
      <w:pPr>
        <w:pStyle w:val="ListParagraph"/>
        <w:numPr>
          <w:ilvl w:val="0"/>
          <w:numId w:val="44"/>
        </w:numPr>
        <w:rPr>
          <w:noProof/>
          <w:lang w:val="sr-Cyrl-CS"/>
        </w:rPr>
      </w:pPr>
      <w:r w:rsidRPr="009F5B52">
        <w:rPr>
          <w:noProof/>
          <w:lang w:val="sr-Cyrl-CS"/>
        </w:rPr>
        <w:t xml:space="preserve">Капацитет за административну апсорпцију који се може дефинисати као способност и вештине органа власти на централном, регионалном и локалном нивоу да правовремено израде прихватљиве планове, програме и пројекте, да  одлучују </w:t>
      </w:r>
      <w:r w:rsidR="001E2A59" w:rsidRPr="009F5B52">
        <w:rPr>
          <w:noProof/>
          <w:lang w:val="sr-Cyrl-CS"/>
        </w:rPr>
        <w:t xml:space="preserve">о </w:t>
      </w:r>
      <w:r w:rsidRPr="009F5B52">
        <w:rPr>
          <w:noProof/>
          <w:lang w:val="sr-Cyrl-CS"/>
        </w:rPr>
        <w:t>поједин</w:t>
      </w:r>
      <w:r w:rsidR="001E2A59" w:rsidRPr="009F5B52">
        <w:rPr>
          <w:noProof/>
          <w:lang w:val="sr-Cyrl-CS"/>
        </w:rPr>
        <w:t>им</w:t>
      </w:r>
      <w:r w:rsidRPr="009F5B52">
        <w:rPr>
          <w:noProof/>
          <w:lang w:val="sr-Cyrl-CS"/>
        </w:rPr>
        <w:t xml:space="preserve"> програм</w:t>
      </w:r>
      <w:r w:rsidR="001E2A59" w:rsidRPr="009F5B52">
        <w:rPr>
          <w:noProof/>
          <w:lang w:val="sr-Cyrl-CS"/>
        </w:rPr>
        <w:t>има</w:t>
      </w:r>
      <w:r w:rsidRPr="009F5B52">
        <w:rPr>
          <w:noProof/>
          <w:lang w:val="sr-Cyrl-CS"/>
        </w:rPr>
        <w:t xml:space="preserve"> и пројект</w:t>
      </w:r>
      <w:r w:rsidR="001E2A59" w:rsidRPr="009F5B52">
        <w:rPr>
          <w:noProof/>
          <w:lang w:val="sr-Cyrl-CS"/>
        </w:rPr>
        <w:t>има</w:t>
      </w:r>
      <w:r w:rsidRPr="009F5B52">
        <w:rPr>
          <w:noProof/>
          <w:lang w:val="sr-Cyrl-CS"/>
        </w:rPr>
        <w:t xml:space="preserve">, организују координацију </w:t>
      </w:r>
      <w:r w:rsidR="001E2A59" w:rsidRPr="009F5B52">
        <w:rPr>
          <w:noProof/>
          <w:lang w:val="sr-Cyrl-CS"/>
        </w:rPr>
        <w:t xml:space="preserve">између </w:t>
      </w:r>
      <w:r w:rsidRPr="009F5B52">
        <w:rPr>
          <w:noProof/>
          <w:lang w:val="sr-Cyrl-CS"/>
        </w:rPr>
        <w:t>главни</w:t>
      </w:r>
      <w:r w:rsidR="001E2A59" w:rsidRPr="009F5B52">
        <w:rPr>
          <w:noProof/>
          <w:lang w:val="sr-Cyrl-CS"/>
        </w:rPr>
        <w:t>х</w:t>
      </w:r>
      <w:r w:rsidRPr="009F5B52">
        <w:rPr>
          <w:noProof/>
          <w:lang w:val="sr-Cyrl-CS"/>
        </w:rPr>
        <w:t xml:space="preserve"> партнера, да се изборе са огромним количинама администрације и извештавања које Комисија захтева и да правилно финансирају и надзиру </w:t>
      </w:r>
      <w:r w:rsidR="001E2A59" w:rsidRPr="009F5B52">
        <w:rPr>
          <w:noProof/>
          <w:lang w:val="sr-Cyrl-CS"/>
        </w:rPr>
        <w:t>спровођење</w:t>
      </w:r>
      <w:r w:rsidRPr="009F5B52">
        <w:rPr>
          <w:noProof/>
          <w:lang w:val="sr-Cyrl-CS"/>
        </w:rPr>
        <w:t xml:space="preserve">, избегавајући злоупотребе у највећој могућој мери. </w:t>
      </w:r>
    </w:p>
    <w:p w:rsidR="0046476F" w:rsidRPr="009F5B52" w:rsidRDefault="0046476F" w:rsidP="0046476F">
      <w:pPr>
        <w:pStyle w:val="ListParagraph"/>
        <w:numPr>
          <w:ilvl w:val="0"/>
          <w:numId w:val="44"/>
        </w:numPr>
        <w:rPr>
          <w:noProof/>
          <w:lang w:val="sr-Cyrl-CS"/>
        </w:rPr>
      </w:pPr>
      <w:r w:rsidRPr="009F5B52">
        <w:rPr>
          <w:noProof/>
          <w:lang w:val="sr-Cyrl-CS"/>
        </w:rPr>
        <w:t xml:space="preserve">Капацитет за финансијску апсорпцију, који значи способност </w:t>
      </w:r>
      <w:r w:rsidR="00942E56" w:rsidRPr="009F5B52">
        <w:rPr>
          <w:noProof/>
          <w:lang w:val="sr-Cyrl-CS"/>
        </w:rPr>
        <w:t>ко</w:t>
      </w:r>
      <w:r w:rsidRPr="009F5B52">
        <w:rPr>
          <w:noProof/>
          <w:lang w:val="sr-Cyrl-CS"/>
        </w:rPr>
        <w:t xml:space="preserve">финансирања програма и пројеката које подржава ЕУ, планирање и гаранције ових националних доприноса у вишегодишњим буџетима и скупљање ових доприноса од различитих партнера (јавних и приватних) заинтересованих за поједини програм или пројекат. </w:t>
      </w:r>
    </w:p>
    <w:p w:rsidR="0046476F" w:rsidRPr="009F5B52" w:rsidRDefault="0046476F" w:rsidP="0046476F">
      <w:pPr>
        <w:rPr>
          <w:lang w:val="sr-Cyrl-CS"/>
        </w:rPr>
      </w:pPr>
      <w:r w:rsidRPr="009F5B52">
        <w:rPr>
          <w:noProof/>
          <w:lang w:val="sr-Cyrl-CS"/>
        </w:rPr>
        <w:t>У овом тренутку, најважнији елемент је капацитет за административну апсорпцију, што у пракси значи да су Србији потребни државни службеници са великим искуством, вештинама и снажном мотивацијом. До сада су уложени велики напори у стварање таквих ресурса, али су</w:t>
      </w:r>
      <w:r w:rsidRPr="009F5B52">
        <w:rPr>
          <w:lang w:val="sr-Cyrl-CS"/>
        </w:rPr>
        <w:t xml:space="preserve"> </w:t>
      </w:r>
      <w:r w:rsidRPr="009F5B52">
        <w:rPr>
          <w:noProof/>
          <w:lang w:val="sr-Cyrl-CS"/>
        </w:rPr>
        <w:t xml:space="preserve">ти напори у </w:t>
      </w:r>
      <w:r w:rsidR="001E2A59" w:rsidRPr="009F5B52">
        <w:rPr>
          <w:noProof/>
          <w:lang w:val="sr-Cyrl-CS"/>
        </w:rPr>
        <w:t>политикама</w:t>
      </w:r>
      <w:r w:rsidRPr="009F5B52">
        <w:rPr>
          <w:noProof/>
          <w:lang w:val="sr-Cyrl-CS"/>
        </w:rPr>
        <w:t xml:space="preserve"> социјалног укључивања били расути на огроман број донаторских пројеката</w:t>
      </w:r>
      <w:r w:rsidR="001E2A59" w:rsidRPr="009F5B52">
        <w:rPr>
          <w:noProof/>
          <w:lang w:val="sr-Cyrl-CS"/>
        </w:rPr>
        <w:t>,</w:t>
      </w:r>
      <w:r w:rsidRPr="009F5B52">
        <w:rPr>
          <w:noProof/>
          <w:lang w:val="sr-Cyrl-CS"/>
        </w:rPr>
        <w:t xml:space="preserve"> што је довело до губитка институционалне меморије и суштински незадовољавајућег поврата инвестиције. Таква ситуација захтева систематичнији и боље координиран приступ развоју људских ресурса у области управљања фондовима ЕУ, посебно </w:t>
      </w:r>
      <w:r w:rsidR="001E2A59" w:rsidRPr="009F5B52">
        <w:rPr>
          <w:noProof/>
          <w:lang w:val="sr-Cyrl-CS"/>
        </w:rPr>
        <w:t xml:space="preserve">с </w:t>
      </w:r>
      <w:r w:rsidRPr="009F5B52">
        <w:rPr>
          <w:noProof/>
          <w:lang w:val="sr-Cyrl-CS"/>
        </w:rPr>
        <w:t>обзиром на увођење децентрализованог управљања. Уз то, вреди поменути да се захтеви везани за административне капацитете разликују у зависности од фазе животног циклуса политике.</w:t>
      </w:r>
    </w:p>
    <w:p w:rsidR="0046476F" w:rsidRPr="009F5B52" w:rsidRDefault="0046476F" w:rsidP="0046476F">
      <w:pPr>
        <w:rPr>
          <w:szCs w:val="24"/>
          <w:lang w:val="sr-Cyrl-CS"/>
        </w:rPr>
      </w:pPr>
      <w:r w:rsidRPr="009F5B52">
        <w:rPr>
          <w:noProof/>
          <w:szCs w:val="24"/>
          <w:lang w:val="sr-Cyrl-CS"/>
        </w:rPr>
        <w:t xml:space="preserve">Сви процеси заједно: управљање, програмирање, </w:t>
      </w:r>
      <w:r w:rsidR="001E2A59" w:rsidRPr="009F5B52">
        <w:rPr>
          <w:noProof/>
          <w:lang w:val="sr-Cyrl-CS"/>
        </w:rPr>
        <w:t>спровођење</w:t>
      </w:r>
      <w:r w:rsidRPr="009F5B52">
        <w:rPr>
          <w:noProof/>
          <w:lang w:val="sr-Cyrl-CS"/>
        </w:rPr>
        <w:t xml:space="preserve">, </w:t>
      </w:r>
      <w:r w:rsidR="001E2A59" w:rsidRPr="009F5B52">
        <w:rPr>
          <w:noProof/>
          <w:lang w:val="sr-Cyrl-CS"/>
        </w:rPr>
        <w:t>праћење</w:t>
      </w:r>
      <w:r w:rsidRPr="009F5B52">
        <w:rPr>
          <w:noProof/>
          <w:lang w:val="sr-Cyrl-CS"/>
        </w:rPr>
        <w:t xml:space="preserve"> и </w:t>
      </w:r>
      <w:r w:rsidR="001E2A59" w:rsidRPr="009F5B52">
        <w:rPr>
          <w:noProof/>
          <w:lang w:val="sr-Cyrl-CS"/>
        </w:rPr>
        <w:t>оцена</w:t>
      </w:r>
      <w:r w:rsidRPr="009F5B52">
        <w:rPr>
          <w:noProof/>
          <w:lang w:val="sr-Cyrl-CS"/>
        </w:rPr>
        <w:t>, финансијско руковођење и контрола представљају животни циклус једне политике. Политике социјалног укључивања у Србији креирају различите институције, ресорна министарства, одељења у тим министарствима, радне групе, стални и привремени орг</w:t>
      </w:r>
      <w:r w:rsidR="00F67A9F" w:rsidRPr="009F5B52">
        <w:rPr>
          <w:noProof/>
          <w:lang w:val="sr-Cyrl-CS"/>
        </w:rPr>
        <w:t>а</w:t>
      </w:r>
      <w:r w:rsidRPr="009F5B52">
        <w:rPr>
          <w:noProof/>
          <w:lang w:val="sr-Cyrl-CS"/>
        </w:rPr>
        <w:t xml:space="preserve">ни и спољни актери, зависно од њихових мандата. Имајући у виду разноврсност, мандате и број тих институција, механизми координације политика у Србији нису довољно развијени, што за резултат има одсуство координације. Што је још важније, </w:t>
      </w:r>
      <w:r w:rsidR="00F67A9F" w:rsidRPr="009F5B52">
        <w:rPr>
          <w:noProof/>
          <w:lang w:val="sr-Cyrl-CS"/>
        </w:rPr>
        <w:t>праћење и оцена</w:t>
      </w:r>
      <w:r w:rsidRPr="009F5B52">
        <w:rPr>
          <w:noProof/>
          <w:lang w:val="sr-Cyrl-CS"/>
        </w:rPr>
        <w:t xml:space="preserve"> представљају инхерентне слабости циклуса политика у Србији. Ове тврдње често наглашавају како националне, тако и спољне (пре свега, ЕУ) процене државне управе у Србији</w:t>
      </w:r>
      <w:r w:rsidRPr="009F5B52">
        <w:rPr>
          <w:noProof/>
          <w:vertAlign w:val="superscript"/>
          <w:lang w:val="sr-Cyrl-CS"/>
        </w:rPr>
        <w:footnoteReference w:id="24"/>
      </w:r>
      <w:r w:rsidRPr="009F5B52">
        <w:rPr>
          <w:noProof/>
          <w:lang w:val="sr-Cyrl-CS"/>
        </w:rPr>
        <w:t>.</w:t>
      </w:r>
    </w:p>
    <w:p w:rsidR="0046476F" w:rsidRPr="009F5B52" w:rsidRDefault="0046476F" w:rsidP="0046476F">
      <w:pPr>
        <w:rPr>
          <w:szCs w:val="24"/>
          <w:lang w:val="sr-Cyrl-CS"/>
        </w:rPr>
      </w:pPr>
    </w:p>
    <w:p w:rsidR="0046476F" w:rsidRPr="009F5B52" w:rsidRDefault="0046476F" w:rsidP="0046476F">
      <w:pPr>
        <w:rPr>
          <w:noProof/>
          <w:lang w:val="sr-Cyrl-CS"/>
        </w:rPr>
      </w:pPr>
      <w:r w:rsidRPr="009F5B52">
        <w:rPr>
          <w:noProof/>
          <w:lang w:val="sr-Cyrl-CS"/>
        </w:rPr>
        <w:lastRenderedPageBreak/>
        <w:t xml:space="preserve">Једна од стратешких опција за јачање аспекта управљања средствима ЕУ јесте да се уведе орган који ће искључиво бити фокусиран на </w:t>
      </w:r>
      <w:r w:rsidR="00F67A9F" w:rsidRPr="009F5B52">
        <w:rPr>
          <w:noProof/>
          <w:lang w:val="sr-Cyrl-CS"/>
        </w:rPr>
        <w:t>спровођење</w:t>
      </w:r>
      <w:r w:rsidRPr="009F5B52">
        <w:rPr>
          <w:noProof/>
          <w:lang w:val="sr-Cyrl-CS"/>
        </w:rPr>
        <w:t xml:space="preserve"> у оквиру циклуса политика у складу са опцијом која се нуди у оквиру ИПА </w:t>
      </w:r>
      <w:r w:rsidR="00F67A9F" w:rsidRPr="009F5B52">
        <w:rPr>
          <w:noProof/>
          <w:lang w:val="sr-Cyrl-CS"/>
        </w:rPr>
        <w:t>УС</w:t>
      </w:r>
      <w:r w:rsidRPr="009F5B52">
        <w:rPr>
          <w:noProof/>
          <w:lang w:val="sr-Cyrl-CS"/>
        </w:rPr>
        <w:t xml:space="preserve">, дефинисаном </w:t>
      </w:r>
      <w:r w:rsidR="00F67A9F" w:rsidRPr="009F5B52">
        <w:rPr>
          <w:noProof/>
          <w:lang w:val="sr-Cyrl-CS"/>
        </w:rPr>
        <w:t>ч</w:t>
      </w:r>
      <w:r w:rsidRPr="009F5B52">
        <w:rPr>
          <w:noProof/>
          <w:lang w:val="sr-Cyrl-CS"/>
        </w:rPr>
        <w:t xml:space="preserve">ланом 31. </w:t>
      </w:r>
    </w:p>
    <w:p w:rsidR="0046476F" w:rsidRPr="009F5B52" w:rsidRDefault="0046476F" w:rsidP="0046476F">
      <w:pPr>
        <w:rPr>
          <w:noProof/>
          <w:lang w:val="sr-Cyrl-CS"/>
        </w:rPr>
      </w:pPr>
      <w:r w:rsidRPr="009F5B52">
        <w:rPr>
          <w:noProof/>
          <w:lang w:val="sr-Cyrl-CS" w:eastAsia="ko-KR"/>
        </w:rPr>
        <w:t xml:space="preserve">Овај члан омогућава груписање функција и давање надлежности за њих одређеним органима у или изван </w:t>
      </w:r>
      <w:r w:rsidR="00F67A9F" w:rsidRPr="009F5B52">
        <w:rPr>
          <w:noProof/>
          <w:lang w:val="sr-Cyrl-CS"/>
        </w:rPr>
        <w:t>овлашћених</w:t>
      </w:r>
      <w:r w:rsidRPr="009F5B52">
        <w:rPr>
          <w:noProof/>
          <w:lang w:val="sr-Cyrl-CS"/>
        </w:rPr>
        <w:t xml:space="preserve"> </w:t>
      </w:r>
      <w:r w:rsidR="00F67A9F" w:rsidRPr="009F5B52">
        <w:rPr>
          <w:noProof/>
          <w:lang w:val="sr-Cyrl-CS"/>
        </w:rPr>
        <w:t>о</w:t>
      </w:r>
      <w:r w:rsidRPr="009F5B52">
        <w:rPr>
          <w:noProof/>
          <w:lang w:val="sr-Cyrl-CS"/>
        </w:rPr>
        <w:t xml:space="preserve">перативних структура. То би требало да у потпуности поштује поделу </w:t>
      </w:r>
      <w:r w:rsidR="00F67A9F" w:rsidRPr="009F5B52">
        <w:rPr>
          <w:noProof/>
          <w:lang w:val="sr-Cyrl-CS"/>
        </w:rPr>
        <w:t>одговорности</w:t>
      </w:r>
      <w:r w:rsidRPr="009F5B52">
        <w:rPr>
          <w:noProof/>
          <w:lang w:val="sr-Cyrl-CS"/>
        </w:rPr>
        <w:t xml:space="preserve"> кој</w:t>
      </w:r>
      <w:r w:rsidR="00F67A9F" w:rsidRPr="009F5B52">
        <w:rPr>
          <w:noProof/>
          <w:lang w:val="sr-Cyrl-CS"/>
        </w:rPr>
        <w:t>у</w:t>
      </w:r>
      <w:r w:rsidRPr="009F5B52">
        <w:rPr>
          <w:noProof/>
          <w:lang w:val="sr-Cyrl-CS"/>
        </w:rPr>
        <w:t xml:space="preserve"> захтева Уредба (ЕK, Еуратом) </w:t>
      </w:r>
      <w:r w:rsidR="00F67A9F" w:rsidRPr="009F5B52">
        <w:rPr>
          <w:noProof/>
          <w:lang w:val="sr-Cyrl-CS"/>
        </w:rPr>
        <w:t>б</w:t>
      </w:r>
      <w:r w:rsidRPr="009F5B52">
        <w:rPr>
          <w:noProof/>
          <w:lang w:val="sr-Cyrl-CS"/>
        </w:rPr>
        <w:t xml:space="preserve">р. 1605/2002 и да обезбеди да коначна надлежност за описане функције остане на </w:t>
      </w:r>
      <w:r w:rsidR="00F67A9F" w:rsidRPr="009F5B52">
        <w:rPr>
          <w:noProof/>
          <w:lang w:val="sr-Cyrl-CS"/>
        </w:rPr>
        <w:t>овлашћеним</w:t>
      </w:r>
      <w:r w:rsidRPr="009F5B52">
        <w:rPr>
          <w:noProof/>
          <w:lang w:val="sr-Cyrl-CS"/>
        </w:rPr>
        <w:t xml:space="preserve"> </w:t>
      </w:r>
      <w:r w:rsidR="00F67A9F" w:rsidRPr="009F5B52">
        <w:rPr>
          <w:noProof/>
          <w:lang w:val="sr-Cyrl-CS"/>
        </w:rPr>
        <w:t>о</w:t>
      </w:r>
      <w:r w:rsidRPr="009F5B52">
        <w:rPr>
          <w:noProof/>
          <w:lang w:val="sr-Cyrl-CS"/>
        </w:rPr>
        <w:t xml:space="preserve">перативним структурама. </w:t>
      </w:r>
    </w:p>
    <w:p w:rsidR="0046476F" w:rsidRPr="009F5B52" w:rsidRDefault="00A55776" w:rsidP="0046476F">
      <w:pPr>
        <w:rPr>
          <w:szCs w:val="24"/>
          <w:lang w:val="sr-Cyrl-CS"/>
        </w:rPr>
      </w:pPr>
      <w:r w:rsidRPr="009F5B52">
        <w:rPr>
          <w:noProof/>
          <w:lang w:val="sr-Cyrl-RS" w:eastAsia="sr-Cyrl-RS"/>
        </w:rPr>
        <mc:AlternateContent>
          <mc:Choice Requires="wps">
            <w:drawing>
              <wp:anchor distT="0" distB="0" distL="114300" distR="114300" simplePos="0" relativeHeight="251706368" behindDoc="0" locked="0" layoutInCell="1" allowOverlap="1" wp14:anchorId="23A28DA6" wp14:editId="2E20D792">
                <wp:simplePos x="0" y="0"/>
                <wp:positionH relativeFrom="column">
                  <wp:posOffset>-10795</wp:posOffset>
                </wp:positionH>
                <wp:positionV relativeFrom="paragraph">
                  <wp:posOffset>35560</wp:posOffset>
                </wp:positionV>
                <wp:extent cx="5835650" cy="626745"/>
                <wp:effectExtent l="0" t="0" r="12700" b="20955"/>
                <wp:wrapNone/>
                <wp:docPr id="13"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626745"/>
                        </a:xfrm>
                        <a:prstGeom prst="rect">
                          <a:avLst/>
                        </a:prstGeom>
                        <a:solidFill>
                          <a:srgbClr val="D8D8D8"/>
                        </a:solidFill>
                        <a:ln w="12700">
                          <a:solidFill>
                            <a:srgbClr val="000000"/>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172313" w:rsidRPr="00090AA9" w:rsidRDefault="00172313" w:rsidP="0046476F">
                            <w:pPr>
                              <w:rPr>
                                <w:b/>
                                <w:i/>
                                <w:lang w:val="sr-Cyrl-CS"/>
                              </w:rPr>
                            </w:pPr>
                            <w:r>
                              <w:rPr>
                                <w:b/>
                                <w:i/>
                                <w:noProof/>
                                <w:szCs w:val="24"/>
                                <w:lang w:val="sr-Cyrl-CS"/>
                              </w:rPr>
                              <w:t>Уредба</w:t>
                            </w:r>
                            <w:r w:rsidRPr="00090AA9">
                              <w:rPr>
                                <w:b/>
                                <w:i/>
                                <w:noProof/>
                                <w:szCs w:val="24"/>
                                <w:lang w:val="sr-Cyrl-CS"/>
                              </w:rPr>
                              <w:t xml:space="preserve"> </w:t>
                            </w:r>
                            <w:r>
                              <w:rPr>
                                <w:b/>
                                <w:i/>
                                <w:noProof/>
                                <w:szCs w:val="24"/>
                                <w:lang w:val="sr-Cyrl-CS"/>
                              </w:rPr>
                              <w:t>о</w:t>
                            </w:r>
                            <w:r w:rsidRPr="00090AA9">
                              <w:rPr>
                                <w:b/>
                                <w:i/>
                                <w:noProof/>
                                <w:szCs w:val="24"/>
                                <w:lang w:val="sr-Cyrl-CS"/>
                              </w:rPr>
                              <w:t xml:space="preserve"> </w:t>
                            </w:r>
                            <w:r>
                              <w:rPr>
                                <w:b/>
                                <w:i/>
                                <w:noProof/>
                                <w:szCs w:val="24"/>
                                <w:lang w:val="sr-Cyrl-CS"/>
                              </w:rPr>
                              <w:t>спровођењу</w:t>
                            </w:r>
                            <w:r w:rsidRPr="00090AA9">
                              <w:rPr>
                                <w:b/>
                                <w:i/>
                                <w:noProof/>
                                <w:szCs w:val="24"/>
                                <w:lang w:val="sr-Cyrl-CS"/>
                              </w:rPr>
                              <w:t xml:space="preserve"> </w:t>
                            </w:r>
                            <w:r>
                              <w:rPr>
                                <w:b/>
                                <w:i/>
                                <w:noProof/>
                                <w:szCs w:val="24"/>
                                <w:lang w:val="sr-Cyrl-CS"/>
                              </w:rPr>
                              <w:t>ИПА</w:t>
                            </w:r>
                            <w:r w:rsidRPr="00090AA9">
                              <w:rPr>
                                <w:noProof/>
                                <w:szCs w:val="24"/>
                                <w:lang w:val="sr-Cyrl-CS"/>
                              </w:rPr>
                              <w:t xml:space="preserve"> </w:t>
                            </w:r>
                            <w:r>
                              <w:rPr>
                                <w:b/>
                                <w:i/>
                                <w:noProof/>
                                <w:lang w:val="sr-Cyrl-CS"/>
                              </w:rPr>
                              <w:t>омогућује</w:t>
                            </w:r>
                            <w:r w:rsidRPr="00090AA9">
                              <w:rPr>
                                <w:b/>
                                <w:i/>
                                <w:noProof/>
                                <w:lang w:val="sr-Cyrl-CS"/>
                              </w:rPr>
                              <w:t xml:space="preserve"> </w:t>
                            </w:r>
                            <w:r>
                              <w:rPr>
                                <w:b/>
                                <w:i/>
                                <w:noProof/>
                                <w:lang w:val="sr-Cyrl-CS"/>
                              </w:rPr>
                              <w:t>груписање</w:t>
                            </w:r>
                            <w:r w:rsidRPr="00090AA9">
                              <w:rPr>
                                <w:b/>
                                <w:i/>
                                <w:noProof/>
                                <w:lang w:val="sr-Cyrl-CS"/>
                              </w:rPr>
                              <w:t xml:space="preserve"> </w:t>
                            </w:r>
                            <w:r>
                              <w:rPr>
                                <w:b/>
                                <w:i/>
                                <w:noProof/>
                                <w:lang w:val="sr-Cyrl-CS"/>
                              </w:rPr>
                              <w:t>функција</w:t>
                            </w:r>
                            <w:r w:rsidRPr="00090AA9">
                              <w:rPr>
                                <w:b/>
                                <w:i/>
                                <w:noProof/>
                                <w:lang w:val="sr-Cyrl-CS"/>
                              </w:rPr>
                              <w:t xml:space="preserve"> </w:t>
                            </w:r>
                            <w:r>
                              <w:rPr>
                                <w:b/>
                                <w:i/>
                                <w:noProof/>
                                <w:lang w:val="sr-Cyrl-CS"/>
                              </w:rPr>
                              <w:t>оперативних</w:t>
                            </w:r>
                            <w:r w:rsidRPr="00090AA9">
                              <w:rPr>
                                <w:b/>
                                <w:i/>
                                <w:noProof/>
                                <w:lang w:val="sr-Cyrl-CS"/>
                              </w:rPr>
                              <w:t xml:space="preserve"> </w:t>
                            </w:r>
                            <w:r>
                              <w:rPr>
                                <w:b/>
                                <w:i/>
                                <w:noProof/>
                                <w:lang w:val="sr-Cyrl-CS"/>
                              </w:rPr>
                              <w:t>структура</w:t>
                            </w:r>
                            <w:r w:rsidRPr="00090AA9">
                              <w:rPr>
                                <w:b/>
                                <w:i/>
                                <w:noProof/>
                                <w:lang w:val="sr-Cyrl-CS"/>
                              </w:rPr>
                              <w:t xml:space="preserve"> </w:t>
                            </w:r>
                            <w:r>
                              <w:rPr>
                                <w:b/>
                                <w:i/>
                                <w:noProof/>
                                <w:lang w:val="sr-Cyrl-CS"/>
                              </w:rPr>
                              <w:t>и</w:t>
                            </w:r>
                            <w:r w:rsidRPr="00090AA9">
                              <w:rPr>
                                <w:b/>
                                <w:i/>
                                <w:noProof/>
                                <w:lang w:val="sr-Cyrl-CS"/>
                              </w:rPr>
                              <w:t xml:space="preserve"> </w:t>
                            </w:r>
                            <w:r>
                              <w:rPr>
                                <w:b/>
                                <w:i/>
                                <w:noProof/>
                                <w:lang w:val="sr-Cyrl-CS"/>
                              </w:rPr>
                              <w:t>њихово</w:t>
                            </w:r>
                            <w:r w:rsidRPr="00090AA9">
                              <w:rPr>
                                <w:b/>
                                <w:i/>
                                <w:noProof/>
                                <w:lang w:val="sr-Cyrl-CS"/>
                              </w:rPr>
                              <w:t xml:space="preserve"> </w:t>
                            </w:r>
                            <w:r>
                              <w:rPr>
                                <w:b/>
                                <w:i/>
                                <w:noProof/>
                                <w:lang w:val="sr-Cyrl-CS"/>
                              </w:rPr>
                              <w:t>стављање</w:t>
                            </w:r>
                            <w:r w:rsidRPr="00090AA9">
                              <w:rPr>
                                <w:b/>
                                <w:i/>
                                <w:noProof/>
                                <w:lang w:val="sr-Cyrl-CS"/>
                              </w:rPr>
                              <w:t xml:space="preserve"> </w:t>
                            </w:r>
                            <w:r>
                              <w:rPr>
                                <w:b/>
                                <w:i/>
                                <w:noProof/>
                                <w:lang w:val="sr-Cyrl-CS"/>
                              </w:rPr>
                              <w:t>у</w:t>
                            </w:r>
                            <w:r w:rsidRPr="00090AA9">
                              <w:rPr>
                                <w:b/>
                                <w:i/>
                                <w:noProof/>
                                <w:lang w:val="sr-Cyrl-CS"/>
                              </w:rPr>
                              <w:t xml:space="preserve"> </w:t>
                            </w:r>
                            <w:r>
                              <w:rPr>
                                <w:b/>
                                <w:i/>
                                <w:noProof/>
                                <w:lang w:val="sr-Cyrl-CS"/>
                              </w:rPr>
                              <w:t>надлежност</w:t>
                            </w:r>
                            <w:r w:rsidRPr="00090AA9">
                              <w:rPr>
                                <w:b/>
                                <w:i/>
                                <w:noProof/>
                                <w:lang w:val="sr-Cyrl-CS"/>
                              </w:rPr>
                              <w:t xml:space="preserve"> </w:t>
                            </w:r>
                            <w:r>
                              <w:rPr>
                                <w:b/>
                                <w:i/>
                                <w:noProof/>
                                <w:lang w:val="sr-Cyrl-CS"/>
                              </w:rPr>
                              <w:t>овлашћених</w:t>
                            </w:r>
                            <w:r w:rsidRPr="00090AA9">
                              <w:rPr>
                                <w:b/>
                                <w:i/>
                                <w:noProof/>
                                <w:lang w:val="sr-Cyrl-CS"/>
                              </w:rPr>
                              <w:t xml:space="preserve"> </w:t>
                            </w:r>
                            <w:r>
                              <w:rPr>
                                <w:b/>
                                <w:i/>
                                <w:noProof/>
                                <w:lang w:val="sr-Cyrl-CS"/>
                              </w:rPr>
                              <w:t>органа</w:t>
                            </w:r>
                            <w:r w:rsidRPr="00090AA9">
                              <w:rPr>
                                <w:b/>
                                <w:i/>
                                <w:noProof/>
                                <w:lang w:val="sr-Cyrl-CS"/>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ounded Rectangle 22" o:spid="_x0000_s1030" style="position:absolute;left:0;text-align:left;margin-left:-.85pt;margin-top:2.8pt;width:459.5pt;height:4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" fillcolor="#d8d8d8" strokeweight="1pt">
                <v:shadow color="black" opacity="24903f" origin=",.5" offset="0,.55556mm"/>
                <v:path arrowok="t"/>
                <v:textbox>
                  <w:txbxContent>
                    <w:p w:rsidR="00172313" w:rsidRPr="00090AA9" w:rsidRDefault="00172313" w:rsidP="0046476F">
                      <w:pPr>
                        <w:rPr>
                          <w:b/>
                          <w:i/>
                          <w:lang w:val="sr-Cyrl-CS"/>
                        </w:rPr>
                      </w:pPr>
                      <w:r>
                        <w:rPr>
                          <w:b/>
                          <w:i/>
                          <w:noProof/>
                          <w:szCs w:val="24"/>
                          <w:lang w:val="sr-Cyrl-CS"/>
                        </w:rPr>
                        <w:t>Уредба</w:t>
                      </w:r>
                      <w:r w:rsidRPr="00090AA9">
                        <w:rPr>
                          <w:b/>
                          <w:i/>
                          <w:noProof/>
                          <w:szCs w:val="24"/>
                          <w:lang w:val="sr-Cyrl-CS"/>
                        </w:rPr>
                        <w:t xml:space="preserve"> </w:t>
                      </w:r>
                      <w:r>
                        <w:rPr>
                          <w:b/>
                          <w:i/>
                          <w:noProof/>
                          <w:szCs w:val="24"/>
                          <w:lang w:val="sr-Cyrl-CS"/>
                        </w:rPr>
                        <w:t>о</w:t>
                      </w:r>
                      <w:r w:rsidRPr="00090AA9">
                        <w:rPr>
                          <w:b/>
                          <w:i/>
                          <w:noProof/>
                          <w:szCs w:val="24"/>
                          <w:lang w:val="sr-Cyrl-CS"/>
                        </w:rPr>
                        <w:t xml:space="preserve"> </w:t>
                      </w:r>
                      <w:r>
                        <w:rPr>
                          <w:b/>
                          <w:i/>
                          <w:noProof/>
                          <w:szCs w:val="24"/>
                          <w:lang w:val="sr-Cyrl-CS"/>
                        </w:rPr>
                        <w:t>спровођењу</w:t>
                      </w:r>
                      <w:r w:rsidRPr="00090AA9">
                        <w:rPr>
                          <w:b/>
                          <w:i/>
                          <w:noProof/>
                          <w:szCs w:val="24"/>
                          <w:lang w:val="sr-Cyrl-CS"/>
                        </w:rPr>
                        <w:t xml:space="preserve"> </w:t>
                      </w:r>
                      <w:r>
                        <w:rPr>
                          <w:b/>
                          <w:i/>
                          <w:noProof/>
                          <w:szCs w:val="24"/>
                          <w:lang w:val="sr-Cyrl-CS"/>
                        </w:rPr>
                        <w:t>ИПА</w:t>
                      </w:r>
                      <w:r w:rsidRPr="00090AA9">
                        <w:rPr>
                          <w:noProof/>
                          <w:szCs w:val="24"/>
                          <w:lang w:val="sr-Cyrl-CS"/>
                        </w:rPr>
                        <w:t xml:space="preserve"> </w:t>
                      </w:r>
                      <w:r>
                        <w:rPr>
                          <w:b/>
                          <w:i/>
                          <w:noProof/>
                          <w:lang w:val="sr-Cyrl-CS"/>
                        </w:rPr>
                        <w:t>омогућује</w:t>
                      </w:r>
                      <w:r w:rsidRPr="00090AA9">
                        <w:rPr>
                          <w:b/>
                          <w:i/>
                          <w:noProof/>
                          <w:lang w:val="sr-Cyrl-CS"/>
                        </w:rPr>
                        <w:t xml:space="preserve"> </w:t>
                      </w:r>
                      <w:r>
                        <w:rPr>
                          <w:b/>
                          <w:i/>
                          <w:noProof/>
                          <w:lang w:val="sr-Cyrl-CS"/>
                        </w:rPr>
                        <w:t>груписање</w:t>
                      </w:r>
                      <w:r w:rsidRPr="00090AA9">
                        <w:rPr>
                          <w:b/>
                          <w:i/>
                          <w:noProof/>
                          <w:lang w:val="sr-Cyrl-CS"/>
                        </w:rPr>
                        <w:t xml:space="preserve"> </w:t>
                      </w:r>
                      <w:r>
                        <w:rPr>
                          <w:b/>
                          <w:i/>
                          <w:noProof/>
                          <w:lang w:val="sr-Cyrl-CS"/>
                        </w:rPr>
                        <w:t>функција</w:t>
                      </w:r>
                      <w:r w:rsidRPr="00090AA9">
                        <w:rPr>
                          <w:b/>
                          <w:i/>
                          <w:noProof/>
                          <w:lang w:val="sr-Cyrl-CS"/>
                        </w:rPr>
                        <w:t xml:space="preserve"> </w:t>
                      </w:r>
                      <w:r>
                        <w:rPr>
                          <w:b/>
                          <w:i/>
                          <w:noProof/>
                          <w:lang w:val="sr-Cyrl-CS"/>
                        </w:rPr>
                        <w:t>оперативних</w:t>
                      </w:r>
                      <w:r w:rsidRPr="00090AA9">
                        <w:rPr>
                          <w:b/>
                          <w:i/>
                          <w:noProof/>
                          <w:lang w:val="sr-Cyrl-CS"/>
                        </w:rPr>
                        <w:t xml:space="preserve"> </w:t>
                      </w:r>
                      <w:r>
                        <w:rPr>
                          <w:b/>
                          <w:i/>
                          <w:noProof/>
                          <w:lang w:val="sr-Cyrl-CS"/>
                        </w:rPr>
                        <w:t>структура</w:t>
                      </w:r>
                      <w:r w:rsidRPr="00090AA9">
                        <w:rPr>
                          <w:b/>
                          <w:i/>
                          <w:noProof/>
                          <w:lang w:val="sr-Cyrl-CS"/>
                        </w:rPr>
                        <w:t xml:space="preserve"> </w:t>
                      </w:r>
                      <w:r>
                        <w:rPr>
                          <w:b/>
                          <w:i/>
                          <w:noProof/>
                          <w:lang w:val="sr-Cyrl-CS"/>
                        </w:rPr>
                        <w:t>и</w:t>
                      </w:r>
                      <w:r w:rsidRPr="00090AA9">
                        <w:rPr>
                          <w:b/>
                          <w:i/>
                          <w:noProof/>
                          <w:lang w:val="sr-Cyrl-CS"/>
                        </w:rPr>
                        <w:t xml:space="preserve"> </w:t>
                      </w:r>
                      <w:r>
                        <w:rPr>
                          <w:b/>
                          <w:i/>
                          <w:noProof/>
                          <w:lang w:val="sr-Cyrl-CS"/>
                        </w:rPr>
                        <w:t>њихово</w:t>
                      </w:r>
                      <w:r w:rsidRPr="00090AA9">
                        <w:rPr>
                          <w:b/>
                          <w:i/>
                          <w:noProof/>
                          <w:lang w:val="sr-Cyrl-CS"/>
                        </w:rPr>
                        <w:t xml:space="preserve"> </w:t>
                      </w:r>
                      <w:r>
                        <w:rPr>
                          <w:b/>
                          <w:i/>
                          <w:noProof/>
                          <w:lang w:val="sr-Cyrl-CS"/>
                        </w:rPr>
                        <w:t>стављање</w:t>
                      </w:r>
                      <w:r w:rsidRPr="00090AA9">
                        <w:rPr>
                          <w:b/>
                          <w:i/>
                          <w:noProof/>
                          <w:lang w:val="sr-Cyrl-CS"/>
                        </w:rPr>
                        <w:t xml:space="preserve"> </w:t>
                      </w:r>
                      <w:r>
                        <w:rPr>
                          <w:b/>
                          <w:i/>
                          <w:noProof/>
                          <w:lang w:val="sr-Cyrl-CS"/>
                        </w:rPr>
                        <w:t>у</w:t>
                      </w:r>
                      <w:r w:rsidRPr="00090AA9">
                        <w:rPr>
                          <w:b/>
                          <w:i/>
                          <w:noProof/>
                          <w:lang w:val="sr-Cyrl-CS"/>
                        </w:rPr>
                        <w:t xml:space="preserve"> </w:t>
                      </w:r>
                      <w:r>
                        <w:rPr>
                          <w:b/>
                          <w:i/>
                          <w:noProof/>
                          <w:lang w:val="sr-Cyrl-CS"/>
                        </w:rPr>
                        <w:t>надлежност</w:t>
                      </w:r>
                      <w:r w:rsidRPr="00090AA9">
                        <w:rPr>
                          <w:b/>
                          <w:i/>
                          <w:noProof/>
                          <w:lang w:val="sr-Cyrl-CS"/>
                        </w:rPr>
                        <w:t xml:space="preserve"> </w:t>
                      </w:r>
                      <w:r>
                        <w:rPr>
                          <w:b/>
                          <w:i/>
                          <w:noProof/>
                          <w:lang w:val="sr-Cyrl-CS"/>
                        </w:rPr>
                        <w:t>овлашћених</w:t>
                      </w:r>
                      <w:r w:rsidRPr="00090AA9">
                        <w:rPr>
                          <w:b/>
                          <w:i/>
                          <w:noProof/>
                          <w:lang w:val="sr-Cyrl-CS"/>
                        </w:rPr>
                        <w:t xml:space="preserve"> </w:t>
                      </w:r>
                      <w:r>
                        <w:rPr>
                          <w:b/>
                          <w:i/>
                          <w:noProof/>
                          <w:lang w:val="sr-Cyrl-CS"/>
                        </w:rPr>
                        <w:t>органа</w:t>
                      </w:r>
                      <w:r w:rsidRPr="00090AA9">
                        <w:rPr>
                          <w:b/>
                          <w:i/>
                          <w:noProof/>
                          <w:lang w:val="sr-Cyrl-CS"/>
                        </w:rPr>
                        <w:t xml:space="preserve">. </w:t>
                      </w:r>
                    </w:p>
                  </w:txbxContent>
                </v:textbox>
              </v:rect>
            </w:pict>
          </mc:Fallback>
        </mc:AlternateContent>
      </w:r>
    </w:p>
    <w:p w:rsidR="0046476F" w:rsidRPr="009F5B52" w:rsidRDefault="0046476F" w:rsidP="0046476F">
      <w:pPr>
        <w:rPr>
          <w:szCs w:val="24"/>
          <w:lang w:val="sr-Cyrl-CS"/>
        </w:rPr>
      </w:pPr>
    </w:p>
    <w:p w:rsidR="00A55776" w:rsidRPr="009F5B52" w:rsidRDefault="00A55776" w:rsidP="0046476F">
      <w:pPr>
        <w:rPr>
          <w:noProof/>
          <w:lang w:val="sr-Cyrl-CS"/>
        </w:rPr>
      </w:pPr>
    </w:p>
    <w:p w:rsidR="0046476F" w:rsidRPr="009F5B52" w:rsidRDefault="0046476F" w:rsidP="0046476F">
      <w:pPr>
        <w:rPr>
          <w:noProof/>
          <w:lang w:val="sr-Cyrl-CS"/>
        </w:rPr>
      </w:pPr>
      <w:r w:rsidRPr="009F5B52">
        <w:rPr>
          <w:noProof/>
          <w:lang w:val="sr-Cyrl-CS"/>
        </w:rPr>
        <w:t xml:space="preserve">Однос између ових посебних органа и </w:t>
      </w:r>
      <w:r w:rsidR="00F67A9F" w:rsidRPr="009F5B52">
        <w:rPr>
          <w:noProof/>
          <w:lang w:val="sr-Cyrl-CS"/>
        </w:rPr>
        <w:t>о</w:t>
      </w:r>
      <w:r w:rsidRPr="009F5B52">
        <w:rPr>
          <w:noProof/>
          <w:lang w:val="sr-Cyrl-CS"/>
        </w:rPr>
        <w:t xml:space="preserve">перативних структура требало би озваничити писаним споразумима. Они су затим предмент акредитације од стране </w:t>
      </w:r>
      <w:r w:rsidR="0006590A" w:rsidRPr="009F5B52">
        <w:rPr>
          <w:noProof/>
          <w:lang w:val="sr-Cyrl-CS"/>
        </w:rPr>
        <w:t>н</w:t>
      </w:r>
      <w:r w:rsidRPr="009F5B52">
        <w:rPr>
          <w:noProof/>
          <w:lang w:val="sr-Cyrl-CS"/>
        </w:rPr>
        <w:t xml:space="preserve">ационалног </w:t>
      </w:r>
      <w:r w:rsidR="0006590A" w:rsidRPr="009F5B52">
        <w:rPr>
          <w:noProof/>
          <w:lang w:val="sr-Cyrl-CS"/>
        </w:rPr>
        <w:t>службеника за одобравање</w:t>
      </w:r>
      <w:r w:rsidRPr="009F5B52">
        <w:rPr>
          <w:noProof/>
          <w:lang w:val="sr-Cyrl-CS"/>
        </w:rPr>
        <w:t xml:space="preserve"> и тада Комисија даје одобрење за </w:t>
      </w:r>
      <w:r w:rsidR="00E0770C" w:rsidRPr="009F5B52">
        <w:rPr>
          <w:bCs/>
          <w:noProof/>
          <w:szCs w:val="24"/>
          <w:lang w:val="sr-Cyrl-CS"/>
        </w:rPr>
        <w:t>„</w:t>
      </w:r>
      <w:r w:rsidR="0006590A" w:rsidRPr="009F5B52">
        <w:rPr>
          <w:noProof/>
          <w:lang w:val="sr-Cyrl-CS"/>
        </w:rPr>
        <w:t>пренос</w:t>
      </w:r>
      <w:r w:rsidRPr="009F5B52">
        <w:rPr>
          <w:noProof/>
          <w:lang w:val="sr-Cyrl-CS"/>
        </w:rPr>
        <w:t xml:space="preserve"> овлашћења</w:t>
      </w:r>
      <w:r w:rsidR="0006590A" w:rsidRPr="009F5B52">
        <w:rPr>
          <w:noProof/>
          <w:lang w:val="sr-Cyrl-CS"/>
        </w:rPr>
        <w:t xml:space="preserve"> за управљање</w:t>
      </w:r>
      <w:r w:rsidRPr="009F5B52">
        <w:rPr>
          <w:noProof/>
          <w:lang w:val="sr-Cyrl-CS"/>
        </w:rPr>
        <w:t xml:space="preserve">”. Према терминологији ИПА, ова тела се називају </w:t>
      </w:r>
      <w:r w:rsidR="00E0770C" w:rsidRPr="009F5B52">
        <w:rPr>
          <w:bCs/>
          <w:noProof/>
          <w:szCs w:val="24"/>
          <w:lang w:val="sr-Cyrl-CS"/>
        </w:rPr>
        <w:t>„</w:t>
      </w:r>
      <w:r w:rsidR="0006590A" w:rsidRPr="009F5B52">
        <w:rPr>
          <w:noProof/>
          <w:lang w:val="sr-Cyrl-CS"/>
        </w:rPr>
        <w:t>о</w:t>
      </w:r>
      <w:r w:rsidRPr="009F5B52">
        <w:rPr>
          <w:noProof/>
          <w:lang w:val="sr-Cyrl-CS"/>
        </w:rPr>
        <w:t xml:space="preserve">влашћени органи”. Према терминологији </w:t>
      </w:r>
      <w:r w:rsidR="0006590A" w:rsidRPr="009F5B52">
        <w:rPr>
          <w:noProof/>
          <w:lang w:val="sr-Cyrl-CS"/>
        </w:rPr>
        <w:t>с</w:t>
      </w:r>
      <w:r w:rsidRPr="009F5B52">
        <w:rPr>
          <w:noProof/>
          <w:lang w:val="sr-Cyrl-CS"/>
        </w:rPr>
        <w:t xml:space="preserve">труктурних фондова, то је општи израз за </w:t>
      </w:r>
      <w:r w:rsidR="00E0770C" w:rsidRPr="009F5B52">
        <w:rPr>
          <w:bCs/>
          <w:noProof/>
          <w:szCs w:val="24"/>
          <w:lang w:val="sr-Cyrl-CS"/>
        </w:rPr>
        <w:t>„</w:t>
      </w:r>
      <w:r w:rsidR="0006590A" w:rsidRPr="009F5B52">
        <w:rPr>
          <w:noProof/>
          <w:lang w:val="sr-Cyrl-CS"/>
        </w:rPr>
        <w:t>п</w:t>
      </w:r>
      <w:r w:rsidRPr="009F5B52">
        <w:rPr>
          <w:noProof/>
          <w:lang w:val="sr-Cyrl-CS"/>
        </w:rPr>
        <w:t>осредничк</w:t>
      </w:r>
      <w:r w:rsidR="00DD508E" w:rsidRPr="009F5B52">
        <w:rPr>
          <w:noProof/>
          <w:lang w:val="sr-Cyrl-CS"/>
        </w:rPr>
        <w:t>а</w:t>
      </w:r>
      <w:r w:rsidRPr="009F5B52">
        <w:rPr>
          <w:noProof/>
          <w:lang w:val="sr-Cyrl-CS"/>
        </w:rPr>
        <w:t xml:space="preserve"> </w:t>
      </w:r>
      <w:r w:rsidR="00DD508E" w:rsidRPr="009F5B52">
        <w:rPr>
          <w:noProof/>
          <w:lang w:val="sr-Cyrl-CS"/>
        </w:rPr>
        <w:t>тела</w:t>
      </w:r>
      <w:r w:rsidRPr="009F5B52">
        <w:rPr>
          <w:noProof/>
          <w:lang w:val="sr-Cyrl-CS"/>
        </w:rPr>
        <w:t>”.</w:t>
      </w:r>
    </w:p>
    <w:p w:rsidR="0046476F" w:rsidRPr="009F5B52" w:rsidRDefault="008D62BD" w:rsidP="0046476F">
      <w:pPr>
        <w:pStyle w:val="Heading3"/>
        <w:rPr>
          <w:noProof/>
          <w:lang w:val="sr-Cyrl-CS"/>
        </w:rPr>
      </w:pPr>
      <w:bookmarkStart w:id="36" w:name="_Toc330562305"/>
      <w:bookmarkStart w:id="37" w:name="_Toc327447117"/>
      <w:r w:rsidRPr="009F5B52">
        <w:rPr>
          <w:noProof/>
          <w:lang w:val="sr-Cyrl-CS"/>
        </w:rPr>
        <w:t>2</w:t>
      </w:r>
      <w:r w:rsidR="0046476F" w:rsidRPr="009F5B52">
        <w:rPr>
          <w:noProof/>
          <w:lang w:val="sr-Cyrl-CS"/>
        </w:rPr>
        <w:t>.2.2. Правовремено управљање фондовима ЕУ</w:t>
      </w:r>
      <w:bookmarkEnd w:id="36"/>
      <w:r w:rsidR="0046476F" w:rsidRPr="009F5B52">
        <w:rPr>
          <w:noProof/>
          <w:lang w:val="sr-Cyrl-CS"/>
        </w:rPr>
        <w:t xml:space="preserve"> </w:t>
      </w:r>
      <w:bookmarkEnd w:id="37"/>
    </w:p>
    <w:p w:rsidR="0046476F" w:rsidRPr="009F5B52" w:rsidRDefault="0046476F" w:rsidP="0046476F">
      <w:pPr>
        <w:rPr>
          <w:noProof/>
          <w:szCs w:val="24"/>
          <w:lang w:val="sr-Cyrl-CS"/>
        </w:rPr>
      </w:pPr>
      <w:r w:rsidRPr="009F5B52">
        <w:rPr>
          <w:noProof/>
          <w:szCs w:val="24"/>
          <w:lang w:val="sr-Cyrl-CS"/>
        </w:rPr>
        <w:t xml:space="preserve">Аранжмани за управљање фондовима ЕУ постају још сложенији када се узму у обзир различити аспекти попут временских ограничења које намеће Уредба о спровођењу ИПА и захтеви за </w:t>
      </w:r>
      <w:r w:rsidR="00942E56" w:rsidRPr="009F5B52">
        <w:rPr>
          <w:noProof/>
          <w:szCs w:val="24"/>
          <w:lang w:val="sr-Cyrl-CS"/>
        </w:rPr>
        <w:t>ко</w:t>
      </w:r>
      <w:r w:rsidRPr="009F5B52">
        <w:rPr>
          <w:noProof/>
          <w:szCs w:val="24"/>
          <w:lang w:val="sr-Cyrl-CS"/>
        </w:rPr>
        <w:t xml:space="preserve">финансирањем. Ови аспекти су још озбиљнији у ситуацији када државни органи морају да управљају великим портфељима мањих пројеката у ограниченом временском периоду. </w:t>
      </w:r>
    </w:p>
    <w:p w:rsidR="0046476F" w:rsidRPr="009F5B52" w:rsidRDefault="0046476F" w:rsidP="0046476F">
      <w:pPr>
        <w:rPr>
          <w:noProof/>
          <w:szCs w:val="24"/>
          <w:lang w:val="sr-Cyrl-CS"/>
        </w:rPr>
      </w:pPr>
      <w:r w:rsidRPr="009F5B52">
        <w:rPr>
          <w:noProof/>
          <w:szCs w:val="24"/>
          <w:lang w:val="sr-Cyrl-CS"/>
        </w:rPr>
        <w:t xml:space="preserve">Да би се нагласио значај координираног програмирања и </w:t>
      </w:r>
      <w:r w:rsidR="0006590A" w:rsidRPr="009F5B52">
        <w:rPr>
          <w:noProof/>
          <w:szCs w:val="24"/>
          <w:lang w:val="sr-Cyrl-CS"/>
        </w:rPr>
        <w:t>спровођења</w:t>
      </w:r>
      <w:r w:rsidRPr="009F5B52">
        <w:rPr>
          <w:noProof/>
          <w:szCs w:val="24"/>
          <w:lang w:val="sr-Cyrl-CS"/>
        </w:rPr>
        <w:t xml:space="preserve"> ИПА програма у оквиру децентрализованог управљања, битно је разумети наметнута временска ограничења за реализацију тих програма према правилима Инструмента за претприступну помоћ. </w:t>
      </w:r>
    </w:p>
    <w:p w:rsidR="0046476F" w:rsidRPr="009F5B52" w:rsidRDefault="0046476F" w:rsidP="0046476F">
      <w:pPr>
        <w:spacing w:after="0"/>
        <w:rPr>
          <w:noProof/>
          <w:szCs w:val="24"/>
          <w:lang w:val="sr-Cyrl-CS"/>
        </w:rPr>
      </w:pPr>
      <w:r w:rsidRPr="009F5B52">
        <w:rPr>
          <w:noProof/>
          <w:szCs w:val="24"/>
          <w:lang w:val="sr-Cyrl-CS"/>
        </w:rPr>
        <w:t>Према постојећим регул</w:t>
      </w:r>
      <w:r w:rsidR="0006590A" w:rsidRPr="009F5B52">
        <w:rPr>
          <w:noProof/>
          <w:szCs w:val="24"/>
          <w:lang w:val="sr-Cyrl-CS"/>
        </w:rPr>
        <w:t>а</w:t>
      </w:r>
      <w:r w:rsidRPr="009F5B52">
        <w:rPr>
          <w:noProof/>
          <w:szCs w:val="24"/>
          <w:lang w:val="sr-Cyrl-CS"/>
        </w:rPr>
        <w:t xml:space="preserve">тивама које се односе на ИПА, кључни документи којима се дефинишу основна правила буџетског планирања и потрошње ЕУ и ИПА дефинишу </w:t>
      </w:r>
      <w:r w:rsidR="00E0770C" w:rsidRPr="009F5B52">
        <w:rPr>
          <w:bCs/>
          <w:noProof/>
          <w:szCs w:val="24"/>
          <w:lang w:val="sr-Cyrl-CS"/>
        </w:rPr>
        <w:t>„</w:t>
      </w:r>
      <w:r w:rsidRPr="009F5B52">
        <w:rPr>
          <w:noProof/>
          <w:szCs w:val="24"/>
          <w:lang w:val="sr-Cyrl-CS"/>
        </w:rPr>
        <w:t xml:space="preserve">правило  </w:t>
      </w:r>
      <w:r w:rsidR="0006590A" w:rsidRPr="009F5B52">
        <w:rPr>
          <w:szCs w:val="24"/>
          <w:lang w:val="sr-Cyrl-CS"/>
        </w:rPr>
        <w:t>N+3</w:t>
      </w:r>
      <w:r w:rsidRPr="009F5B52">
        <w:rPr>
          <w:noProof/>
          <w:szCs w:val="24"/>
          <w:lang w:val="sr-Cyrl-CS"/>
        </w:rPr>
        <w:t>”</w:t>
      </w:r>
      <w:r w:rsidR="0006590A" w:rsidRPr="009F5B52">
        <w:rPr>
          <w:noProof/>
          <w:szCs w:val="24"/>
          <w:lang w:val="sr-Cyrl-CS"/>
        </w:rPr>
        <w:t xml:space="preserve"> </w:t>
      </w:r>
      <w:r w:rsidRPr="009F5B52">
        <w:rPr>
          <w:noProof/>
          <w:szCs w:val="24"/>
          <w:lang w:val="sr-Cyrl-CS"/>
        </w:rPr>
        <w:t>су:</w:t>
      </w:r>
    </w:p>
    <w:p w:rsidR="0046476F" w:rsidRPr="009F5B52" w:rsidRDefault="0046476F" w:rsidP="0046476F">
      <w:pPr>
        <w:spacing w:after="0"/>
        <w:rPr>
          <w:noProof/>
          <w:szCs w:val="24"/>
          <w:lang w:val="sr-Cyrl-CS"/>
        </w:rPr>
      </w:pPr>
    </w:p>
    <w:p w:rsidR="0046476F" w:rsidRPr="009F5B52" w:rsidRDefault="0046476F" w:rsidP="0046476F">
      <w:pPr>
        <w:pStyle w:val="ListParagraph"/>
        <w:numPr>
          <w:ilvl w:val="0"/>
          <w:numId w:val="45"/>
        </w:numPr>
        <w:rPr>
          <w:noProof/>
          <w:lang w:val="sr-Cyrl-CS"/>
        </w:rPr>
      </w:pPr>
      <w:r w:rsidRPr="009F5B52">
        <w:rPr>
          <w:noProof/>
          <w:lang w:val="sr-Cyrl-CS"/>
        </w:rPr>
        <w:t>Уредба Савета (Е</w:t>
      </w:r>
      <w:r w:rsidR="0006590A" w:rsidRPr="009F5B52">
        <w:rPr>
          <w:noProof/>
          <w:lang w:val="sr-Cyrl-CS"/>
        </w:rPr>
        <w:t>З</w:t>
      </w:r>
      <w:r w:rsidRPr="009F5B52">
        <w:rPr>
          <w:noProof/>
          <w:lang w:val="sr-Cyrl-CS"/>
        </w:rPr>
        <w:t xml:space="preserve">, Еуратом) </w:t>
      </w:r>
      <w:r w:rsidR="0006590A" w:rsidRPr="009F5B52">
        <w:rPr>
          <w:noProof/>
          <w:lang w:val="sr-Cyrl-CS"/>
        </w:rPr>
        <w:t>б</w:t>
      </w:r>
      <w:r w:rsidRPr="009F5B52">
        <w:rPr>
          <w:noProof/>
          <w:lang w:val="sr-Cyrl-CS"/>
        </w:rPr>
        <w:t>р. 1605/2002 од 25. јуна 2002.</w:t>
      </w:r>
      <w:r w:rsidR="0006590A" w:rsidRPr="009F5B52">
        <w:rPr>
          <w:noProof/>
          <w:lang w:val="sr-Cyrl-CS"/>
        </w:rPr>
        <w:t xml:space="preserve"> </w:t>
      </w:r>
      <w:r w:rsidRPr="009F5B52">
        <w:rPr>
          <w:noProof/>
          <w:lang w:val="sr-Cyrl-CS"/>
        </w:rPr>
        <w:t>године о Финансијск</w:t>
      </w:r>
      <w:r w:rsidR="0006590A" w:rsidRPr="009F5B52">
        <w:rPr>
          <w:noProof/>
          <w:lang w:val="sr-Cyrl-CS"/>
        </w:rPr>
        <w:t>ој</w:t>
      </w:r>
      <w:r w:rsidRPr="009F5B52">
        <w:rPr>
          <w:noProof/>
          <w:lang w:val="sr-Cyrl-CS"/>
        </w:rPr>
        <w:t xml:space="preserve"> </w:t>
      </w:r>
      <w:r w:rsidR="0006590A" w:rsidRPr="009F5B52">
        <w:rPr>
          <w:noProof/>
          <w:lang w:val="sr-Cyrl-CS"/>
        </w:rPr>
        <w:t>уредби</w:t>
      </w:r>
      <w:r w:rsidRPr="009F5B52">
        <w:rPr>
          <w:noProof/>
          <w:lang w:val="sr-Cyrl-CS"/>
        </w:rPr>
        <w:t xml:space="preserve"> кој</w:t>
      </w:r>
      <w:r w:rsidR="0006590A" w:rsidRPr="009F5B52">
        <w:rPr>
          <w:noProof/>
          <w:lang w:val="sr-Cyrl-CS"/>
        </w:rPr>
        <w:t>а</w:t>
      </w:r>
      <w:r w:rsidRPr="009F5B52">
        <w:rPr>
          <w:noProof/>
          <w:lang w:val="sr-Cyrl-CS"/>
        </w:rPr>
        <w:t xml:space="preserve"> се примењуј</w:t>
      </w:r>
      <w:r w:rsidR="0006590A" w:rsidRPr="009F5B52">
        <w:rPr>
          <w:noProof/>
          <w:lang w:val="sr-Cyrl-CS"/>
        </w:rPr>
        <w:t>е</w:t>
      </w:r>
      <w:r w:rsidRPr="009F5B52">
        <w:rPr>
          <w:noProof/>
          <w:lang w:val="sr-Cyrl-CS"/>
        </w:rPr>
        <w:t xml:space="preserve"> на општи буџет Европских заједница</w:t>
      </w:r>
      <w:r w:rsidRPr="009F5B52">
        <w:rPr>
          <w:rStyle w:val="FootnoteReference"/>
          <w:noProof/>
          <w:szCs w:val="24"/>
          <w:lang w:val="sr-Cyrl-CS"/>
        </w:rPr>
        <w:footnoteReference w:id="25"/>
      </w:r>
      <w:r w:rsidRPr="009F5B52">
        <w:rPr>
          <w:noProof/>
          <w:lang w:val="sr-Cyrl-CS"/>
        </w:rPr>
        <w:t xml:space="preserve"> - (у даљем тексту: Финансијска регулатива),</w:t>
      </w:r>
    </w:p>
    <w:p w:rsidR="0046476F" w:rsidRPr="009F5B52" w:rsidRDefault="0046476F" w:rsidP="0046476F">
      <w:pPr>
        <w:pStyle w:val="ListParagraph"/>
        <w:numPr>
          <w:ilvl w:val="0"/>
          <w:numId w:val="45"/>
        </w:numPr>
        <w:rPr>
          <w:noProof/>
          <w:lang w:val="sr-Cyrl-CS"/>
        </w:rPr>
      </w:pPr>
      <w:r w:rsidRPr="009F5B52">
        <w:rPr>
          <w:noProof/>
          <w:lang w:val="sr-Cyrl-CS"/>
        </w:rPr>
        <w:t>Уредба Комисије (E</w:t>
      </w:r>
      <w:r w:rsidR="0006590A" w:rsidRPr="009F5B52">
        <w:rPr>
          <w:noProof/>
          <w:lang w:val="sr-Cyrl-CS"/>
        </w:rPr>
        <w:t>З</w:t>
      </w:r>
      <w:r w:rsidRPr="009F5B52">
        <w:rPr>
          <w:noProof/>
          <w:lang w:val="sr-Cyrl-CS"/>
        </w:rPr>
        <w:t xml:space="preserve">, Еуратом) </w:t>
      </w:r>
      <w:r w:rsidR="0006590A" w:rsidRPr="009F5B52">
        <w:rPr>
          <w:noProof/>
          <w:lang w:val="sr-Cyrl-CS"/>
        </w:rPr>
        <w:t>б</w:t>
      </w:r>
      <w:r w:rsidRPr="009F5B52">
        <w:rPr>
          <w:noProof/>
          <w:lang w:val="sr-Cyrl-CS"/>
        </w:rPr>
        <w:t xml:space="preserve">р. 2342/2002 од 23. децембра 2002. године која дефинише детаљна правила спровођења Уредбе Савета (EK, Еуратом) Бр. 1605/2002 о Финансијској регулативи која се примењује на општи буџет </w:t>
      </w:r>
      <w:r w:rsidRPr="009F5B52">
        <w:rPr>
          <w:noProof/>
          <w:lang w:val="sr-Cyrl-CS"/>
        </w:rPr>
        <w:lastRenderedPageBreak/>
        <w:t xml:space="preserve">Европских заједница </w:t>
      </w:r>
      <w:r w:rsidR="0006590A" w:rsidRPr="009F5B52">
        <w:rPr>
          <w:noProof/>
          <w:lang w:val="sr-Cyrl-CS"/>
        </w:rPr>
        <w:t xml:space="preserve">– </w:t>
      </w:r>
      <w:r w:rsidRPr="009F5B52">
        <w:rPr>
          <w:i/>
          <w:noProof/>
          <w:lang w:val="sr-Cyrl-CS"/>
        </w:rPr>
        <w:t>и припадајући амандмани и корекције</w:t>
      </w:r>
      <w:r w:rsidRPr="009F5B52">
        <w:rPr>
          <w:noProof/>
          <w:lang w:val="sr-Cyrl-CS"/>
        </w:rPr>
        <w:t xml:space="preserve"> (у даљем тексту: Уредба о спровођењу Финансијске регулативе),</w:t>
      </w:r>
    </w:p>
    <w:p w:rsidR="0046476F" w:rsidRPr="009F5B52" w:rsidRDefault="0046476F" w:rsidP="0046476F">
      <w:pPr>
        <w:pStyle w:val="ListParagraph"/>
        <w:numPr>
          <w:ilvl w:val="0"/>
          <w:numId w:val="45"/>
        </w:numPr>
        <w:rPr>
          <w:noProof/>
          <w:lang w:val="sr-Cyrl-CS"/>
        </w:rPr>
      </w:pPr>
      <w:r w:rsidRPr="009F5B52">
        <w:rPr>
          <w:noProof/>
          <w:lang w:val="sr-Cyrl-CS"/>
        </w:rPr>
        <w:t>Уредба о спровођењу ИПА.</w:t>
      </w:r>
    </w:p>
    <w:p w:rsidR="0046476F" w:rsidRPr="009F5B52" w:rsidRDefault="0046476F" w:rsidP="0046476F">
      <w:pPr>
        <w:rPr>
          <w:bCs/>
          <w:noProof/>
          <w:lang w:val="sr-Cyrl-CS"/>
        </w:rPr>
      </w:pPr>
      <w:r w:rsidRPr="009F5B52">
        <w:rPr>
          <w:noProof/>
          <w:lang w:val="sr-Cyrl-CS"/>
        </w:rPr>
        <w:t>У складу са Чланом 166. Финансијске уредбе, Европска комисија ће аутоматски повући</w:t>
      </w:r>
      <w:r w:rsidRPr="009F5B52">
        <w:rPr>
          <w:bCs/>
          <w:noProof/>
          <w:lang w:val="sr-Cyrl-CS"/>
        </w:rPr>
        <w:t xml:space="preserve"> сваки део буџетског опредељења за програм у случају када, до </w:t>
      </w:r>
      <w:r w:rsidR="0006590A" w:rsidRPr="009F5B52">
        <w:rPr>
          <w:bCs/>
          <w:noProof/>
          <w:lang w:val="sr-Cyrl-CS"/>
        </w:rPr>
        <w:t>3</w:t>
      </w:r>
      <w:r w:rsidRPr="009F5B52">
        <w:rPr>
          <w:bCs/>
          <w:noProof/>
          <w:lang w:val="sr-Cyrl-CS"/>
        </w:rPr>
        <w:t>1. децембра треће године након године ’</w:t>
      </w:r>
      <w:r w:rsidR="0006590A" w:rsidRPr="009F5B52">
        <w:rPr>
          <w:szCs w:val="24"/>
          <w:lang w:val="sr-Cyrl-CS"/>
        </w:rPr>
        <w:t>N</w:t>
      </w:r>
      <w:r w:rsidRPr="009F5B52">
        <w:rPr>
          <w:bCs/>
          <w:noProof/>
          <w:lang w:val="sr-Cyrl-CS"/>
        </w:rPr>
        <w:t>’ када је учињено буџетско опредељење, тај програм није реализован.</w:t>
      </w:r>
    </w:p>
    <w:p w:rsidR="0046476F" w:rsidRPr="009F5B52" w:rsidRDefault="0046476F" w:rsidP="0046476F">
      <w:pPr>
        <w:rPr>
          <w:noProof/>
          <w:szCs w:val="24"/>
          <w:lang w:val="sr-Cyrl-CS"/>
        </w:rPr>
      </w:pPr>
      <w:r w:rsidRPr="009F5B52">
        <w:rPr>
          <w:noProof/>
          <w:szCs w:val="24"/>
          <w:lang w:val="sr-Cyrl-CS"/>
        </w:rPr>
        <w:t xml:space="preserve">Другим речима, ако је година </w:t>
      </w:r>
      <w:r w:rsidR="0006590A" w:rsidRPr="009F5B52">
        <w:rPr>
          <w:bCs/>
          <w:noProof/>
          <w:lang w:val="sr-Cyrl-CS"/>
        </w:rPr>
        <w:t>’</w:t>
      </w:r>
      <w:r w:rsidR="0006590A" w:rsidRPr="009F5B52">
        <w:rPr>
          <w:szCs w:val="24"/>
          <w:lang w:val="sr-Cyrl-CS"/>
        </w:rPr>
        <w:t>N</w:t>
      </w:r>
      <w:r w:rsidR="0006590A" w:rsidRPr="009F5B52">
        <w:rPr>
          <w:bCs/>
          <w:noProof/>
          <w:lang w:val="sr-Cyrl-CS"/>
        </w:rPr>
        <w:t>’</w:t>
      </w:r>
      <w:r w:rsidRPr="009F5B52">
        <w:rPr>
          <w:noProof/>
          <w:szCs w:val="24"/>
          <w:lang w:val="sr-Cyrl-CS"/>
        </w:rPr>
        <w:t xml:space="preserve"> 2013.</w:t>
      </w:r>
      <w:r w:rsidR="0006590A" w:rsidRPr="009F5B52">
        <w:rPr>
          <w:noProof/>
          <w:szCs w:val="24"/>
          <w:lang w:val="sr-Cyrl-CS"/>
        </w:rPr>
        <w:t xml:space="preserve"> </w:t>
      </w:r>
      <w:r w:rsidRPr="009F5B52">
        <w:rPr>
          <w:noProof/>
          <w:szCs w:val="24"/>
          <w:lang w:val="sr-Cyrl-CS"/>
        </w:rPr>
        <w:t>година, корисник мора реализовати програм до краја 2016.</w:t>
      </w:r>
      <w:r w:rsidR="00E0770C" w:rsidRPr="009F5B52">
        <w:rPr>
          <w:noProof/>
          <w:szCs w:val="24"/>
          <w:lang w:val="sr-Cyrl-CS"/>
        </w:rPr>
        <w:t xml:space="preserve"> </w:t>
      </w:r>
      <w:r w:rsidRPr="009F5B52">
        <w:rPr>
          <w:noProof/>
          <w:szCs w:val="24"/>
          <w:lang w:val="sr-Cyrl-CS"/>
        </w:rPr>
        <w:t xml:space="preserve">године и извршити коначне исплате (10% свих исплата – остатак исплата мора бити извршен раније, укључујући и 30% ‘аванса’ уплаћеног у години </w:t>
      </w:r>
      <w:r w:rsidR="0006590A" w:rsidRPr="009F5B52">
        <w:rPr>
          <w:bCs/>
          <w:noProof/>
          <w:lang w:val="sr-Cyrl-CS"/>
        </w:rPr>
        <w:t>’</w:t>
      </w:r>
      <w:r w:rsidR="0006590A" w:rsidRPr="009F5B52">
        <w:rPr>
          <w:szCs w:val="24"/>
          <w:lang w:val="sr-Cyrl-CS"/>
        </w:rPr>
        <w:t>N</w:t>
      </w:r>
      <w:r w:rsidR="0006590A" w:rsidRPr="009F5B52">
        <w:rPr>
          <w:bCs/>
          <w:noProof/>
          <w:lang w:val="sr-Cyrl-CS"/>
        </w:rPr>
        <w:t>’</w:t>
      </w:r>
      <w:r w:rsidRPr="009F5B52">
        <w:rPr>
          <w:noProof/>
          <w:szCs w:val="24"/>
          <w:lang w:val="sr-Cyrl-CS"/>
        </w:rPr>
        <w:t>) до краја 2017. године</w:t>
      </w:r>
    </w:p>
    <w:p w:rsidR="0046476F" w:rsidRPr="009F5B52" w:rsidRDefault="0006590A" w:rsidP="0046476F">
      <w:pPr>
        <w:spacing w:after="0"/>
        <w:ind w:firstLine="720"/>
        <w:rPr>
          <w:i/>
          <w:noProof/>
          <w:szCs w:val="24"/>
          <w:lang w:val="sr-Cyrl-CS"/>
        </w:rPr>
      </w:pPr>
      <w:r w:rsidRPr="009F5B52">
        <w:rPr>
          <w:i/>
          <w:noProof/>
          <w:szCs w:val="24"/>
          <w:lang w:val="sr-Cyrl-CS"/>
        </w:rPr>
        <w:t xml:space="preserve"> </w:t>
      </w:r>
      <w:r w:rsidR="0046476F" w:rsidRPr="009F5B52">
        <w:rPr>
          <w:i/>
          <w:noProof/>
          <w:szCs w:val="24"/>
          <w:lang w:val="sr-Cyrl-CS"/>
        </w:rPr>
        <w:t xml:space="preserve">Табела 2: Исплате према правилу </w:t>
      </w:r>
      <w:r w:rsidRPr="009F5B52">
        <w:rPr>
          <w:szCs w:val="24"/>
          <w:lang w:val="sr-Cyrl-CS"/>
        </w:rPr>
        <w:t>N+3</w:t>
      </w:r>
    </w:p>
    <w:tbl>
      <w:tblPr>
        <w:tblW w:w="6673"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
        <w:gridCol w:w="951"/>
        <w:gridCol w:w="1114"/>
        <w:gridCol w:w="1114"/>
        <w:gridCol w:w="1114"/>
        <w:gridCol w:w="2367"/>
      </w:tblGrid>
      <w:tr w:rsidR="00C41BC0" w:rsidRPr="009F5B52" w:rsidTr="0005214B">
        <w:trPr>
          <w:trHeight w:val="303"/>
          <w:jc w:val="center"/>
        </w:trPr>
        <w:tc>
          <w:tcPr>
            <w:tcW w:w="964" w:type="dxa"/>
            <w:gridSpan w:val="2"/>
            <w:noWrap/>
          </w:tcPr>
          <w:p w:rsidR="00C41BC0" w:rsidRPr="009F5B52" w:rsidRDefault="00C41BC0" w:rsidP="0046476F">
            <w:pPr>
              <w:spacing w:after="0" w:line="240" w:lineRule="auto"/>
              <w:jc w:val="center"/>
              <w:rPr>
                <w:noProof/>
                <w:szCs w:val="24"/>
                <w:lang w:val="sr-Cyrl-CS"/>
              </w:rPr>
            </w:pPr>
            <w:r w:rsidRPr="009F5B52">
              <w:rPr>
                <w:noProof/>
                <w:szCs w:val="24"/>
                <w:lang w:val="sr-Cyrl-CS"/>
              </w:rPr>
              <w:t>2013.</w:t>
            </w:r>
          </w:p>
        </w:tc>
        <w:tc>
          <w:tcPr>
            <w:tcW w:w="1114" w:type="dxa"/>
            <w:noWrap/>
          </w:tcPr>
          <w:p w:rsidR="00C41BC0" w:rsidRPr="009F5B52" w:rsidRDefault="00C41BC0" w:rsidP="0046476F">
            <w:pPr>
              <w:spacing w:after="0" w:line="240" w:lineRule="auto"/>
              <w:jc w:val="center"/>
              <w:rPr>
                <w:noProof/>
                <w:szCs w:val="24"/>
                <w:lang w:val="sr-Cyrl-CS"/>
              </w:rPr>
            </w:pPr>
            <w:r w:rsidRPr="009F5B52">
              <w:rPr>
                <w:noProof/>
                <w:szCs w:val="24"/>
                <w:lang w:val="sr-Cyrl-CS"/>
              </w:rPr>
              <w:t>2014.</w:t>
            </w:r>
          </w:p>
        </w:tc>
        <w:tc>
          <w:tcPr>
            <w:tcW w:w="1114" w:type="dxa"/>
            <w:noWrap/>
          </w:tcPr>
          <w:p w:rsidR="00C41BC0" w:rsidRPr="009F5B52" w:rsidRDefault="00C41BC0" w:rsidP="0046476F">
            <w:pPr>
              <w:spacing w:after="0" w:line="240" w:lineRule="auto"/>
              <w:jc w:val="center"/>
              <w:rPr>
                <w:noProof/>
                <w:szCs w:val="24"/>
                <w:lang w:val="sr-Cyrl-CS"/>
              </w:rPr>
            </w:pPr>
            <w:r w:rsidRPr="009F5B52">
              <w:rPr>
                <w:noProof/>
                <w:szCs w:val="24"/>
                <w:lang w:val="sr-Cyrl-CS"/>
              </w:rPr>
              <w:t>2015.</w:t>
            </w:r>
          </w:p>
        </w:tc>
        <w:tc>
          <w:tcPr>
            <w:tcW w:w="1114" w:type="dxa"/>
            <w:noWrap/>
          </w:tcPr>
          <w:p w:rsidR="00C41BC0" w:rsidRPr="009F5B52" w:rsidRDefault="00C41BC0" w:rsidP="0046476F">
            <w:pPr>
              <w:spacing w:after="0" w:line="240" w:lineRule="auto"/>
              <w:jc w:val="center"/>
              <w:rPr>
                <w:noProof/>
                <w:szCs w:val="24"/>
                <w:lang w:val="sr-Cyrl-CS"/>
              </w:rPr>
            </w:pPr>
            <w:r w:rsidRPr="009F5B52">
              <w:rPr>
                <w:noProof/>
                <w:szCs w:val="24"/>
                <w:lang w:val="sr-Cyrl-CS"/>
              </w:rPr>
              <w:t>2016.</w:t>
            </w:r>
          </w:p>
        </w:tc>
        <w:tc>
          <w:tcPr>
            <w:tcW w:w="2367" w:type="dxa"/>
            <w:noWrap/>
          </w:tcPr>
          <w:p w:rsidR="00C41BC0" w:rsidRPr="009F5B52" w:rsidRDefault="00C41BC0" w:rsidP="0046476F">
            <w:pPr>
              <w:spacing w:after="0" w:line="240" w:lineRule="auto"/>
              <w:jc w:val="center"/>
              <w:rPr>
                <w:noProof/>
                <w:szCs w:val="24"/>
                <w:lang w:val="sr-Cyrl-CS"/>
              </w:rPr>
            </w:pPr>
            <w:r w:rsidRPr="009F5B52">
              <w:rPr>
                <w:noProof/>
                <w:szCs w:val="24"/>
                <w:lang w:val="sr-Cyrl-CS"/>
              </w:rPr>
              <w:t>2017.</w:t>
            </w:r>
          </w:p>
        </w:tc>
      </w:tr>
      <w:tr w:rsidR="00C41BC0" w:rsidRPr="009F5B52" w:rsidTr="0005214B">
        <w:trPr>
          <w:trHeight w:val="303"/>
          <w:jc w:val="center"/>
        </w:trPr>
        <w:tc>
          <w:tcPr>
            <w:tcW w:w="964" w:type="dxa"/>
            <w:gridSpan w:val="2"/>
            <w:noWrap/>
          </w:tcPr>
          <w:p w:rsidR="00C41BC0" w:rsidRPr="009F5B52" w:rsidRDefault="00C41BC0" w:rsidP="0006590A">
            <w:pPr>
              <w:spacing w:after="0" w:line="240" w:lineRule="auto"/>
              <w:jc w:val="center"/>
              <w:rPr>
                <w:b/>
                <w:szCs w:val="24"/>
                <w:lang w:val="sr-Cyrl-CS"/>
              </w:rPr>
            </w:pPr>
            <w:r w:rsidRPr="009F5B52">
              <w:rPr>
                <w:b/>
                <w:szCs w:val="24"/>
                <w:lang w:val="sr-Cyrl-CS"/>
              </w:rPr>
              <w:t>N</w:t>
            </w:r>
          </w:p>
          <w:p w:rsidR="00C41BC0" w:rsidRPr="009F5B52" w:rsidRDefault="00C41BC0" w:rsidP="0006590A">
            <w:pPr>
              <w:spacing w:after="0" w:line="240" w:lineRule="auto"/>
              <w:jc w:val="center"/>
              <w:rPr>
                <w:noProof/>
                <w:szCs w:val="24"/>
                <w:lang w:val="sr-Cyrl-CS"/>
              </w:rPr>
            </w:pPr>
            <w:r w:rsidRPr="009F5B52">
              <w:rPr>
                <w:noProof/>
                <w:szCs w:val="24"/>
                <w:lang w:val="sr-Cyrl-CS"/>
              </w:rPr>
              <w:t>(30% аванса)</w:t>
            </w:r>
          </w:p>
        </w:tc>
        <w:tc>
          <w:tcPr>
            <w:tcW w:w="1114" w:type="dxa"/>
            <w:noWrap/>
          </w:tcPr>
          <w:p w:rsidR="00C41BC0" w:rsidRPr="009F5B52" w:rsidRDefault="00C41BC0" w:rsidP="0006590A">
            <w:pPr>
              <w:spacing w:after="0" w:line="240" w:lineRule="auto"/>
              <w:jc w:val="center"/>
              <w:rPr>
                <w:b/>
                <w:noProof/>
                <w:szCs w:val="24"/>
                <w:lang w:val="sr-Cyrl-CS"/>
              </w:rPr>
            </w:pPr>
            <w:r w:rsidRPr="009F5B52">
              <w:rPr>
                <w:b/>
                <w:szCs w:val="24"/>
                <w:lang w:val="sr-Cyrl-CS"/>
              </w:rPr>
              <w:t>N+1</w:t>
            </w:r>
          </w:p>
        </w:tc>
        <w:tc>
          <w:tcPr>
            <w:tcW w:w="1114" w:type="dxa"/>
            <w:noWrap/>
          </w:tcPr>
          <w:p w:rsidR="00C41BC0" w:rsidRPr="009F5B52" w:rsidRDefault="00C41BC0" w:rsidP="0006590A">
            <w:pPr>
              <w:spacing w:after="0" w:line="240" w:lineRule="auto"/>
              <w:jc w:val="center"/>
              <w:rPr>
                <w:b/>
                <w:noProof/>
                <w:szCs w:val="24"/>
                <w:lang w:val="sr-Cyrl-CS"/>
              </w:rPr>
            </w:pPr>
            <w:r w:rsidRPr="009F5B52">
              <w:rPr>
                <w:b/>
                <w:szCs w:val="24"/>
                <w:lang w:val="sr-Cyrl-CS"/>
              </w:rPr>
              <w:t>N+2</w:t>
            </w:r>
          </w:p>
        </w:tc>
        <w:tc>
          <w:tcPr>
            <w:tcW w:w="1114" w:type="dxa"/>
            <w:noWrap/>
          </w:tcPr>
          <w:p w:rsidR="00C41BC0" w:rsidRPr="009F5B52" w:rsidRDefault="00C41BC0" w:rsidP="0046476F">
            <w:pPr>
              <w:spacing w:after="0" w:line="240" w:lineRule="auto"/>
              <w:jc w:val="center"/>
              <w:rPr>
                <w:b/>
                <w:noProof/>
                <w:szCs w:val="24"/>
                <w:lang w:val="sr-Cyrl-CS"/>
              </w:rPr>
            </w:pPr>
            <w:r w:rsidRPr="009F5B52">
              <w:rPr>
                <w:b/>
                <w:szCs w:val="24"/>
                <w:lang w:val="sr-Cyrl-CS"/>
              </w:rPr>
              <w:t>N+3</w:t>
            </w:r>
          </w:p>
        </w:tc>
        <w:tc>
          <w:tcPr>
            <w:tcW w:w="2367" w:type="dxa"/>
            <w:noWrap/>
          </w:tcPr>
          <w:p w:rsidR="00C41BC0" w:rsidRPr="009F5B52" w:rsidRDefault="00C41BC0" w:rsidP="0046476F">
            <w:pPr>
              <w:spacing w:after="0" w:line="240" w:lineRule="auto"/>
              <w:jc w:val="center"/>
              <w:rPr>
                <w:noProof/>
                <w:szCs w:val="24"/>
                <w:lang w:val="sr-Cyrl-CS"/>
              </w:rPr>
            </w:pPr>
            <w:r w:rsidRPr="009F5B52">
              <w:rPr>
                <w:noProof/>
                <w:szCs w:val="24"/>
                <w:lang w:val="sr-Cyrl-CS"/>
              </w:rPr>
              <w:t>10% коначна исплата (програм)</w:t>
            </w:r>
          </w:p>
        </w:tc>
      </w:tr>
      <w:tr w:rsidR="0005214B" w:rsidRPr="009F5B52" w:rsidTr="0005214B">
        <w:trPr>
          <w:gridBefore w:val="1"/>
          <w:wBefore w:w="13" w:type="dxa"/>
          <w:trHeight w:val="377"/>
          <w:jc w:val="center"/>
        </w:trPr>
        <w:tc>
          <w:tcPr>
            <w:tcW w:w="6660" w:type="dxa"/>
            <w:gridSpan w:val="5"/>
            <w:noWrap/>
          </w:tcPr>
          <w:p w:rsidR="0005214B" w:rsidRPr="009F5B52" w:rsidRDefault="0005214B" w:rsidP="0005214B">
            <w:pPr>
              <w:spacing w:after="0" w:line="240" w:lineRule="auto"/>
              <w:jc w:val="center"/>
              <w:rPr>
                <w:noProof/>
                <w:szCs w:val="24"/>
                <w:lang w:val="sr-Cyrl-CS"/>
              </w:rPr>
            </w:pPr>
            <w:r w:rsidRPr="009F5B52">
              <w:rPr>
                <w:noProof/>
                <w:szCs w:val="24"/>
                <w:lang w:val="sr-Cyrl-CS"/>
              </w:rPr>
              <w:t>У 2018. години повлачење средстава која нису уговорена</w:t>
            </w:r>
          </w:p>
        </w:tc>
      </w:tr>
    </w:tbl>
    <w:p w:rsidR="0046476F" w:rsidRPr="009F5B52" w:rsidRDefault="0046476F" w:rsidP="0046476F">
      <w:pPr>
        <w:rPr>
          <w:noProof/>
          <w:lang w:val="sr-Cyrl-CS"/>
        </w:rPr>
      </w:pPr>
      <w:r w:rsidRPr="009F5B52">
        <w:rPr>
          <w:noProof/>
          <w:lang w:val="sr-Cyrl-CS"/>
        </w:rPr>
        <w:t xml:space="preserve">Правило </w:t>
      </w:r>
      <w:r w:rsidR="0006590A" w:rsidRPr="009F5B52">
        <w:rPr>
          <w:szCs w:val="24"/>
          <w:lang w:val="sr-Cyrl-CS"/>
        </w:rPr>
        <w:t>N+3</w:t>
      </w:r>
      <w:r w:rsidRPr="009F5B52">
        <w:rPr>
          <w:noProof/>
          <w:lang w:val="sr-Cyrl-CS"/>
        </w:rPr>
        <w:t xml:space="preserve"> јасно показује да пажљиво планирање и координација имају директан утицај на успешн</w:t>
      </w:r>
      <w:r w:rsidR="00CF3AB7" w:rsidRPr="009F5B52">
        <w:rPr>
          <w:noProof/>
          <w:lang w:val="sr-Cyrl-CS"/>
        </w:rPr>
        <w:t>о</w:t>
      </w:r>
      <w:r w:rsidRPr="009F5B52">
        <w:rPr>
          <w:noProof/>
          <w:lang w:val="sr-Cyrl-CS"/>
        </w:rPr>
        <w:t xml:space="preserve"> </w:t>
      </w:r>
      <w:r w:rsidR="00CF3AB7" w:rsidRPr="009F5B52">
        <w:rPr>
          <w:noProof/>
          <w:lang w:val="sr-Cyrl-CS"/>
        </w:rPr>
        <w:t>спровођење</w:t>
      </w:r>
      <w:r w:rsidRPr="009F5B52">
        <w:rPr>
          <w:noProof/>
          <w:lang w:val="sr-Cyrl-CS"/>
        </w:rPr>
        <w:t xml:space="preserve"> програма ИПА.</w:t>
      </w:r>
    </w:p>
    <w:p w:rsidR="0046476F" w:rsidRPr="009F5B52" w:rsidRDefault="0046476F" w:rsidP="0046476F">
      <w:pPr>
        <w:rPr>
          <w:noProof/>
          <w:lang w:val="sr-Cyrl-CS"/>
        </w:rPr>
      </w:pPr>
      <w:r w:rsidRPr="009F5B52">
        <w:rPr>
          <w:noProof/>
          <w:lang w:val="sr-Cyrl-CS"/>
        </w:rPr>
        <w:t xml:space="preserve">Према правилу </w:t>
      </w:r>
      <w:r w:rsidR="0006590A" w:rsidRPr="009F5B52">
        <w:rPr>
          <w:szCs w:val="24"/>
          <w:lang w:val="sr-Cyrl-CS"/>
        </w:rPr>
        <w:t>N+3</w:t>
      </w:r>
      <w:r w:rsidRPr="009F5B52">
        <w:rPr>
          <w:noProof/>
          <w:lang w:val="sr-Cyrl-CS"/>
        </w:rPr>
        <w:t>, планирани расходи се односе на прог</w:t>
      </w:r>
      <w:r w:rsidR="00BB02AC" w:rsidRPr="009F5B52">
        <w:rPr>
          <w:noProof/>
          <w:lang w:val="sr-Cyrl-CS"/>
        </w:rPr>
        <w:t>р</w:t>
      </w:r>
      <w:r w:rsidRPr="009F5B52">
        <w:rPr>
          <w:noProof/>
          <w:lang w:val="sr-Cyrl-CS"/>
        </w:rPr>
        <w:t>амска опредељења буџета Европске комисије (једно опредељење годишње по програму) – а не на појединачне пројекте. Па ипак, да би се опредељена средства апсорбовала у дефинисаном временском периоду (уговарање почиње у години ‘</w:t>
      </w:r>
      <w:r w:rsidR="0006590A" w:rsidRPr="009F5B52">
        <w:rPr>
          <w:szCs w:val="24"/>
          <w:lang w:val="sr-Cyrl-CS"/>
        </w:rPr>
        <w:t>N</w:t>
      </w:r>
      <w:r w:rsidRPr="009F5B52">
        <w:rPr>
          <w:noProof/>
          <w:lang w:val="sr-Cyrl-CS"/>
        </w:rPr>
        <w:t xml:space="preserve">’ а коначне исплате се врше у складу са правилом </w:t>
      </w:r>
      <w:r w:rsidR="0006590A" w:rsidRPr="009F5B52">
        <w:rPr>
          <w:szCs w:val="24"/>
          <w:lang w:val="sr-Cyrl-CS"/>
        </w:rPr>
        <w:t>N+3</w:t>
      </w:r>
      <w:r w:rsidRPr="009F5B52">
        <w:rPr>
          <w:noProof/>
          <w:lang w:val="sr-Cyrl-CS"/>
        </w:rPr>
        <w:t xml:space="preserve">), пројекти морају бити потпуно спремни са свом неопходном пратећом документацијом у тренутку када правило </w:t>
      </w:r>
      <w:r w:rsidR="0006590A" w:rsidRPr="009F5B52">
        <w:rPr>
          <w:szCs w:val="24"/>
          <w:lang w:val="sr-Cyrl-CS"/>
        </w:rPr>
        <w:t>N+3</w:t>
      </w:r>
      <w:r w:rsidRPr="009F5B52">
        <w:rPr>
          <w:noProof/>
          <w:lang w:val="sr-Cyrl-CS"/>
        </w:rPr>
        <w:t xml:space="preserve"> ступи на снагу. </w:t>
      </w:r>
    </w:p>
    <w:p w:rsidR="0046476F" w:rsidRDefault="0046476F" w:rsidP="0046476F">
      <w:pPr>
        <w:rPr>
          <w:noProof/>
          <w:lang w:val="sr-Cyrl-CS"/>
        </w:rPr>
      </w:pPr>
      <w:r w:rsidRPr="009F5B52">
        <w:rPr>
          <w:noProof/>
          <w:lang w:val="sr-Cyrl-CS"/>
        </w:rPr>
        <w:t xml:space="preserve">Уз то, веома је битно имати на уму да се период </w:t>
      </w:r>
      <w:r w:rsidR="00BB02AC" w:rsidRPr="009F5B52">
        <w:rPr>
          <w:szCs w:val="24"/>
          <w:lang w:val="sr-Cyrl-CS"/>
        </w:rPr>
        <w:t xml:space="preserve">N+3 </w:t>
      </w:r>
      <w:r w:rsidRPr="009F5B52">
        <w:rPr>
          <w:noProof/>
          <w:lang w:val="sr-Cyrl-CS"/>
        </w:rPr>
        <w:t xml:space="preserve">не односи само на </w:t>
      </w:r>
      <w:r w:rsidR="00BB02AC" w:rsidRPr="009F5B52">
        <w:rPr>
          <w:noProof/>
          <w:lang w:val="sr-Cyrl-CS"/>
        </w:rPr>
        <w:t>спровођење</w:t>
      </w:r>
      <w:r w:rsidRPr="009F5B52">
        <w:rPr>
          <w:noProof/>
          <w:lang w:val="sr-Cyrl-CS"/>
        </w:rPr>
        <w:t xml:space="preserve"> појединачних пројекат</w:t>
      </w:r>
      <w:r w:rsidR="00BB02AC" w:rsidRPr="009F5B52">
        <w:rPr>
          <w:noProof/>
          <w:lang w:val="sr-Cyrl-CS"/>
        </w:rPr>
        <w:t>,</w:t>
      </w:r>
      <w:r w:rsidRPr="009F5B52">
        <w:rPr>
          <w:noProof/>
          <w:lang w:val="sr-Cyrl-CS"/>
        </w:rPr>
        <w:t xml:space="preserve"> већ и на њихов </w:t>
      </w:r>
      <w:r w:rsidR="00BB02AC" w:rsidRPr="009F5B52">
        <w:rPr>
          <w:noProof/>
          <w:lang w:val="sr-Cyrl-CS"/>
        </w:rPr>
        <w:t>тендерски поступак</w:t>
      </w:r>
      <w:r w:rsidRPr="009F5B52">
        <w:rPr>
          <w:noProof/>
          <w:lang w:val="sr-Cyrl-CS"/>
        </w:rPr>
        <w:t>/уговарањ</w:t>
      </w:r>
      <w:r w:rsidR="00BB02AC" w:rsidRPr="009F5B52">
        <w:rPr>
          <w:noProof/>
          <w:lang w:val="sr-Cyrl-CS"/>
        </w:rPr>
        <w:t>е</w:t>
      </w:r>
      <w:r w:rsidRPr="009F5B52">
        <w:rPr>
          <w:noProof/>
          <w:lang w:val="sr-Cyrl-CS"/>
        </w:rPr>
        <w:t xml:space="preserve">, на шта одлази знатна количина времена. Другим речима, уколико се </w:t>
      </w:r>
      <w:r w:rsidR="00BB02AC" w:rsidRPr="009F5B52">
        <w:rPr>
          <w:noProof/>
          <w:lang w:val="sr-Cyrl-CS"/>
        </w:rPr>
        <w:t>ф</w:t>
      </w:r>
      <w:r w:rsidRPr="009F5B52">
        <w:rPr>
          <w:noProof/>
          <w:lang w:val="sr-Cyrl-CS"/>
        </w:rPr>
        <w:t xml:space="preserve">инансијски споразум потпише у години </w:t>
      </w:r>
      <w:r w:rsidRPr="009F5B52">
        <w:rPr>
          <w:bCs/>
          <w:noProof/>
          <w:lang w:val="sr-Cyrl-CS"/>
        </w:rPr>
        <w:t>’</w:t>
      </w:r>
      <w:r w:rsidR="00BB02AC" w:rsidRPr="009F5B52">
        <w:rPr>
          <w:szCs w:val="24"/>
          <w:lang w:val="sr-Cyrl-CS"/>
        </w:rPr>
        <w:t>N</w:t>
      </w:r>
      <w:r w:rsidRPr="009F5B52">
        <w:rPr>
          <w:bCs/>
          <w:noProof/>
          <w:lang w:val="sr-Cyrl-CS"/>
        </w:rPr>
        <w:t>’</w:t>
      </w:r>
      <w:r w:rsidRPr="009F5B52">
        <w:rPr>
          <w:noProof/>
          <w:lang w:val="sr-Cyrl-CS"/>
        </w:rPr>
        <w:t>, важно је урачунати време које је потребно за уговарање пројеката</w:t>
      </w:r>
      <w:r w:rsidRPr="009F5B52">
        <w:rPr>
          <w:rStyle w:val="FootnoteReference"/>
          <w:noProof/>
          <w:szCs w:val="24"/>
          <w:lang w:val="sr-Cyrl-CS"/>
        </w:rPr>
        <w:footnoteReference w:id="26"/>
      </w:r>
      <w:r w:rsidRPr="009F5B52">
        <w:rPr>
          <w:noProof/>
          <w:lang w:val="sr-Cyrl-CS"/>
        </w:rPr>
        <w:t>, чиме се скраћује време које преостаје за њихов</w:t>
      </w:r>
      <w:r w:rsidR="00BB02AC" w:rsidRPr="009F5B52">
        <w:rPr>
          <w:noProof/>
          <w:lang w:val="sr-Cyrl-CS"/>
        </w:rPr>
        <w:t>о</w:t>
      </w:r>
      <w:r w:rsidRPr="009F5B52">
        <w:rPr>
          <w:noProof/>
          <w:lang w:val="sr-Cyrl-CS"/>
        </w:rPr>
        <w:t xml:space="preserve"> </w:t>
      </w:r>
      <w:r w:rsidR="00BB02AC" w:rsidRPr="009F5B52">
        <w:rPr>
          <w:noProof/>
          <w:lang w:val="sr-Cyrl-CS"/>
        </w:rPr>
        <w:t>спровођење</w:t>
      </w:r>
      <w:r w:rsidRPr="009F5B52">
        <w:rPr>
          <w:noProof/>
          <w:lang w:val="sr-Cyrl-CS"/>
        </w:rPr>
        <w:t>.</w:t>
      </w:r>
    </w:p>
    <w:p w:rsidR="009F5B52" w:rsidRDefault="009F5B52" w:rsidP="0046476F">
      <w:pPr>
        <w:rPr>
          <w:noProof/>
          <w:lang w:val="sr-Cyrl-CS"/>
        </w:rPr>
      </w:pPr>
      <w:r w:rsidRPr="009F5B52">
        <w:rPr>
          <w:noProof/>
          <w:lang w:val="sr-Cyrl-RS" w:eastAsia="sr-Cyrl-RS"/>
        </w:rPr>
        <mc:AlternateContent>
          <mc:Choice Requires="wps">
            <w:drawing>
              <wp:anchor distT="0" distB="0" distL="114300" distR="114300" simplePos="0" relativeHeight="251707392" behindDoc="0" locked="0" layoutInCell="1" allowOverlap="1" wp14:anchorId="5372A381" wp14:editId="6FF7652D">
                <wp:simplePos x="0" y="0"/>
                <wp:positionH relativeFrom="column">
                  <wp:posOffset>-32385</wp:posOffset>
                </wp:positionH>
                <wp:positionV relativeFrom="paragraph">
                  <wp:posOffset>3810</wp:posOffset>
                </wp:positionV>
                <wp:extent cx="5835650" cy="763270"/>
                <wp:effectExtent l="0" t="0" r="12700" b="17780"/>
                <wp:wrapNone/>
                <wp:docPr id="1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763270"/>
                        </a:xfrm>
                        <a:prstGeom prst="rect">
                          <a:avLst/>
                        </a:prstGeom>
                        <a:solidFill>
                          <a:srgbClr val="D8D8D8"/>
                        </a:solidFill>
                        <a:ln w="12700">
                          <a:solidFill>
                            <a:srgbClr val="000000"/>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172313" w:rsidRPr="001E7E5B" w:rsidRDefault="00172313" w:rsidP="0046476F">
                            <w:pPr>
                              <w:rPr>
                                <w:b/>
                                <w:i/>
                                <w:lang w:val="sr-Cyrl-CS"/>
                              </w:rPr>
                            </w:pPr>
                            <w:r>
                              <w:rPr>
                                <w:b/>
                                <w:i/>
                                <w:noProof/>
                                <w:lang w:val="sr-Cyrl-CS"/>
                              </w:rPr>
                              <w:t>Строга</w:t>
                            </w:r>
                            <w:r w:rsidRPr="001E7E5B">
                              <w:rPr>
                                <w:b/>
                                <w:i/>
                                <w:noProof/>
                                <w:lang w:val="sr-Cyrl-CS"/>
                              </w:rPr>
                              <w:t xml:space="preserve"> </w:t>
                            </w:r>
                            <w:r>
                              <w:rPr>
                                <w:b/>
                                <w:i/>
                                <w:noProof/>
                                <w:lang w:val="sr-Cyrl-CS"/>
                              </w:rPr>
                              <w:t>временска</w:t>
                            </w:r>
                            <w:r w:rsidRPr="001E7E5B">
                              <w:rPr>
                                <w:b/>
                                <w:i/>
                                <w:noProof/>
                                <w:lang w:val="sr-Cyrl-CS"/>
                              </w:rPr>
                              <w:t xml:space="preserve"> </w:t>
                            </w:r>
                            <w:r>
                              <w:rPr>
                                <w:b/>
                                <w:i/>
                                <w:noProof/>
                                <w:lang w:val="sr-Cyrl-CS"/>
                              </w:rPr>
                              <w:t>ограничења</w:t>
                            </w:r>
                            <w:r w:rsidRPr="001E7E5B">
                              <w:rPr>
                                <w:b/>
                                <w:i/>
                                <w:noProof/>
                                <w:lang w:val="sr-Cyrl-CS"/>
                              </w:rPr>
                              <w:t xml:space="preserve"> </w:t>
                            </w:r>
                            <w:r>
                              <w:rPr>
                                <w:b/>
                                <w:i/>
                                <w:noProof/>
                                <w:lang w:val="sr-Cyrl-CS"/>
                              </w:rPr>
                              <w:t>дефинисана</w:t>
                            </w:r>
                            <w:r w:rsidRPr="001E7E5B">
                              <w:rPr>
                                <w:b/>
                                <w:i/>
                                <w:noProof/>
                                <w:lang w:val="sr-Cyrl-CS"/>
                              </w:rPr>
                              <w:t xml:space="preserve"> </w:t>
                            </w:r>
                            <w:r>
                              <w:rPr>
                                <w:b/>
                                <w:i/>
                                <w:noProof/>
                                <w:lang w:val="sr-Cyrl-CS"/>
                              </w:rPr>
                              <w:t>правилима</w:t>
                            </w:r>
                            <w:r w:rsidRPr="001E7E5B">
                              <w:rPr>
                                <w:b/>
                                <w:i/>
                                <w:noProof/>
                                <w:lang w:val="sr-Cyrl-CS"/>
                              </w:rPr>
                              <w:t xml:space="preserve"> </w:t>
                            </w:r>
                            <w:r>
                              <w:rPr>
                                <w:b/>
                                <w:i/>
                                <w:noProof/>
                                <w:lang w:val="sr-Cyrl-CS"/>
                              </w:rPr>
                              <w:t>спровођења</w:t>
                            </w:r>
                            <w:r w:rsidRPr="001E7E5B">
                              <w:rPr>
                                <w:b/>
                                <w:i/>
                                <w:noProof/>
                                <w:lang w:val="sr-Cyrl-CS"/>
                              </w:rPr>
                              <w:t xml:space="preserve"> </w:t>
                            </w:r>
                            <w:r>
                              <w:rPr>
                                <w:b/>
                                <w:i/>
                                <w:noProof/>
                                <w:lang w:val="sr-Cyrl-CS"/>
                              </w:rPr>
                              <w:t>Инструмента</w:t>
                            </w:r>
                            <w:r w:rsidRPr="001E7E5B">
                              <w:rPr>
                                <w:b/>
                                <w:i/>
                                <w:noProof/>
                                <w:lang w:val="sr-Cyrl-CS"/>
                              </w:rPr>
                              <w:t xml:space="preserve"> </w:t>
                            </w:r>
                            <w:r>
                              <w:rPr>
                                <w:b/>
                                <w:i/>
                                <w:noProof/>
                                <w:lang w:val="sr-Cyrl-CS"/>
                              </w:rPr>
                              <w:t>за</w:t>
                            </w:r>
                            <w:r w:rsidRPr="001E7E5B">
                              <w:rPr>
                                <w:b/>
                                <w:i/>
                                <w:noProof/>
                                <w:lang w:val="sr-Cyrl-CS"/>
                              </w:rPr>
                              <w:t xml:space="preserve"> </w:t>
                            </w:r>
                            <w:r>
                              <w:rPr>
                                <w:b/>
                                <w:i/>
                                <w:noProof/>
                                <w:lang w:val="sr-Cyrl-CS"/>
                              </w:rPr>
                              <w:t>претприступну</w:t>
                            </w:r>
                            <w:r w:rsidRPr="001E7E5B">
                              <w:rPr>
                                <w:b/>
                                <w:i/>
                                <w:noProof/>
                                <w:lang w:val="sr-Cyrl-CS"/>
                              </w:rPr>
                              <w:t xml:space="preserve"> </w:t>
                            </w:r>
                            <w:r>
                              <w:rPr>
                                <w:b/>
                                <w:i/>
                                <w:noProof/>
                                <w:lang w:val="sr-Cyrl-CS"/>
                              </w:rPr>
                              <w:t>помоћ</w:t>
                            </w:r>
                            <w:r w:rsidRPr="001E7E5B">
                              <w:rPr>
                                <w:b/>
                                <w:i/>
                                <w:noProof/>
                                <w:lang w:val="sr-Cyrl-CS"/>
                              </w:rPr>
                              <w:t xml:space="preserve"> (</w:t>
                            </w:r>
                            <w:r w:rsidRPr="00BB02AC">
                              <w:rPr>
                                <w:b/>
                                <w:i/>
                                <w:szCs w:val="24"/>
                                <w:lang w:val="en-GB"/>
                              </w:rPr>
                              <w:t>N+3</w:t>
                            </w:r>
                            <w:r w:rsidRPr="001E7E5B">
                              <w:rPr>
                                <w:b/>
                                <w:i/>
                                <w:noProof/>
                                <w:lang w:val="sr-Cyrl-CS"/>
                              </w:rPr>
                              <w:t xml:space="preserve">) </w:t>
                            </w:r>
                            <w:r>
                              <w:rPr>
                                <w:b/>
                                <w:i/>
                                <w:noProof/>
                                <w:lang w:val="sr-Cyrl-CS"/>
                              </w:rPr>
                              <w:t>захтевају</w:t>
                            </w:r>
                            <w:r w:rsidRPr="001E7E5B">
                              <w:rPr>
                                <w:b/>
                                <w:i/>
                                <w:noProof/>
                                <w:lang w:val="sr-Cyrl-CS"/>
                              </w:rPr>
                              <w:t xml:space="preserve"> </w:t>
                            </w:r>
                            <w:r>
                              <w:rPr>
                                <w:b/>
                                <w:i/>
                                <w:noProof/>
                                <w:lang w:val="sr-Cyrl-CS"/>
                              </w:rPr>
                              <w:t>довољан</w:t>
                            </w:r>
                            <w:r w:rsidRPr="001E7E5B">
                              <w:rPr>
                                <w:b/>
                                <w:i/>
                                <w:noProof/>
                                <w:lang w:val="sr-Cyrl-CS"/>
                              </w:rPr>
                              <w:t xml:space="preserve"> </w:t>
                            </w:r>
                            <w:r>
                              <w:rPr>
                                <w:b/>
                                <w:i/>
                                <w:noProof/>
                                <w:lang w:val="sr-Cyrl-CS"/>
                              </w:rPr>
                              <w:t>број</w:t>
                            </w:r>
                            <w:r w:rsidRPr="001E7E5B">
                              <w:rPr>
                                <w:b/>
                                <w:i/>
                                <w:noProof/>
                                <w:lang w:val="sr-Cyrl-CS"/>
                              </w:rPr>
                              <w:t xml:space="preserve"> </w:t>
                            </w:r>
                            <w:r>
                              <w:rPr>
                                <w:b/>
                                <w:i/>
                                <w:noProof/>
                                <w:lang w:val="sr-Cyrl-CS"/>
                              </w:rPr>
                              <w:t>пројеката</w:t>
                            </w:r>
                            <w:r w:rsidRPr="001E7E5B">
                              <w:rPr>
                                <w:b/>
                                <w:i/>
                                <w:noProof/>
                                <w:lang w:val="sr-Cyrl-CS"/>
                              </w:rPr>
                              <w:t xml:space="preserve"> </w:t>
                            </w:r>
                            <w:r>
                              <w:rPr>
                                <w:b/>
                                <w:i/>
                                <w:noProof/>
                                <w:lang w:val="sr-Cyrl-CS"/>
                              </w:rPr>
                              <w:t>из</w:t>
                            </w:r>
                            <w:r w:rsidRPr="001E7E5B">
                              <w:rPr>
                                <w:b/>
                                <w:i/>
                                <w:noProof/>
                                <w:lang w:val="sr-Cyrl-CS"/>
                              </w:rPr>
                              <w:t xml:space="preserve"> </w:t>
                            </w:r>
                            <w:r>
                              <w:rPr>
                                <w:b/>
                                <w:i/>
                                <w:noProof/>
                                <w:lang w:val="sr-Cyrl-CS"/>
                              </w:rPr>
                              <w:t>домена</w:t>
                            </w:r>
                            <w:r w:rsidRPr="001E7E5B">
                              <w:rPr>
                                <w:b/>
                                <w:i/>
                                <w:noProof/>
                                <w:lang w:val="sr-Cyrl-CS"/>
                              </w:rPr>
                              <w:t xml:space="preserve"> </w:t>
                            </w:r>
                            <w:r>
                              <w:rPr>
                                <w:b/>
                                <w:i/>
                                <w:noProof/>
                                <w:lang w:val="sr-Cyrl-CS"/>
                              </w:rPr>
                              <w:t>социјалног</w:t>
                            </w:r>
                            <w:r w:rsidRPr="001E7E5B">
                              <w:rPr>
                                <w:b/>
                                <w:i/>
                                <w:noProof/>
                                <w:lang w:val="sr-Cyrl-CS"/>
                              </w:rPr>
                              <w:t xml:space="preserve"> </w:t>
                            </w:r>
                            <w:r>
                              <w:rPr>
                                <w:b/>
                                <w:i/>
                                <w:noProof/>
                                <w:lang w:val="sr-Cyrl-CS"/>
                              </w:rPr>
                              <w:t>укључивања</w:t>
                            </w:r>
                            <w:r w:rsidRPr="001E7E5B">
                              <w:rPr>
                                <w:b/>
                                <w:i/>
                                <w:noProof/>
                                <w:lang w:val="sr-Cyrl-CS"/>
                              </w:rPr>
                              <w:t xml:space="preserve"> </w:t>
                            </w:r>
                            <w:r>
                              <w:rPr>
                                <w:b/>
                                <w:i/>
                                <w:noProof/>
                                <w:lang w:val="sr-Cyrl-CS"/>
                              </w:rPr>
                              <w:t>и</w:t>
                            </w:r>
                            <w:r w:rsidRPr="001E7E5B">
                              <w:rPr>
                                <w:b/>
                                <w:i/>
                                <w:noProof/>
                                <w:lang w:val="sr-Cyrl-CS"/>
                              </w:rPr>
                              <w:t xml:space="preserve"> </w:t>
                            </w:r>
                            <w:r>
                              <w:rPr>
                                <w:b/>
                                <w:i/>
                                <w:noProof/>
                                <w:lang w:val="sr-Cyrl-CS"/>
                              </w:rPr>
                              <w:t>одговарајуће</w:t>
                            </w:r>
                            <w:r w:rsidRPr="001E7E5B">
                              <w:rPr>
                                <w:b/>
                                <w:i/>
                                <w:noProof/>
                                <w:lang w:val="sr-Cyrl-CS"/>
                              </w:rPr>
                              <w:t xml:space="preserve"> </w:t>
                            </w:r>
                            <w:r>
                              <w:rPr>
                                <w:b/>
                                <w:i/>
                                <w:noProof/>
                                <w:lang w:val="sr-Cyrl-CS"/>
                              </w:rPr>
                              <w:t>институционалне</w:t>
                            </w:r>
                            <w:r w:rsidRPr="001E7E5B">
                              <w:rPr>
                                <w:b/>
                                <w:i/>
                                <w:noProof/>
                                <w:lang w:val="sr-Cyrl-CS"/>
                              </w:rPr>
                              <w:t xml:space="preserve"> </w:t>
                            </w:r>
                            <w:r>
                              <w:rPr>
                                <w:b/>
                                <w:i/>
                                <w:noProof/>
                                <w:lang w:val="sr-Cyrl-CS"/>
                              </w:rPr>
                              <w:t>капацитете</w:t>
                            </w:r>
                            <w:r w:rsidRPr="001E7E5B">
                              <w:rPr>
                                <w:b/>
                                <w:i/>
                                <w:noProof/>
                                <w:lang w:val="sr-Cyrl-CS"/>
                              </w:rPr>
                              <w:t>.</w:t>
                            </w:r>
                            <w:r w:rsidRPr="001E7E5B">
                              <w:rPr>
                                <w:noProof/>
                                <w:lang w:val="sr-Cyrl-CS"/>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ounded Rectangle 21" o:spid="_x0000_s1030" style="position:absolute;left:0;text-align:left;margin-left:-2.55pt;margin-top:.3pt;width:459.5pt;height:60.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" fillcolor="#d8d8d8" strokeweight="1pt">
                <v:shadow color="black" opacity="24903f" origin=",.5" offset="0,.55556mm"/>
                <v:path arrowok="t"/>
                <v:textbox>
                  <w:txbxContent>
                    <w:p w:rsidR="00172313" w:rsidRPr="001E7E5B" w:rsidRDefault="00172313" w:rsidP="0046476F">
                      <w:pPr>
                        <w:rPr>
                          <w:b/>
                          <w:i/>
                          <w:lang w:val="sr-Cyrl-CS"/>
                        </w:rPr>
                      </w:pPr>
                      <w:r>
                        <w:rPr>
                          <w:b/>
                          <w:i/>
                          <w:noProof/>
                          <w:lang w:val="sr-Cyrl-CS"/>
                        </w:rPr>
                        <w:t>Строга</w:t>
                      </w:r>
                      <w:r w:rsidRPr="001E7E5B">
                        <w:rPr>
                          <w:b/>
                          <w:i/>
                          <w:noProof/>
                          <w:lang w:val="sr-Cyrl-CS"/>
                        </w:rPr>
                        <w:t xml:space="preserve"> </w:t>
                      </w:r>
                      <w:r>
                        <w:rPr>
                          <w:b/>
                          <w:i/>
                          <w:noProof/>
                          <w:lang w:val="sr-Cyrl-CS"/>
                        </w:rPr>
                        <w:t>временска</w:t>
                      </w:r>
                      <w:r w:rsidRPr="001E7E5B">
                        <w:rPr>
                          <w:b/>
                          <w:i/>
                          <w:noProof/>
                          <w:lang w:val="sr-Cyrl-CS"/>
                        </w:rPr>
                        <w:t xml:space="preserve"> </w:t>
                      </w:r>
                      <w:r>
                        <w:rPr>
                          <w:b/>
                          <w:i/>
                          <w:noProof/>
                          <w:lang w:val="sr-Cyrl-CS"/>
                        </w:rPr>
                        <w:t>ограничења</w:t>
                      </w:r>
                      <w:r w:rsidRPr="001E7E5B">
                        <w:rPr>
                          <w:b/>
                          <w:i/>
                          <w:noProof/>
                          <w:lang w:val="sr-Cyrl-CS"/>
                        </w:rPr>
                        <w:t xml:space="preserve"> </w:t>
                      </w:r>
                      <w:r>
                        <w:rPr>
                          <w:b/>
                          <w:i/>
                          <w:noProof/>
                          <w:lang w:val="sr-Cyrl-CS"/>
                        </w:rPr>
                        <w:t>дефинисана</w:t>
                      </w:r>
                      <w:r w:rsidRPr="001E7E5B">
                        <w:rPr>
                          <w:b/>
                          <w:i/>
                          <w:noProof/>
                          <w:lang w:val="sr-Cyrl-CS"/>
                        </w:rPr>
                        <w:t xml:space="preserve"> </w:t>
                      </w:r>
                      <w:r>
                        <w:rPr>
                          <w:b/>
                          <w:i/>
                          <w:noProof/>
                          <w:lang w:val="sr-Cyrl-CS"/>
                        </w:rPr>
                        <w:t>правилима</w:t>
                      </w:r>
                      <w:r w:rsidRPr="001E7E5B">
                        <w:rPr>
                          <w:b/>
                          <w:i/>
                          <w:noProof/>
                          <w:lang w:val="sr-Cyrl-CS"/>
                        </w:rPr>
                        <w:t xml:space="preserve"> </w:t>
                      </w:r>
                      <w:r>
                        <w:rPr>
                          <w:b/>
                          <w:i/>
                          <w:noProof/>
                          <w:lang w:val="sr-Cyrl-CS"/>
                        </w:rPr>
                        <w:t>спровођења</w:t>
                      </w:r>
                      <w:r w:rsidRPr="001E7E5B">
                        <w:rPr>
                          <w:b/>
                          <w:i/>
                          <w:noProof/>
                          <w:lang w:val="sr-Cyrl-CS"/>
                        </w:rPr>
                        <w:t xml:space="preserve"> </w:t>
                      </w:r>
                      <w:r>
                        <w:rPr>
                          <w:b/>
                          <w:i/>
                          <w:noProof/>
                          <w:lang w:val="sr-Cyrl-CS"/>
                        </w:rPr>
                        <w:t>Инструмента</w:t>
                      </w:r>
                      <w:r w:rsidRPr="001E7E5B">
                        <w:rPr>
                          <w:b/>
                          <w:i/>
                          <w:noProof/>
                          <w:lang w:val="sr-Cyrl-CS"/>
                        </w:rPr>
                        <w:t xml:space="preserve"> </w:t>
                      </w:r>
                      <w:r>
                        <w:rPr>
                          <w:b/>
                          <w:i/>
                          <w:noProof/>
                          <w:lang w:val="sr-Cyrl-CS"/>
                        </w:rPr>
                        <w:t>за</w:t>
                      </w:r>
                      <w:r w:rsidRPr="001E7E5B">
                        <w:rPr>
                          <w:b/>
                          <w:i/>
                          <w:noProof/>
                          <w:lang w:val="sr-Cyrl-CS"/>
                        </w:rPr>
                        <w:t xml:space="preserve"> </w:t>
                      </w:r>
                      <w:r>
                        <w:rPr>
                          <w:b/>
                          <w:i/>
                          <w:noProof/>
                          <w:lang w:val="sr-Cyrl-CS"/>
                        </w:rPr>
                        <w:t>претприступну</w:t>
                      </w:r>
                      <w:r w:rsidRPr="001E7E5B">
                        <w:rPr>
                          <w:b/>
                          <w:i/>
                          <w:noProof/>
                          <w:lang w:val="sr-Cyrl-CS"/>
                        </w:rPr>
                        <w:t xml:space="preserve"> </w:t>
                      </w:r>
                      <w:r>
                        <w:rPr>
                          <w:b/>
                          <w:i/>
                          <w:noProof/>
                          <w:lang w:val="sr-Cyrl-CS"/>
                        </w:rPr>
                        <w:t>помоћ</w:t>
                      </w:r>
                      <w:r w:rsidRPr="001E7E5B">
                        <w:rPr>
                          <w:b/>
                          <w:i/>
                          <w:noProof/>
                          <w:lang w:val="sr-Cyrl-CS"/>
                        </w:rPr>
                        <w:t xml:space="preserve"> (</w:t>
                      </w:r>
                      <w:r w:rsidRPr="00BB02AC">
                        <w:rPr>
                          <w:b/>
                          <w:i/>
                          <w:szCs w:val="24"/>
                          <w:lang w:val="en-GB"/>
                        </w:rPr>
                        <w:t>N+3</w:t>
                      </w:r>
                      <w:r w:rsidRPr="001E7E5B">
                        <w:rPr>
                          <w:b/>
                          <w:i/>
                          <w:noProof/>
                          <w:lang w:val="sr-Cyrl-CS"/>
                        </w:rPr>
                        <w:t xml:space="preserve">) </w:t>
                      </w:r>
                      <w:r>
                        <w:rPr>
                          <w:b/>
                          <w:i/>
                          <w:noProof/>
                          <w:lang w:val="sr-Cyrl-CS"/>
                        </w:rPr>
                        <w:t>захтевају</w:t>
                      </w:r>
                      <w:r w:rsidRPr="001E7E5B">
                        <w:rPr>
                          <w:b/>
                          <w:i/>
                          <w:noProof/>
                          <w:lang w:val="sr-Cyrl-CS"/>
                        </w:rPr>
                        <w:t xml:space="preserve"> </w:t>
                      </w:r>
                      <w:r>
                        <w:rPr>
                          <w:b/>
                          <w:i/>
                          <w:noProof/>
                          <w:lang w:val="sr-Cyrl-CS"/>
                        </w:rPr>
                        <w:t>довољан</w:t>
                      </w:r>
                      <w:r w:rsidRPr="001E7E5B">
                        <w:rPr>
                          <w:b/>
                          <w:i/>
                          <w:noProof/>
                          <w:lang w:val="sr-Cyrl-CS"/>
                        </w:rPr>
                        <w:t xml:space="preserve"> </w:t>
                      </w:r>
                      <w:r>
                        <w:rPr>
                          <w:b/>
                          <w:i/>
                          <w:noProof/>
                          <w:lang w:val="sr-Cyrl-CS"/>
                        </w:rPr>
                        <w:t>број</w:t>
                      </w:r>
                      <w:r w:rsidRPr="001E7E5B">
                        <w:rPr>
                          <w:b/>
                          <w:i/>
                          <w:noProof/>
                          <w:lang w:val="sr-Cyrl-CS"/>
                        </w:rPr>
                        <w:t xml:space="preserve"> </w:t>
                      </w:r>
                      <w:r>
                        <w:rPr>
                          <w:b/>
                          <w:i/>
                          <w:noProof/>
                          <w:lang w:val="sr-Cyrl-CS"/>
                        </w:rPr>
                        <w:t>пројеката</w:t>
                      </w:r>
                      <w:r w:rsidRPr="001E7E5B">
                        <w:rPr>
                          <w:b/>
                          <w:i/>
                          <w:noProof/>
                          <w:lang w:val="sr-Cyrl-CS"/>
                        </w:rPr>
                        <w:t xml:space="preserve"> </w:t>
                      </w:r>
                      <w:r>
                        <w:rPr>
                          <w:b/>
                          <w:i/>
                          <w:noProof/>
                          <w:lang w:val="sr-Cyrl-CS"/>
                        </w:rPr>
                        <w:t>из</w:t>
                      </w:r>
                      <w:r w:rsidRPr="001E7E5B">
                        <w:rPr>
                          <w:b/>
                          <w:i/>
                          <w:noProof/>
                          <w:lang w:val="sr-Cyrl-CS"/>
                        </w:rPr>
                        <w:t xml:space="preserve"> </w:t>
                      </w:r>
                      <w:r>
                        <w:rPr>
                          <w:b/>
                          <w:i/>
                          <w:noProof/>
                          <w:lang w:val="sr-Cyrl-CS"/>
                        </w:rPr>
                        <w:t>домена</w:t>
                      </w:r>
                      <w:r w:rsidRPr="001E7E5B">
                        <w:rPr>
                          <w:b/>
                          <w:i/>
                          <w:noProof/>
                          <w:lang w:val="sr-Cyrl-CS"/>
                        </w:rPr>
                        <w:t xml:space="preserve"> </w:t>
                      </w:r>
                      <w:r>
                        <w:rPr>
                          <w:b/>
                          <w:i/>
                          <w:noProof/>
                          <w:lang w:val="sr-Cyrl-CS"/>
                        </w:rPr>
                        <w:t>социјалног</w:t>
                      </w:r>
                      <w:r w:rsidRPr="001E7E5B">
                        <w:rPr>
                          <w:b/>
                          <w:i/>
                          <w:noProof/>
                          <w:lang w:val="sr-Cyrl-CS"/>
                        </w:rPr>
                        <w:t xml:space="preserve"> </w:t>
                      </w:r>
                      <w:r>
                        <w:rPr>
                          <w:b/>
                          <w:i/>
                          <w:noProof/>
                          <w:lang w:val="sr-Cyrl-CS"/>
                        </w:rPr>
                        <w:t>укључивања</w:t>
                      </w:r>
                      <w:r w:rsidRPr="001E7E5B">
                        <w:rPr>
                          <w:b/>
                          <w:i/>
                          <w:noProof/>
                          <w:lang w:val="sr-Cyrl-CS"/>
                        </w:rPr>
                        <w:t xml:space="preserve"> </w:t>
                      </w:r>
                      <w:r>
                        <w:rPr>
                          <w:b/>
                          <w:i/>
                          <w:noProof/>
                          <w:lang w:val="sr-Cyrl-CS"/>
                        </w:rPr>
                        <w:t>и</w:t>
                      </w:r>
                      <w:r w:rsidRPr="001E7E5B">
                        <w:rPr>
                          <w:b/>
                          <w:i/>
                          <w:noProof/>
                          <w:lang w:val="sr-Cyrl-CS"/>
                        </w:rPr>
                        <w:t xml:space="preserve"> </w:t>
                      </w:r>
                      <w:r>
                        <w:rPr>
                          <w:b/>
                          <w:i/>
                          <w:noProof/>
                          <w:lang w:val="sr-Cyrl-CS"/>
                        </w:rPr>
                        <w:t>одговарајуће</w:t>
                      </w:r>
                      <w:r w:rsidRPr="001E7E5B">
                        <w:rPr>
                          <w:b/>
                          <w:i/>
                          <w:noProof/>
                          <w:lang w:val="sr-Cyrl-CS"/>
                        </w:rPr>
                        <w:t xml:space="preserve"> </w:t>
                      </w:r>
                      <w:r>
                        <w:rPr>
                          <w:b/>
                          <w:i/>
                          <w:noProof/>
                          <w:lang w:val="sr-Cyrl-CS"/>
                        </w:rPr>
                        <w:t>институционалне</w:t>
                      </w:r>
                      <w:r w:rsidRPr="001E7E5B">
                        <w:rPr>
                          <w:b/>
                          <w:i/>
                          <w:noProof/>
                          <w:lang w:val="sr-Cyrl-CS"/>
                        </w:rPr>
                        <w:t xml:space="preserve"> </w:t>
                      </w:r>
                      <w:r>
                        <w:rPr>
                          <w:b/>
                          <w:i/>
                          <w:noProof/>
                          <w:lang w:val="sr-Cyrl-CS"/>
                        </w:rPr>
                        <w:t>капацитете</w:t>
                      </w:r>
                      <w:r w:rsidRPr="001E7E5B">
                        <w:rPr>
                          <w:b/>
                          <w:i/>
                          <w:noProof/>
                          <w:lang w:val="sr-Cyrl-CS"/>
                        </w:rPr>
                        <w:t>.</w:t>
                      </w:r>
                      <w:r w:rsidRPr="001E7E5B">
                        <w:rPr>
                          <w:noProof/>
                          <w:lang w:val="sr-Cyrl-CS"/>
                        </w:rPr>
                        <w:t xml:space="preserve">  </w:t>
                      </w:r>
                    </w:p>
                  </w:txbxContent>
                </v:textbox>
              </v:rect>
            </w:pict>
          </mc:Fallback>
        </mc:AlternateContent>
      </w:r>
    </w:p>
    <w:p w:rsidR="009F5B52" w:rsidRDefault="009F5B52" w:rsidP="0046476F">
      <w:pPr>
        <w:rPr>
          <w:noProof/>
          <w:lang w:val="sr-Cyrl-CS"/>
        </w:rPr>
      </w:pPr>
    </w:p>
    <w:p w:rsidR="009F5B52" w:rsidRDefault="009F5B52" w:rsidP="0046476F">
      <w:pPr>
        <w:rPr>
          <w:noProof/>
          <w:lang w:val="sr-Cyrl-CS"/>
        </w:rPr>
      </w:pPr>
    </w:p>
    <w:p w:rsidR="009F5B52" w:rsidRPr="009F5B52" w:rsidRDefault="009F5B52" w:rsidP="0046476F">
      <w:pPr>
        <w:rPr>
          <w:noProof/>
          <w:lang w:val="sr-Cyrl-CS"/>
        </w:rPr>
      </w:pPr>
    </w:p>
    <w:p w:rsidR="0046476F" w:rsidRDefault="0046476F" w:rsidP="0046476F">
      <w:pPr>
        <w:rPr>
          <w:noProof/>
          <w:szCs w:val="24"/>
          <w:lang w:val="sr-Cyrl-CS"/>
        </w:rPr>
      </w:pPr>
      <w:r w:rsidRPr="009F5B52">
        <w:rPr>
          <w:noProof/>
          <w:szCs w:val="24"/>
          <w:lang w:val="sr-Cyrl-CS"/>
        </w:rPr>
        <w:lastRenderedPageBreak/>
        <w:t xml:space="preserve">Штавише, услед низа тема које долазе у обзир за финансирање у оквиру </w:t>
      </w:r>
      <w:r w:rsidR="00BB02AC" w:rsidRPr="009F5B52">
        <w:rPr>
          <w:noProof/>
          <w:szCs w:val="24"/>
          <w:lang w:val="sr-Cyrl-CS"/>
        </w:rPr>
        <w:t xml:space="preserve">осе </w:t>
      </w:r>
      <w:r w:rsidRPr="009F5B52">
        <w:rPr>
          <w:noProof/>
          <w:szCs w:val="24"/>
          <w:lang w:val="sr-Cyrl-CS"/>
        </w:rPr>
        <w:t xml:space="preserve">социјалног укључивања будућих </w:t>
      </w:r>
      <w:r w:rsidR="00BB02AC" w:rsidRPr="009F5B52">
        <w:rPr>
          <w:noProof/>
          <w:szCs w:val="24"/>
          <w:lang w:val="sr-Cyrl-CS"/>
        </w:rPr>
        <w:t>о</w:t>
      </w:r>
      <w:r w:rsidRPr="009F5B52">
        <w:rPr>
          <w:noProof/>
          <w:szCs w:val="24"/>
          <w:lang w:val="sr-Cyrl-CS"/>
        </w:rPr>
        <w:t xml:space="preserve">перативних програма </w:t>
      </w:r>
      <w:r w:rsidR="00BB02AC" w:rsidRPr="009F5B52">
        <w:rPr>
          <w:noProof/>
          <w:szCs w:val="24"/>
          <w:lang w:val="sr-Cyrl-CS"/>
        </w:rPr>
        <w:t xml:space="preserve">за </w:t>
      </w:r>
      <w:r w:rsidRPr="009F5B52">
        <w:rPr>
          <w:noProof/>
          <w:szCs w:val="24"/>
          <w:lang w:val="sr-Cyrl-CS"/>
        </w:rPr>
        <w:t>развој људских ресурса ИПА Компоненте IV (и будућег Европског социјалног фонда), и фрагментиран</w:t>
      </w:r>
      <w:r w:rsidR="00BB02AC" w:rsidRPr="009F5B52">
        <w:rPr>
          <w:noProof/>
          <w:szCs w:val="24"/>
          <w:lang w:val="sr-Cyrl-CS"/>
        </w:rPr>
        <w:t>ог</w:t>
      </w:r>
      <w:r w:rsidRPr="009F5B52">
        <w:rPr>
          <w:noProof/>
          <w:szCs w:val="24"/>
          <w:lang w:val="sr-Cyrl-CS"/>
        </w:rPr>
        <w:t xml:space="preserve"> </w:t>
      </w:r>
      <w:r w:rsidR="00BB02AC" w:rsidRPr="009F5B52">
        <w:rPr>
          <w:noProof/>
          <w:szCs w:val="24"/>
          <w:lang w:val="sr-Cyrl-CS"/>
        </w:rPr>
        <w:t>спровођења политика</w:t>
      </w:r>
      <w:r w:rsidRPr="009F5B52">
        <w:rPr>
          <w:noProof/>
          <w:szCs w:val="24"/>
          <w:lang w:val="sr-Cyrl-CS"/>
        </w:rPr>
        <w:t xml:space="preserve"> социјалног укључивања у Србији (различити органи на националном и локалном нивоу, државни органи и невладине организације), координација програмирања средстава ЕУ и националних средстава је изузетно је важна. </w:t>
      </w:r>
    </w:p>
    <w:p w:rsidR="0046476F" w:rsidRPr="009F5B52" w:rsidRDefault="008D62BD" w:rsidP="0046476F">
      <w:pPr>
        <w:pStyle w:val="Heading3"/>
        <w:rPr>
          <w:noProof/>
          <w:lang w:val="sr-Cyrl-CS"/>
        </w:rPr>
      </w:pPr>
      <w:bookmarkStart w:id="38" w:name="_Toc327447118"/>
      <w:bookmarkStart w:id="39" w:name="_Toc330562306"/>
      <w:r w:rsidRPr="009F5B52">
        <w:rPr>
          <w:noProof/>
          <w:lang w:val="sr-Cyrl-CS"/>
        </w:rPr>
        <w:t>2</w:t>
      </w:r>
      <w:r w:rsidR="0046476F" w:rsidRPr="009F5B52">
        <w:rPr>
          <w:noProof/>
          <w:lang w:val="sr-Cyrl-CS"/>
        </w:rPr>
        <w:t xml:space="preserve">.2.3. </w:t>
      </w:r>
      <w:r w:rsidR="00942E56" w:rsidRPr="009F5B52">
        <w:rPr>
          <w:noProof/>
          <w:lang w:val="sr-Cyrl-CS"/>
        </w:rPr>
        <w:t>Ко</w:t>
      </w:r>
      <w:r w:rsidR="0046476F" w:rsidRPr="009F5B52">
        <w:rPr>
          <w:noProof/>
          <w:lang w:val="sr-Cyrl-CS"/>
        </w:rPr>
        <w:t>финансирање и предфинансирањ</w:t>
      </w:r>
      <w:bookmarkEnd w:id="38"/>
      <w:r w:rsidR="0046476F" w:rsidRPr="009F5B52">
        <w:rPr>
          <w:noProof/>
          <w:lang w:val="sr-Cyrl-CS"/>
        </w:rPr>
        <w:t>е</w:t>
      </w:r>
      <w:bookmarkEnd w:id="39"/>
      <w:r w:rsidR="0046476F" w:rsidRPr="009F5B52">
        <w:rPr>
          <w:noProof/>
          <w:lang w:val="sr-Cyrl-CS"/>
        </w:rPr>
        <w:t xml:space="preserve"> </w:t>
      </w:r>
    </w:p>
    <w:p w:rsidR="0046476F" w:rsidRPr="009F5B52" w:rsidRDefault="0046476F" w:rsidP="0046476F">
      <w:pPr>
        <w:rPr>
          <w:noProof/>
          <w:szCs w:val="24"/>
          <w:lang w:val="sr-Cyrl-CS"/>
        </w:rPr>
      </w:pPr>
      <w:r w:rsidRPr="009F5B52">
        <w:rPr>
          <w:noProof/>
          <w:szCs w:val="24"/>
          <w:lang w:val="sr-Cyrl-CS"/>
        </w:rPr>
        <w:t xml:space="preserve">Као земља кандидат, Србија ће морати да </w:t>
      </w:r>
      <w:r w:rsidR="00942E56" w:rsidRPr="009F5B52">
        <w:rPr>
          <w:noProof/>
          <w:szCs w:val="24"/>
          <w:lang w:val="sr-Cyrl-CS"/>
        </w:rPr>
        <w:t>ко</w:t>
      </w:r>
      <w:r w:rsidRPr="009F5B52">
        <w:rPr>
          <w:noProof/>
          <w:szCs w:val="24"/>
          <w:lang w:val="sr-Cyrl-CS"/>
        </w:rPr>
        <w:t xml:space="preserve">финансира програме и пројекте које финансира ЕУ. </w:t>
      </w:r>
      <w:r w:rsidR="00942E56" w:rsidRPr="009F5B52">
        <w:rPr>
          <w:noProof/>
          <w:szCs w:val="24"/>
          <w:lang w:val="sr-Cyrl-CS"/>
        </w:rPr>
        <w:t>Ко</w:t>
      </w:r>
      <w:r w:rsidRPr="009F5B52">
        <w:rPr>
          <w:noProof/>
          <w:szCs w:val="24"/>
          <w:lang w:val="sr-Cyrl-CS"/>
        </w:rPr>
        <w:t xml:space="preserve">финансирање прихватљивих трошкова значи да ЕУ не плаћа свих 100% неког пројекта, већ да један део мора бити покривен из јавних фондова земље корисника. </w:t>
      </w:r>
      <w:r w:rsidR="004944FA" w:rsidRPr="009F5B52">
        <w:rPr>
          <w:noProof/>
          <w:szCs w:val="24"/>
          <w:lang w:val="sr-Cyrl-CS"/>
        </w:rPr>
        <w:t xml:space="preserve">Ово следи из једног од основних начела фондова ЕУ – додавање (комплементарност). Према овом принципу, активности финансиране из фондова ЕУ нису усмерене на гашење или замену активности предузетих од стране националних институција, већ управо на њихово обогаћивање и јачање. </w:t>
      </w:r>
      <w:r w:rsidRPr="009F5B52">
        <w:rPr>
          <w:noProof/>
          <w:szCs w:val="24"/>
          <w:lang w:val="sr-Cyrl-CS"/>
        </w:rPr>
        <w:t xml:space="preserve">Код Инструмента за претприступну помоћ, стопе </w:t>
      </w:r>
      <w:r w:rsidR="00942E56" w:rsidRPr="009F5B52">
        <w:rPr>
          <w:noProof/>
          <w:szCs w:val="24"/>
          <w:lang w:val="sr-Cyrl-CS"/>
        </w:rPr>
        <w:t>ко</w:t>
      </w:r>
      <w:r w:rsidRPr="009F5B52">
        <w:rPr>
          <w:noProof/>
          <w:szCs w:val="24"/>
          <w:lang w:val="sr-Cyrl-CS"/>
        </w:rPr>
        <w:t xml:space="preserve">финансирања које по правилу дефинише ЕУ и које се понекад називају </w:t>
      </w:r>
      <w:r w:rsidR="00E0770C" w:rsidRPr="009F5B52">
        <w:rPr>
          <w:noProof/>
          <w:szCs w:val="24"/>
          <w:lang w:val="sr-Cyrl-CS"/>
        </w:rPr>
        <w:t>„</w:t>
      </w:r>
      <w:r w:rsidRPr="009F5B52">
        <w:rPr>
          <w:noProof/>
          <w:szCs w:val="24"/>
          <w:lang w:val="sr-Cyrl-CS"/>
        </w:rPr>
        <w:t xml:space="preserve">интензитет помоћи” или </w:t>
      </w:r>
      <w:r w:rsidR="00E0770C" w:rsidRPr="009F5B52">
        <w:rPr>
          <w:noProof/>
          <w:szCs w:val="24"/>
          <w:lang w:val="sr-Cyrl-CS"/>
        </w:rPr>
        <w:t>„</w:t>
      </w:r>
      <w:r w:rsidRPr="009F5B52">
        <w:rPr>
          <w:noProof/>
          <w:szCs w:val="24"/>
          <w:lang w:val="sr-Cyrl-CS"/>
        </w:rPr>
        <w:t>стопе</w:t>
      </w:r>
      <w:r w:rsidR="00BB02AC" w:rsidRPr="009F5B52">
        <w:rPr>
          <w:noProof/>
          <w:szCs w:val="24"/>
          <w:lang w:val="sr-Cyrl-CS"/>
        </w:rPr>
        <w:t xml:space="preserve"> интервенције</w:t>
      </w:r>
      <w:r w:rsidRPr="009F5B52">
        <w:rPr>
          <w:noProof/>
          <w:szCs w:val="24"/>
          <w:lang w:val="sr-Cyrl-CS"/>
        </w:rPr>
        <w:t xml:space="preserve">”, варирају од једне до друге компоненте (85% за I до IV, 75% за V). Међутим, у неким случајевима могу се направити изузеци при чему се стопа </w:t>
      </w:r>
      <w:r w:rsidR="00942E56" w:rsidRPr="009F5B52">
        <w:rPr>
          <w:noProof/>
          <w:szCs w:val="24"/>
          <w:lang w:val="sr-Cyrl-CS"/>
        </w:rPr>
        <w:t>ко</w:t>
      </w:r>
      <w:r w:rsidRPr="009F5B52">
        <w:rPr>
          <w:noProof/>
          <w:szCs w:val="24"/>
          <w:lang w:val="sr-Cyrl-CS"/>
        </w:rPr>
        <w:t>финансирања ЕУ подиже до 100%. Детаљне информације о свакој од компоненти могу се наћи у члановима 38, 67, 90, 149, 153</w:t>
      </w:r>
      <w:r w:rsidR="00BB02AC" w:rsidRPr="009F5B52">
        <w:rPr>
          <w:noProof/>
          <w:szCs w:val="24"/>
          <w:lang w:val="sr-Cyrl-CS"/>
        </w:rPr>
        <w:t>.</w:t>
      </w:r>
      <w:r w:rsidRPr="009F5B52">
        <w:rPr>
          <w:noProof/>
          <w:szCs w:val="24"/>
          <w:lang w:val="sr-Cyrl-CS"/>
        </w:rPr>
        <w:t xml:space="preserve"> и 173</w:t>
      </w:r>
      <w:r w:rsidR="00BB02AC" w:rsidRPr="009F5B52">
        <w:rPr>
          <w:noProof/>
          <w:szCs w:val="24"/>
          <w:lang w:val="sr-Cyrl-CS"/>
        </w:rPr>
        <w:t>.</w:t>
      </w:r>
      <w:r w:rsidRPr="009F5B52">
        <w:rPr>
          <w:noProof/>
          <w:szCs w:val="24"/>
          <w:lang w:val="sr-Cyrl-CS"/>
        </w:rPr>
        <w:t xml:space="preserve"> Уредбе о спровођењу ИПА. Израз </w:t>
      </w:r>
      <w:r w:rsidR="00E0770C" w:rsidRPr="009F5B52">
        <w:rPr>
          <w:noProof/>
          <w:szCs w:val="24"/>
          <w:lang w:val="sr-Cyrl-CS"/>
        </w:rPr>
        <w:t>„</w:t>
      </w:r>
      <w:r w:rsidR="00942E56" w:rsidRPr="009F5B52">
        <w:rPr>
          <w:noProof/>
          <w:szCs w:val="24"/>
          <w:lang w:val="sr-Cyrl-CS"/>
        </w:rPr>
        <w:t>ко</w:t>
      </w:r>
      <w:r w:rsidRPr="009F5B52">
        <w:rPr>
          <w:noProof/>
          <w:szCs w:val="24"/>
          <w:lang w:val="sr-Cyrl-CS"/>
        </w:rPr>
        <w:t xml:space="preserve">финансирање” се очито примењује не само на фондове које одобрава ЕУ, већ и на остатак који обезбеђује корисник (у већини случајева национална средства обезбеђују се из државних, регионалних или локалних буџета). ЕУ, национални јавни и не-јавни фондови могу се реализовати путем заједничког </w:t>
      </w:r>
      <w:r w:rsidR="00942E56" w:rsidRPr="009F5B52">
        <w:rPr>
          <w:noProof/>
          <w:szCs w:val="24"/>
          <w:lang w:val="sr-Cyrl-CS"/>
        </w:rPr>
        <w:t>ко</w:t>
      </w:r>
      <w:r w:rsidRPr="009F5B52">
        <w:rPr>
          <w:noProof/>
          <w:szCs w:val="24"/>
          <w:lang w:val="sr-Cyrl-CS"/>
        </w:rPr>
        <w:t xml:space="preserve">финансирања или паралелног </w:t>
      </w:r>
      <w:r w:rsidR="00942E56" w:rsidRPr="009F5B52">
        <w:rPr>
          <w:noProof/>
          <w:szCs w:val="24"/>
          <w:lang w:val="sr-Cyrl-CS"/>
        </w:rPr>
        <w:t>ко</w:t>
      </w:r>
      <w:r w:rsidRPr="009F5B52">
        <w:rPr>
          <w:noProof/>
          <w:szCs w:val="24"/>
          <w:lang w:val="sr-Cyrl-CS"/>
        </w:rPr>
        <w:t>финансирања.</w:t>
      </w:r>
      <w:r w:rsidRPr="009F5B52">
        <w:rPr>
          <w:noProof/>
          <w:szCs w:val="24"/>
          <w:vertAlign w:val="superscript"/>
          <w:lang w:val="sr-Cyrl-CS"/>
        </w:rPr>
        <w:footnoteReference w:id="27"/>
      </w:r>
    </w:p>
    <w:p w:rsidR="0046476F" w:rsidRPr="009F5B52" w:rsidRDefault="0046476F" w:rsidP="0046476F">
      <w:pPr>
        <w:spacing w:before="100" w:beforeAutospacing="1" w:after="100" w:afterAutospacing="1"/>
        <w:rPr>
          <w:szCs w:val="24"/>
          <w:lang w:val="sr-Cyrl-CS"/>
        </w:rPr>
      </w:pPr>
      <w:r w:rsidRPr="009F5B52">
        <w:rPr>
          <w:noProof/>
          <w:szCs w:val="24"/>
          <w:lang w:val="sr-Cyrl-CS"/>
        </w:rPr>
        <w:t xml:space="preserve">Дијаграм илуструје дистрибуцију средстава која се обезбеђују у оквиру ИПА Компоненте IV </w:t>
      </w:r>
      <w:r w:rsidR="004944FA" w:rsidRPr="009F5B52">
        <w:rPr>
          <w:noProof/>
          <w:szCs w:val="24"/>
          <w:lang w:val="sr-Cyrl-CS"/>
        </w:rPr>
        <w:t xml:space="preserve">(државама кандидатима које користе ИПА Компоненту IV) </w:t>
      </w:r>
      <w:r w:rsidRPr="009F5B52">
        <w:rPr>
          <w:noProof/>
          <w:szCs w:val="24"/>
          <w:lang w:val="sr-Cyrl-CS"/>
        </w:rPr>
        <w:t xml:space="preserve">за запошљавање, образовање, социјално укључивање и техничку помоћ. Укупно гледано, за Развој људских ресурса у оквиру ИПА за период </w:t>
      </w:r>
      <w:r w:rsidR="00BB02AC" w:rsidRPr="009F5B52">
        <w:rPr>
          <w:noProof/>
          <w:szCs w:val="24"/>
          <w:lang w:val="sr-Cyrl-CS"/>
        </w:rPr>
        <w:t xml:space="preserve">од </w:t>
      </w:r>
      <w:r w:rsidRPr="009F5B52">
        <w:rPr>
          <w:noProof/>
          <w:szCs w:val="24"/>
          <w:lang w:val="sr-Cyrl-CS"/>
        </w:rPr>
        <w:t>2007-2009.</w:t>
      </w:r>
      <w:r w:rsidR="00E0770C" w:rsidRPr="009F5B52">
        <w:rPr>
          <w:noProof/>
          <w:szCs w:val="24"/>
          <w:lang w:val="sr-Cyrl-CS"/>
        </w:rPr>
        <w:t xml:space="preserve"> </w:t>
      </w:r>
      <w:r w:rsidRPr="009F5B52">
        <w:rPr>
          <w:noProof/>
          <w:szCs w:val="24"/>
          <w:lang w:val="sr-Cyrl-CS"/>
        </w:rPr>
        <w:t>годин</w:t>
      </w:r>
      <w:r w:rsidR="00BB02AC" w:rsidRPr="009F5B52">
        <w:rPr>
          <w:noProof/>
          <w:szCs w:val="24"/>
          <w:lang w:val="sr-Cyrl-CS"/>
        </w:rPr>
        <w:t>е</w:t>
      </w:r>
      <w:r w:rsidRPr="009F5B52">
        <w:rPr>
          <w:noProof/>
          <w:szCs w:val="24"/>
          <w:lang w:val="sr-Cyrl-CS"/>
        </w:rPr>
        <w:t xml:space="preserve"> опредељено је 250.914,151 евра. Према аранжману о </w:t>
      </w:r>
      <w:r w:rsidR="00942E56" w:rsidRPr="009F5B52">
        <w:rPr>
          <w:noProof/>
          <w:szCs w:val="24"/>
          <w:lang w:val="sr-Cyrl-CS"/>
        </w:rPr>
        <w:t>ко</w:t>
      </w:r>
      <w:r w:rsidRPr="009F5B52">
        <w:rPr>
          <w:noProof/>
          <w:szCs w:val="24"/>
          <w:lang w:val="sr-Cyrl-CS"/>
        </w:rPr>
        <w:t>финансирању, 37.637,151 евра (или 15% укупног износа) обезбедиле су националне владе, а остатак од 213.277.000 евра Европска унија.</w:t>
      </w:r>
      <w:r w:rsidRPr="009F5B52">
        <w:rPr>
          <w:noProof/>
          <w:szCs w:val="24"/>
          <w:vertAlign w:val="superscript"/>
          <w:lang w:val="sr-Cyrl-CS"/>
        </w:rPr>
        <w:footnoteReference w:id="28"/>
      </w:r>
    </w:p>
    <w:p w:rsidR="0046476F" w:rsidRPr="009F5B52" w:rsidRDefault="009F0E5B" w:rsidP="00A55776">
      <w:pPr>
        <w:spacing w:before="100" w:beforeAutospacing="1" w:after="100" w:afterAutospacing="1" w:line="240" w:lineRule="auto"/>
        <w:jc w:val="center"/>
        <w:rPr>
          <w:szCs w:val="24"/>
          <w:lang w:val="sr-Cyrl-CS" w:eastAsia="en-GB"/>
        </w:rPr>
      </w:pPr>
      <w:r w:rsidRPr="009F5B52">
        <w:rPr>
          <w:noProof/>
          <w:lang w:val="sr-Cyrl-RS" w:eastAsia="sr-Cyrl-RS"/>
        </w:rPr>
        <w:lastRenderedPageBreak/>
        <w:drawing>
          <wp:inline distT="0" distB="0" distL="0" distR="0" wp14:anchorId="609298B4" wp14:editId="72F91B1D">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476F" w:rsidRPr="009F5B52" w:rsidRDefault="009E100B" w:rsidP="0046476F">
      <w:pPr>
        <w:autoSpaceDE w:val="0"/>
        <w:autoSpaceDN w:val="0"/>
        <w:adjustRightInd w:val="0"/>
        <w:spacing w:after="0" w:line="240" w:lineRule="auto"/>
        <w:jc w:val="center"/>
        <w:rPr>
          <w:i/>
          <w:noProof/>
          <w:szCs w:val="24"/>
          <w:lang w:val="sr-Cyrl-CS"/>
        </w:rPr>
      </w:pPr>
      <w:r w:rsidRPr="009F5B52">
        <w:rPr>
          <w:i/>
          <w:noProof/>
          <w:szCs w:val="24"/>
          <w:lang w:val="sr-Cyrl-CS"/>
        </w:rPr>
        <w:t>Графикон</w:t>
      </w:r>
      <w:r w:rsidR="0046476F" w:rsidRPr="009F5B52">
        <w:rPr>
          <w:i/>
          <w:noProof/>
          <w:szCs w:val="24"/>
          <w:lang w:val="sr-Cyrl-CS"/>
        </w:rPr>
        <w:t xml:space="preserve"> </w:t>
      </w:r>
      <w:r w:rsidR="006C2C68" w:rsidRPr="009F5B52">
        <w:rPr>
          <w:i/>
          <w:noProof/>
          <w:szCs w:val="24"/>
          <w:lang w:val="sr-Cyrl-CS"/>
        </w:rPr>
        <w:t>2</w:t>
      </w:r>
      <w:r w:rsidR="0046476F" w:rsidRPr="009F5B52">
        <w:rPr>
          <w:i/>
          <w:noProof/>
          <w:szCs w:val="24"/>
          <w:lang w:val="sr-Cyrl-CS"/>
        </w:rPr>
        <w:t>: Дистрибуција фондова ИПА Компоненте IV, према приоритетима у %, 2007-2009. година</w:t>
      </w:r>
    </w:p>
    <w:p w:rsidR="0046476F" w:rsidRPr="009F5B52" w:rsidRDefault="0046476F" w:rsidP="0046476F">
      <w:pPr>
        <w:rPr>
          <w:noProof/>
          <w:lang w:val="sr-Cyrl-CS"/>
        </w:rPr>
      </w:pPr>
      <w:r w:rsidRPr="009F5B52">
        <w:rPr>
          <w:noProof/>
          <w:lang w:val="sr-Cyrl-CS"/>
        </w:rPr>
        <w:t xml:space="preserve">Додатни проблем за земље кандидате представља проблем предфинансирања одређених програма/пројеката који постаје још већи након ослобађања средстава за развој људских ресурса, посебно код пројеката који се финансирају на основу конкурса за доделу </w:t>
      </w:r>
      <w:r w:rsidR="00B926EC" w:rsidRPr="009F5B52">
        <w:rPr>
          <w:noProof/>
          <w:lang w:val="sr-Cyrl-CS"/>
        </w:rPr>
        <w:t>бесповратних средстава</w:t>
      </w:r>
      <w:r w:rsidRPr="009F5B52">
        <w:rPr>
          <w:noProof/>
          <w:lang w:val="sr-Cyrl-CS"/>
        </w:rPr>
        <w:t>, попут оних који су наведени као приоритети у области социјалног укључивања (види Табелу 3).</w:t>
      </w:r>
    </w:p>
    <w:p w:rsidR="0046476F" w:rsidRPr="009F5B52" w:rsidRDefault="0046476F" w:rsidP="0046476F">
      <w:pPr>
        <w:rPr>
          <w:noProof/>
          <w:lang w:val="sr-Cyrl-CS" w:eastAsia="en-GB"/>
        </w:rPr>
      </w:pPr>
      <w:r w:rsidRPr="009F5B52">
        <w:rPr>
          <w:noProof/>
          <w:lang w:val="sr-Cyrl-CS"/>
        </w:rPr>
        <w:t xml:space="preserve">У пракси, предфинансирање означава ситуацију када примаоци </w:t>
      </w:r>
      <w:r w:rsidR="00B926EC" w:rsidRPr="009F5B52">
        <w:rPr>
          <w:noProof/>
          <w:lang w:val="sr-Cyrl-CS"/>
        </w:rPr>
        <w:t>бесповратних средстава</w:t>
      </w:r>
      <w:r w:rsidRPr="009F5B52">
        <w:rPr>
          <w:noProof/>
          <w:lang w:val="sr-Cyrl-CS"/>
        </w:rPr>
        <w:t xml:space="preserve"> добију </w:t>
      </w:r>
      <w:r w:rsidR="00E0770C" w:rsidRPr="009F5B52">
        <w:rPr>
          <w:rFonts w:cs="Times New Roman"/>
          <w:szCs w:val="24"/>
          <w:lang w:val="sr-Cyrl-CS"/>
        </w:rPr>
        <w:t>„</w:t>
      </w:r>
      <w:r w:rsidRPr="009F5B52">
        <w:rPr>
          <w:noProof/>
          <w:lang w:val="sr-Cyrl-CS"/>
        </w:rPr>
        <w:t>аванс” за отпочињање предвиђених пројектних активности. Међутим, проблем је што одређени програми (као што је Програм п</w:t>
      </w:r>
      <w:r w:rsidR="00B926EC" w:rsidRPr="009F5B52">
        <w:rPr>
          <w:noProof/>
          <w:lang w:val="sr-Cyrl-CS"/>
        </w:rPr>
        <w:t>р</w:t>
      </w:r>
      <w:r w:rsidRPr="009F5B52">
        <w:rPr>
          <w:noProof/>
          <w:lang w:val="sr-Cyrl-CS"/>
        </w:rPr>
        <w:t xml:space="preserve">екограничне сарадње у оквиру </w:t>
      </w:r>
      <w:r w:rsidRPr="009F5B52">
        <w:rPr>
          <w:noProof/>
          <w:lang w:val="sr-Cyrl-CS" w:eastAsia="en-GB"/>
        </w:rPr>
        <w:t xml:space="preserve">ИПА, за програме који се реализују са </w:t>
      </w:r>
      <w:r w:rsidR="00B926EC" w:rsidRPr="009F5B52">
        <w:rPr>
          <w:noProof/>
          <w:lang w:val="sr-Cyrl-CS" w:eastAsia="en-GB"/>
        </w:rPr>
        <w:t>д</w:t>
      </w:r>
      <w:r w:rsidRPr="009F5B52">
        <w:rPr>
          <w:noProof/>
          <w:lang w:val="sr-Cyrl-CS" w:eastAsia="en-GB"/>
        </w:rPr>
        <w:t xml:space="preserve">ржавама чланицама) функционишу у режиму ‘система </w:t>
      </w:r>
      <w:r w:rsidR="00B926EC" w:rsidRPr="009F5B52">
        <w:rPr>
          <w:noProof/>
          <w:lang w:val="sr-Cyrl-CS" w:eastAsia="en-GB"/>
        </w:rPr>
        <w:t>рефундирања</w:t>
      </w:r>
      <w:r w:rsidRPr="009F5B52">
        <w:rPr>
          <w:noProof/>
          <w:lang w:val="sr-Cyrl-CS" w:eastAsia="en-GB"/>
        </w:rPr>
        <w:t xml:space="preserve">’ што значи да пројекти за које су додељене субвенције не могу унапред да добију </w:t>
      </w:r>
      <w:r w:rsidR="00B926EC" w:rsidRPr="009F5B52">
        <w:rPr>
          <w:noProof/>
          <w:lang w:val="sr-Cyrl-CS" w:eastAsia="en-GB"/>
        </w:rPr>
        <w:t>средства</w:t>
      </w:r>
      <w:r w:rsidRPr="009F5B52">
        <w:rPr>
          <w:noProof/>
          <w:lang w:val="sr-Cyrl-CS" w:eastAsia="en-GB"/>
        </w:rPr>
        <w:t>, а да прва 'редовна' накнада прихватљивих трошкова може да буде извршена тек након првог периода извештавања. То ствара велике проблеме организацијама цивилног друштва које се, већином, ослањају на спољне изворе финансирања, и суочавају са тешкоћама да прибаве сопствена средст</w:t>
      </w:r>
      <w:r w:rsidR="00B926EC" w:rsidRPr="009F5B52">
        <w:rPr>
          <w:noProof/>
          <w:lang w:val="sr-Cyrl-CS" w:eastAsia="en-GB"/>
        </w:rPr>
        <w:t>в</w:t>
      </w:r>
      <w:r w:rsidRPr="009F5B52">
        <w:rPr>
          <w:noProof/>
          <w:lang w:val="sr-Cyrl-CS" w:eastAsia="en-GB"/>
        </w:rPr>
        <w:t>а за отпочињање пројекта.</w:t>
      </w:r>
    </w:p>
    <w:p w:rsidR="0046476F" w:rsidRPr="009F5B52" w:rsidRDefault="0046476F" w:rsidP="0046476F">
      <w:pPr>
        <w:rPr>
          <w:b/>
          <w:noProof/>
          <w:lang w:val="sr-Cyrl-CS"/>
        </w:rPr>
      </w:pPr>
      <w:r w:rsidRPr="009F5B52">
        <w:rPr>
          <w:iCs/>
          <w:noProof/>
          <w:lang w:val="sr-Cyrl-CS"/>
        </w:rPr>
        <w:t>Имајући у виду правило о предфинансирању и нивоу доприноса, могућности за учешће у одређеним програмима и делотворно коришћење фондова ЕУ често су знатно лимитирани за организације цивилног друштва, општине и друге непрофитне кандидате.</w:t>
      </w:r>
    </w:p>
    <w:p w:rsidR="0046476F" w:rsidRPr="009F5B52" w:rsidRDefault="0046476F" w:rsidP="0046476F">
      <w:pPr>
        <w:rPr>
          <w:noProof/>
          <w:lang w:val="sr-Cyrl-CS"/>
        </w:rPr>
      </w:pPr>
      <w:r w:rsidRPr="009F5B52">
        <w:rPr>
          <w:noProof/>
          <w:lang w:val="sr-Cyrl-CS"/>
        </w:rPr>
        <w:t xml:space="preserve">Фонд за социјално укључивање био би добро решење за испуњавање како обавеза које се односе како на </w:t>
      </w:r>
      <w:r w:rsidR="00942E56" w:rsidRPr="009F5B52">
        <w:rPr>
          <w:noProof/>
          <w:lang w:val="sr-Cyrl-CS"/>
        </w:rPr>
        <w:t>ко</w:t>
      </w:r>
      <w:r w:rsidRPr="009F5B52">
        <w:rPr>
          <w:noProof/>
          <w:lang w:val="sr-Cyrl-CS"/>
        </w:rPr>
        <w:t xml:space="preserve">финансирање, тако и на предфинансирање </w:t>
      </w:r>
      <w:r w:rsidR="000801EE" w:rsidRPr="009F5B52">
        <w:rPr>
          <w:noProof/>
          <w:lang w:val="sr-Cyrl-CS"/>
        </w:rPr>
        <w:t xml:space="preserve">– </w:t>
      </w:r>
      <w:r w:rsidRPr="009F5B52">
        <w:rPr>
          <w:noProof/>
          <w:lang w:val="sr-Cyrl-CS"/>
        </w:rPr>
        <w:t xml:space="preserve">за ИПА Компоненту IV могао би да обезбеди </w:t>
      </w:r>
      <w:r w:rsidR="00942E56" w:rsidRPr="009F5B52">
        <w:rPr>
          <w:noProof/>
          <w:lang w:val="sr-Cyrl-CS"/>
        </w:rPr>
        <w:t>ко</w:t>
      </w:r>
      <w:r w:rsidRPr="009F5B52">
        <w:rPr>
          <w:noProof/>
          <w:lang w:val="sr-Cyrl-CS"/>
        </w:rPr>
        <w:t xml:space="preserve">финансирање за вишегодишње програме ЕУ много брже него други државни органи који имају годишње буџете и који су ограничени у смислу доделе средстава неколико година унапред (посебно уколико се програмирање у оквиру нове ИПА Компоненте IV </w:t>
      </w:r>
      <w:r w:rsidR="00787409" w:rsidRPr="009F5B52">
        <w:rPr>
          <w:noProof/>
          <w:lang w:val="sr-Cyrl-CS"/>
        </w:rPr>
        <w:t>продужи</w:t>
      </w:r>
      <w:r w:rsidRPr="009F5B52">
        <w:rPr>
          <w:noProof/>
          <w:lang w:val="sr-Cyrl-CS"/>
        </w:rPr>
        <w:t xml:space="preserve"> са 3 на 7 година). </w:t>
      </w:r>
    </w:p>
    <w:p w:rsidR="0046476F" w:rsidRPr="009F5B52" w:rsidRDefault="00787409" w:rsidP="0046476F">
      <w:pPr>
        <w:autoSpaceDE w:val="0"/>
        <w:autoSpaceDN w:val="0"/>
        <w:adjustRightInd w:val="0"/>
        <w:spacing w:after="0" w:line="240" w:lineRule="auto"/>
        <w:rPr>
          <w:noProof/>
          <w:szCs w:val="24"/>
          <w:lang w:val="sr-Cyrl-CS"/>
        </w:rPr>
      </w:pPr>
      <w:r w:rsidRPr="009F5B52">
        <w:rPr>
          <w:noProof/>
          <w:lang w:val="sr-Cyrl-RS" w:eastAsia="sr-Cyrl-RS"/>
        </w:rPr>
        <w:lastRenderedPageBreak/>
        <mc:AlternateContent>
          <mc:Choice Requires="wps">
            <w:drawing>
              <wp:anchor distT="0" distB="0" distL="114300" distR="114300" simplePos="0" relativeHeight="251704320" behindDoc="0" locked="0" layoutInCell="1" allowOverlap="1" wp14:anchorId="59920CB0" wp14:editId="52FD9E05">
                <wp:simplePos x="0" y="0"/>
                <wp:positionH relativeFrom="column">
                  <wp:posOffset>-14605</wp:posOffset>
                </wp:positionH>
                <wp:positionV relativeFrom="paragraph">
                  <wp:posOffset>-1270</wp:posOffset>
                </wp:positionV>
                <wp:extent cx="5835650" cy="763270"/>
                <wp:effectExtent l="13970" t="9525" r="8255" b="8255"/>
                <wp:wrapNone/>
                <wp:docPr id="11"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5650" cy="763270"/>
                        </a:xfrm>
                        <a:prstGeom prst="rect">
                          <a:avLst/>
                        </a:prstGeom>
                        <a:solidFill>
                          <a:srgbClr val="D8D8D8"/>
                        </a:solidFill>
                        <a:ln w="12700">
                          <a:solidFill>
                            <a:srgbClr val="000000"/>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172313" w:rsidRPr="009F2D84" w:rsidRDefault="00172313" w:rsidP="0046476F">
                            <w:pPr>
                              <w:rPr>
                                <w:b/>
                                <w:i/>
                                <w:lang w:val="sr-Cyrl-CS"/>
                              </w:rPr>
                            </w:pPr>
                            <w:r>
                              <w:rPr>
                                <w:b/>
                                <w:i/>
                                <w:noProof/>
                                <w:lang w:val="sr-Cyrl-CS"/>
                              </w:rPr>
                              <w:t>Фонд</w:t>
                            </w:r>
                            <w:r w:rsidRPr="009F2D84">
                              <w:rPr>
                                <w:b/>
                                <w:i/>
                                <w:noProof/>
                                <w:lang w:val="sr-Cyrl-CS"/>
                              </w:rPr>
                              <w:t xml:space="preserve"> </w:t>
                            </w:r>
                            <w:r>
                              <w:rPr>
                                <w:b/>
                                <w:i/>
                                <w:noProof/>
                                <w:lang w:val="sr-Cyrl-CS"/>
                              </w:rPr>
                              <w:t>за</w:t>
                            </w:r>
                            <w:r w:rsidRPr="009F2D84">
                              <w:rPr>
                                <w:b/>
                                <w:i/>
                                <w:noProof/>
                                <w:lang w:val="sr-Cyrl-CS"/>
                              </w:rPr>
                              <w:t xml:space="preserve"> </w:t>
                            </w:r>
                            <w:r>
                              <w:rPr>
                                <w:b/>
                                <w:i/>
                                <w:noProof/>
                                <w:lang w:val="sr-Cyrl-CS"/>
                              </w:rPr>
                              <w:t>социјално</w:t>
                            </w:r>
                            <w:r w:rsidRPr="009F2D84">
                              <w:rPr>
                                <w:b/>
                                <w:i/>
                                <w:noProof/>
                                <w:lang w:val="sr-Cyrl-CS"/>
                              </w:rPr>
                              <w:t xml:space="preserve"> </w:t>
                            </w:r>
                            <w:r>
                              <w:rPr>
                                <w:b/>
                                <w:i/>
                                <w:noProof/>
                                <w:lang w:val="sr-Cyrl-CS"/>
                              </w:rPr>
                              <w:t>укључивање</w:t>
                            </w:r>
                            <w:r w:rsidRPr="009F2D84">
                              <w:rPr>
                                <w:b/>
                                <w:i/>
                                <w:noProof/>
                                <w:lang w:val="sr-Cyrl-CS"/>
                              </w:rPr>
                              <w:t xml:space="preserve"> </w:t>
                            </w:r>
                            <w:r>
                              <w:rPr>
                                <w:b/>
                                <w:i/>
                                <w:noProof/>
                                <w:lang w:val="sr-Cyrl-CS"/>
                              </w:rPr>
                              <w:t>омогућује</w:t>
                            </w:r>
                            <w:r w:rsidRPr="009F2D84">
                              <w:rPr>
                                <w:b/>
                                <w:i/>
                                <w:noProof/>
                                <w:lang w:val="sr-Cyrl-CS"/>
                              </w:rPr>
                              <w:t xml:space="preserve"> </w:t>
                            </w:r>
                            <w:r>
                              <w:rPr>
                                <w:b/>
                                <w:i/>
                                <w:noProof/>
                                <w:lang w:val="sr-Cyrl-CS"/>
                              </w:rPr>
                              <w:t>флексибилност</w:t>
                            </w:r>
                            <w:r w:rsidRPr="009F2D84">
                              <w:rPr>
                                <w:b/>
                                <w:i/>
                                <w:noProof/>
                                <w:lang w:val="sr-Cyrl-CS"/>
                              </w:rPr>
                              <w:t xml:space="preserve"> </w:t>
                            </w:r>
                            <w:r>
                              <w:rPr>
                                <w:b/>
                                <w:i/>
                                <w:noProof/>
                                <w:lang w:val="sr-Cyrl-CS"/>
                              </w:rPr>
                              <w:t>у</w:t>
                            </w:r>
                            <w:r w:rsidRPr="009F2D84">
                              <w:rPr>
                                <w:b/>
                                <w:i/>
                                <w:noProof/>
                                <w:lang w:val="sr-Cyrl-CS"/>
                              </w:rPr>
                              <w:t xml:space="preserve"> </w:t>
                            </w:r>
                            <w:r>
                              <w:rPr>
                                <w:b/>
                                <w:i/>
                                <w:noProof/>
                                <w:lang w:val="sr-Cyrl-CS"/>
                              </w:rPr>
                              <w:t>премошћавању</w:t>
                            </w:r>
                            <w:r w:rsidRPr="009F2D84">
                              <w:rPr>
                                <w:b/>
                                <w:i/>
                                <w:noProof/>
                                <w:lang w:val="sr-Cyrl-CS"/>
                              </w:rPr>
                              <w:t xml:space="preserve"> </w:t>
                            </w:r>
                            <w:r>
                              <w:rPr>
                                <w:b/>
                                <w:i/>
                                <w:noProof/>
                                <w:lang w:val="sr-Cyrl-CS"/>
                              </w:rPr>
                              <w:t>захтева</w:t>
                            </w:r>
                            <w:r w:rsidRPr="009F2D84">
                              <w:rPr>
                                <w:b/>
                                <w:i/>
                                <w:noProof/>
                                <w:lang w:val="sr-Cyrl-CS"/>
                              </w:rPr>
                              <w:t xml:space="preserve"> </w:t>
                            </w:r>
                            <w:r>
                              <w:rPr>
                                <w:b/>
                                <w:i/>
                                <w:noProof/>
                                <w:lang w:val="sr-Cyrl-CS"/>
                              </w:rPr>
                              <w:t>за</w:t>
                            </w:r>
                            <w:r w:rsidRPr="009F2D84">
                              <w:rPr>
                                <w:b/>
                                <w:i/>
                                <w:noProof/>
                                <w:lang w:val="sr-Cyrl-CS"/>
                              </w:rPr>
                              <w:t xml:space="preserve"> </w:t>
                            </w:r>
                            <w:r>
                              <w:rPr>
                                <w:b/>
                                <w:i/>
                                <w:noProof/>
                                <w:lang w:val="sr-Cyrl-CS"/>
                              </w:rPr>
                              <w:t>кофинансирањем</w:t>
                            </w:r>
                            <w:r w:rsidRPr="009F2D84">
                              <w:rPr>
                                <w:b/>
                                <w:i/>
                                <w:noProof/>
                                <w:lang w:val="sr-Cyrl-CS"/>
                              </w:rPr>
                              <w:t xml:space="preserve"> </w:t>
                            </w:r>
                            <w:r>
                              <w:rPr>
                                <w:b/>
                                <w:i/>
                                <w:noProof/>
                                <w:lang w:val="sr-Cyrl-CS"/>
                              </w:rPr>
                              <w:t>и</w:t>
                            </w:r>
                            <w:r w:rsidRPr="009F2D84">
                              <w:rPr>
                                <w:b/>
                                <w:i/>
                                <w:noProof/>
                                <w:lang w:val="sr-Cyrl-CS"/>
                              </w:rPr>
                              <w:t xml:space="preserve"> </w:t>
                            </w:r>
                            <w:r>
                              <w:rPr>
                                <w:b/>
                                <w:i/>
                                <w:noProof/>
                                <w:lang w:val="sr-Cyrl-CS"/>
                              </w:rPr>
                              <w:t>предфинансирањем</w:t>
                            </w:r>
                            <w:r w:rsidRPr="009F2D84">
                              <w:rPr>
                                <w:b/>
                                <w:i/>
                                <w:noProof/>
                                <w:lang w:val="sr-Cyrl-CS"/>
                              </w:rPr>
                              <w:t xml:space="preserve"> </w:t>
                            </w:r>
                            <w:r>
                              <w:rPr>
                                <w:b/>
                                <w:i/>
                                <w:noProof/>
                                <w:lang w:val="sr-Cyrl-CS"/>
                              </w:rPr>
                              <w:t>који</w:t>
                            </w:r>
                            <w:r w:rsidRPr="009F2D84">
                              <w:rPr>
                                <w:b/>
                                <w:i/>
                                <w:noProof/>
                                <w:lang w:val="sr-Cyrl-CS"/>
                              </w:rPr>
                              <w:t xml:space="preserve"> </w:t>
                            </w:r>
                            <w:r>
                              <w:rPr>
                                <w:b/>
                                <w:i/>
                                <w:noProof/>
                                <w:lang w:val="sr-Cyrl-CS"/>
                              </w:rPr>
                              <w:t>настају</w:t>
                            </w:r>
                            <w:r w:rsidRPr="009F2D84">
                              <w:rPr>
                                <w:b/>
                                <w:i/>
                                <w:noProof/>
                                <w:lang w:val="sr-Cyrl-CS"/>
                              </w:rPr>
                              <w:t xml:space="preserve"> </w:t>
                            </w:r>
                            <w:r>
                              <w:rPr>
                                <w:b/>
                                <w:i/>
                                <w:noProof/>
                                <w:lang w:val="sr-Cyrl-CS"/>
                              </w:rPr>
                              <w:t>из</w:t>
                            </w:r>
                            <w:r w:rsidRPr="009F2D84">
                              <w:rPr>
                                <w:b/>
                                <w:i/>
                                <w:noProof/>
                                <w:lang w:val="sr-Cyrl-CS"/>
                              </w:rPr>
                              <w:t xml:space="preserve"> </w:t>
                            </w:r>
                            <w:r>
                              <w:rPr>
                                <w:b/>
                                <w:i/>
                                <w:noProof/>
                                <w:lang w:val="sr-Cyrl-CS"/>
                              </w:rPr>
                              <w:t>претприступне</w:t>
                            </w:r>
                            <w:r w:rsidRPr="009F2D84">
                              <w:rPr>
                                <w:b/>
                                <w:i/>
                                <w:noProof/>
                                <w:lang w:val="sr-Cyrl-CS"/>
                              </w:rPr>
                              <w:t xml:space="preserve"> </w:t>
                            </w:r>
                            <w:r>
                              <w:rPr>
                                <w:b/>
                                <w:i/>
                                <w:noProof/>
                                <w:lang w:val="sr-Cyrl-CS"/>
                              </w:rPr>
                              <w:t>помоћи</w:t>
                            </w:r>
                            <w:r w:rsidRPr="009F2D84">
                              <w:rPr>
                                <w:b/>
                                <w:i/>
                                <w:noProof/>
                                <w:lang w:val="sr-Cyrl-CS"/>
                              </w:rPr>
                              <w:t xml:space="preserve"> </w:t>
                            </w:r>
                            <w:r>
                              <w:rPr>
                                <w:b/>
                                <w:i/>
                                <w:noProof/>
                                <w:lang w:val="sr-Cyrl-CS"/>
                              </w:rPr>
                              <w:t>и</w:t>
                            </w:r>
                            <w:r w:rsidRPr="009F2D84">
                              <w:rPr>
                                <w:b/>
                                <w:i/>
                                <w:noProof/>
                                <w:lang w:val="sr-Cyrl-CS"/>
                              </w:rPr>
                              <w:t xml:space="preserve"> </w:t>
                            </w:r>
                            <w:r>
                              <w:rPr>
                                <w:b/>
                                <w:i/>
                                <w:noProof/>
                                <w:lang w:val="sr-Cyrl-CS"/>
                              </w:rPr>
                              <w:t>других</w:t>
                            </w:r>
                            <w:r w:rsidRPr="009F2D84">
                              <w:rPr>
                                <w:b/>
                                <w:i/>
                                <w:noProof/>
                                <w:lang w:val="sr-Cyrl-CS"/>
                              </w:rPr>
                              <w:t xml:space="preserve"> </w:t>
                            </w:r>
                            <w:r>
                              <w:rPr>
                                <w:b/>
                                <w:i/>
                                <w:noProof/>
                                <w:lang w:val="sr-Cyrl-CS"/>
                              </w:rPr>
                              <w:t>програма</w:t>
                            </w:r>
                            <w:r w:rsidRPr="009F2D84">
                              <w:rPr>
                                <w:b/>
                                <w:i/>
                                <w:noProof/>
                                <w:lang w:val="sr-Cyrl-CS"/>
                              </w:rPr>
                              <w:t xml:space="preserve"> </w:t>
                            </w:r>
                            <w:r>
                              <w:rPr>
                                <w:b/>
                                <w:i/>
                                <w:noProof/>
                                <w:lang w:val="sr-Cyrl-CS"/>
                              </w:rPr>
                              <w:t>ЕУ</w:t>
                            </w:r>
                            <w:r w:rsidRPr="009F2D84">
                              <w:rPr>
                                <w:b/>
                                <w:i/>
                                <w:noProof/>
                                <w:lang w:val="sr-Cyrl-CS"/>
                              </w:rPr>
                              <w:t xml:space="preserve"> </w:t>
                            </w:r>
                            <w:r>
                              <w:rPr>
                                <w:b/>
                                <w:i/>
                                <w:noProof/>
                                <w:lang w:val="sr-Cyrl-CS"/>
                              </w:rPr>
                              <w:t>опредељених</w:t>
                            </w:r>
                            <w:r w:rsidRPr="009F2D84">
                              <w:rPr>
                                <w:b/>
                                <w:i/>
                                <w:noProof/>
                                <w:lang w:val="sr-Cyrl-CS"/>
                              </w:rPr>
                              <w:t xml:space="preserve"> </w:t>
                            </w:r>
                            <w:r>
                              <w:rPr>
                                <w:b/>
                                <w:i/>
                                <w:noProof/>
                                <w:lang w:val="sr-Cyrl-CS"/>
                              </w:rPr>
                              <w:t>за</w:t>
                            </w:r>
                            <w:r w:rsidRPr="009F2D84">
                              <w:rPr>
                                <w:b/>
                                <w:i/>
                                <w:noProof/>
                                <w:lang w:val="sr-Cyrl-CS"/>
                              </w:rPr>
                              <w:t xml:space="preserve"> </w:t>
                            </w:r>
                            <w:r>
                              <w:rPr>
                                <w:b/>
                                <w:i/>
                                <w:noProof/>
                                <w:lang w:val="sr-Cyrl-CS"/>
                              </w:rPr>
                              <w:t>социјално</w:t>
                            </w:r>
                            <w:r w:rsidRPr="009F2D84">
                              <w:rPr>
                                <w:b/>
                                <w:i/>
                                <w:noProof/>
                                <w:lang w:val="sr-Cyrl-CS"/>
                              </w:rPr>
                              <w:t xml:space="preserve"> </w:t>
                            </w:r>
                            <w:r>
                              <w:rPr>
                                <w:b/>
                                <w:i/>
                                <w:noProof/>
                                <w:lang w:val="sr-Cyrl-CS"/>
                              </w:rPr>
                              <w:t>укључивање</w:t>
                            </w:r>
                            <w:r w:rsidRPr="009F2D84">
                              <w:rPr>
                                <w:b/>
                                <w:i/>
                                <w:noProof/>
                                <w:lang w:val="sr-Cyrl-C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ounded Rectangle 20" o:spid="_x0000_s1032" style="position:absolute;left:0;text-align:left;margin-left:-1.15pt;margin-top:-.1pt;width:459.5pt;height:6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" fillcolor="#d8d8d8" strokeweight="1pt">
                <v:shadow color="black" opacity="24903f" origin=",.5" offset="0,.55556mm"/>
                <v:path arrowok="t"/>
                <v:textbox>
                  <w:txbxContent>
                    <w:p w:rsidR="00172313" w:rsidRPr="009F2D84" w:rsidRDefault="00172313" w:rsidP="0046476F">
                      <w:pPr>
                        <w:rPr>
                          <w:b/>
                          <w:i/>
                          <w:lang w:val="sr-Cyrl-CS"/>
                        </w:rPr>
                      </w:pPr>
                      <w:r>
                        <w:rPr>
                          <w:b/>
                          <w:i/>
                          <w:noProof/>
                          <w:lang w:val="sr-Cyrl-CS"/>
                        </w:rPr>
                        <w:t>Фонд</w:t>
                      </w:r>
                      <w:r w:rsidRPr="009F2D84">
                        <w:rPr>
                          <w:b/>
                          <w:i/>
                          <w:noProof/>
                          <w:lang w:val="sr-Cyrl-CS"/>
                        </w:rPr>
                        <w:t xml:space="preserve"> </w:t>
                      </w:r>
                      <w:r>
                        <w:rPr>
                          <w:b/>
                          <w:i/>
                          <w:noProof/>
                          <w:lang w:val="sr-Cyrl-CS"/>
                        </w:rPr>
                        <w:t>за</w:t>
                      </w:r>
                      <w:r w:rsidRPr="009F2D84">
                        <w:rPr>
                          <w:b/>
                          <w:i/>
                          <w:noProof/>
                          <w:lang w:val="sr-Cyrl-CS"/>
                        </w:rPr>
                        <w:t xml:space="preserve"> </w:t>
                      </w:r>
                      <w:r>
                        <w:rPr>
                          <w:b/>
                          <w:i/>
                          <w:noProof/>
                          <w:lang w:val="sr-Cyrl-CS"/>
                        </w:rPr>
                        <w:t>социјално</w:t>
                      </w:r>
                      <w:r w:rsidRPr="009F2D84">
                        <w:rPr>
                          <w:b/>
                          <w:i/>
                          <w:noProof/>
                          <w:lang w:val="sr-Cyrl-CS"/>
                        </w:rPr>
                        <w:t xml:space="preserve"> </w:t>
                      </w:r>
                      <w:r>
                        <w:rPr>
                          <w:b/>
                          <w:i/>
                          <w:noProof/>
                          <w:lang w:val="sr-Cyrl-CS"/>
                        </w:rPr>
                        <w:t>укључивање</w:t>
                      </w:r>
                      <w:r w:rsidRPr="009F2D84">
                        <w:rPr>
                          <w:b/>
                          <w:i/>
                          <w:noProof/>
                          <w:lang w:val="sr-Cyrl-CS"/>
                        </w:rPr>
                        <w:t xml:space="preserve"> </w:t>
                      </w:r>
                      <w:r>
                        <w:rPr>
                          <w:b/>
                          <w:i/>
                          <w:noProof/>
                          <w:lang w:val="sr-Cyrl-CS"/>
                        </w:rPr>
                        <w:t>омогућује</w:t>
                      </w:r>
                      <w:r w:rsidRPr="009F2D84">
                        <w:rPr>
                          <w:b/>
                          <w:i/>
                          <w:noProof/>
                          <w:lang w:val="sr-Cyrl-CS"/>
                        </w:rPr>
                        <w:t xml:space="preserve"> </w:t>
                      </w:r>
                      <w:r>
                        <w:rPr>
                          <w:b/>
                          <w:i/>
                          <w:noProof/>
                          <w:lang w:val="sr-Cyrl-CS"/>
                        </w:rPr>
                        <w:t>флексибилност</w:t>
                      </w:r>
                      <w:r w:rsidRPr="009F2D84">
                        <w:rPr>
                          <w:b/>
                          <w:i/>
                          <w:noProof/>
                          <w:lang w:val="sr-Cyrl-CS"/>
                        </w:rPr>
                        <w:t xml:space="preserve"> </w:t>
                      </w:r>
                      <w:r>
                        <w:rPr>
                          <w:b/>
                          <w:i/>
                          <w:noProof/>
                          <w:lang w:val="sr-Cyrl-CS"/>
                        </w:rPr>
                        <w:t>у</w:t>
                      </w:r>
                      <w:r w:rsidRPr="009F2D84">
                        <w:rPr>
                          <w:b/>
                          <w:i/>
                          <w:noProof/>
                          <w:lang w:val="sr-Cyrl-CS"/>
                        </w:rPr>
                        <w:t xml:space="preserve"> </w:t>
                      </w:r>
                      <w:r>
                        <w:rPr>
                          <w:b/>
                          <w:i/>
                          <w:noProof/>
                          <w:lang w:val="sr-Cyrl-CS"/>
                        </w:rPr>
                        <w:t>премошћавању</w:t>
                      </w:r>
                      <w:r w:rsidRPr="009F2D84">
                        <w:rPr>
                          <w:b/>
                          <w:i/>
                          <w:noProof/>
                          <w:lang w:val="sr-Cyrl-CS"/>
                        </w:rPr>
                        <w:t xml:space="preserve"> </w:t>
                      </w:r>
                      <w:r>
                        <w:rPr>
                          <w:b/>
                          <w:i/>
                          <w:noProof/>
                          <w:lang w:val="sr-Cyrl-CS"/>
                        </w:rPr>
                        <w:t>захтева</w:t>
                      </w:r>
                      <w:r w:rsidRPr="009F2D84">
                        <w:rPr>
                          <w:b/>
                          <w:i/>
                          <w:noProof/>
                          <w:lang w:val="sr-Cyrl-CS"/>
                        </w:rPr>
                        <w:t xml:space="preserve"> </w:t>
                      </w:r>
                      <w:r>
                        <w:rPr>
                          <w:b/>
                          <w:i/>
                          <w:noProof/>
                          <w:lang w:val="sr-Cyrl-CS"/>
                        </w:rPr>
                        <w:t>за</w:t>
                      </w:r>
                      <w:r w:rsidRPr="009F2D84">
                        <w:rPr>
                          <w:b/>
                          <w:i/>
                          <w:noProof/>
                          <w:lang w:val="sr-Cyrl-CS"/>
                        </w:rPr>
                        <w:t xml:space="preserve"> </w:t>
                      </w:r>
                      <w:r>
                        <w:rPr>
                          <w:b/>
                          <w:i/>
                          <w:noProof/>
                          <w:lang w:val="sr-Cyrl-CS"/>
                        </w:rPr>
                        <w:t>кофинансирањем</w:t>
                      </w:r>
                      <w:r w:rsidRPr="009F2D84">
                        <w:rPr>
                          <w:b/>
                          <w:i/>
                          <w:noProof/>
                          <w:lang w:val="sr-Cyrl-CS"/>
                        </w:rPr>
                        <w:t xml:space="preserve"> </w:t>
                      </w:r>
                      <w:r>
                        <w:rPr>
                          <w:b/>
                          <w:i/>
                          <w:noProof/>
                          <w:lang w:val="sr-Cyrl-CS"/>
                        </w:rPr>
                        <w:t>и</w:t>
                      </w:r>
                      <w:r w:rsidRPr="009F2D84">
                        <w:rPr>
                          <w:b/>
                          <w:i/>
                          <w:noProof/>
                          <w:lang w:val="sr-Cyrl-CS"/>
                        </w:rPr>
                        <w:t xml:space="preserve"> </w:t>
                      </w:r>
                      <w:r>
                        <w:rPr>
                          <w:b/>
                          <w:i/>
                          <w:noProof/>
                          <w:lang w:val="sr-Cyrl-CS"/>
                        </w:rPr>
                        <w:t>предфинансирањем</w:t>
                      </w:r>
                      <w:r w:rsidRPr="009F2D84">
                        <w:rPr>
                          <w:b/>
                          <w:i/>
                          <w:noProof/>
                          <w:lang w:val="sr-Cyrl-CS"/>
                        </w:rPr>
                        <w:t xml:space="preserve"> </w:t>
                      </w:r>
                      <w:r>
                        <w:rPr>
                          <w:b/>
                          <w:i/>
                          <w:noProof/>
                          <w:lang w:val="sr-Cyrl-CS"/>
                        </w:rPr>
                        <w:t>који</w:t>
                      </w:r>
                      <w:r w:rsidRPr="009F2D84">
                        <w:rPr>
                          <w:b/>
                          <w:i/>
                          <w:noProof/>
                          <w:lang w:val="sr-Cyrl-CS"/>
                        </w:rPr>
                        <w:t xml:space="preserve"> </w:t>
                      </w:r>
                      <w:r>
                        <w:rPr>
                          <w:b/>
                          <w:i/>
                          <w:noProof/>
                          <w:lang w:val="sr-Cyrl-CS"/>
                        </w:rPr>
                        <w:t>настају</w:t>
                      </w:r>
                      <w:r w:rsidRPr="009F2D84">
                        <w:rPr>
                          <w:b/>
                          <w:i/>
                          <w:noProof/>
                          <w:lang w:val="sr-Cyrl-CS"/>
                        </w:rPr>
                        <w:t xml:space="preserve"> </w:t>
                      </w:r>
                      <w:r>
                        <w:rPr>
                          <w:b/>
                          <w:i/>
                          <w:noProof/>
                          <w:lang w:val="sr-Cyrl-CS"/>
                        </w:rPr>
                        <w:t>из</w:t>
                      </w:r>
                      <w:r w:rsidRPr="009F2D84">
                        <w:rPr>
                          <w:b/>
                          <w:i/>
                          <w:noProof/>
                          <w:lang w:val="sr-Cyrl-CS"/>
                        </w:rPr>
                        <w:t xml:space="preserve"> </w:t>
                      </w:r>
                      <w:r>
                        <w:rPr>
                          <w:b/>
                          <w:i/>
                          <w:noProof/>
                          <w:lang w:val="sr-Cyrl-CS"/>
                        </w:rPr>
                        <w:t>претприступне</w:t>
                      </w:r>
                      <w:r w:rsidRPr="009F2D84">
                        <w:rPr>
                          <w:b/>
                          <w:i/>
                          <w:noProof/>
                          <w:lang w:val="sr-Cyrl-CS"/>
                        </w:rPr>
                        <w:t xml:space="preserve"> </w:t>
                      </w:r>
                      <w:r>
                        <w:rPr>
                          <w:b/>
                          <w:i/>
                          <w:noProof/>
                          <w:lang w:val="sr-Cyrl-CS"/>
                        </w:rPr>
                        <w:t>помоћи</w:t>
                      </w:r>
                      <w:r w:rsidRPr="009F2D84">
                        <w:rPr>
                          <w:b/>
                          <w:i/>
                          <w:noProof/>
                          <w:lang w:val="sr-Cyrl-CS"/>
                        </w:rPr>
                        <w:t xml:space="preserve"> </w:t>
                      </w:r>
                      <w:r>
                        <w:rPr>
                          <w:b/>
                          <w:i/>
                          <w:noProof/>
                          <w:lang w:val="sr-Cyrl-CS"/>
                        </w:rPr>
                        <w:t>и</w:t>
                      </w:r>
                      <w:r w:rsidRPr="009F2D84">
                        <w:rPr>
                          <w:b/>
                          <w:i/>
                          <w:noProof/>
                          <w:lang w:val="sr-Cyrl-CS"/>
                        </w:rPr>
                        <w:t xml:space="preserve"> </w:t>
                      </w:r>
                      <w:r>
                        <w:rPr>
                          <w:b/>
                          <w:i/>
                          <w:noProof/>
                          <w:lang w:val="sr-Cyrl-CS"/>
                        </w:rPr>
                        <w:t>других</w:t>
                      </w:r>
                      <w:r w:rsidRPr="009F2D84">
                        <w:rPr>
                          <w:b/>
                          <w:i/>
                          <w:noProof/>
                          <w:lang w:val="sr-Cyrl-CS"/>
                        </w:rPr>
                        <w:t xml:space="preserve"> </w:t>
                      </w:r>
                      <w:r>
                        <w:rPr>
                          <w:b/>
                          <w:i/>
                          <w:noProof/>
                          <w:lang w:val="sr-Cyrl-CS"/>
                        </w:rPr>
                        <w:t>програма</w:t>
                      </w:r>
                      <w:r w:rsidRPr="009F2D84">
                        <w:rPr>
                          <w:b/>
                          <w:i/>
                          <w:noProof/>
                          <w:lang w:val="sr-Cyrl-CS"/>
                        </w:rPr>
                        <w:t xml:space="preserve"> </w:t>
                      </w:r>
                      <w:r>
                        <w:rPr>
                          <w:b/>
                          <w:i/>
                          <w:noProof/>
                          <w:lang w:val="sr-Cyrl-CS"/>
                        </w:rPr>
                        <w:t>ЕУ</w:t>
                      </w:r>
                      <w:r w:rsidRPr="009F2D84">
                        <w:rPr>
                          <w:b/>
                          <w:i/>
                          <w:noProof/>
                          <w:lang w:val="sr-Cyrl-CS"/>
                        </w:rPr>
                        <w:t xml:space="preserve"> </w:t>
                      </w:r>
                      <w:r>
                        <w:rPr>
                          <w:b/>
                          <w:i/>
                          <w:noProof/>
                          <w:lang w:val="sr-Cyrl-CS"/>
                        </w:rPr>
                        <w:t>опредељених</w:t>
                      </w:r>
                      <w:r w:rsidRPr="009F2D84">
                        <w:rPr>
                          <w:b/>
                          <w:i/>
                          <w:noProof/>
                          <w:lang w:val="sr-Cyrl-CS"/>
                        </w:rPr>
                        <w:t xml:space="preserve"> </w:t>
                      </w:r>
                      <w:r>
                        <w:rPr>
                          <w:b/>
                          <w:i/>
                          <w:noProof/>
                          <w:lang w:val="sr-Cyrl-CS"/>
                        </w:rPr>
                        <w:t>за</w:t>
                      </w:r>
                      <w:r w:rsidRPr="009F2D84">
                        <w:rPr>
                          <w:b/>
                          <w:i/>
                          <w:noProof/>
                          <w:lang w:val="sr-Cyrl-CS"/>
                        </w:rPr>
                        <w:t xml:space="preserve"> </w:t>
                      </w:r>
                      <w:r>
                        <w:rPr>
                          <w:b/>
                          <w:i/>
                          <w:noProof/>
                          <w:lang w:val="sr-Cyrl-CS"/>
                        </w:rPr>
                        <w:t>социјално</w:t>
                      </w:r>
                      <w:r w:rsidRPr="009F2D84">
                        <w:rPr>
                          <w:b/>
                          <w:i/>
                          <w:noProof/>
                          <w:lang w:val="sr-Cyrl-CS"/>
                        </w:rPr>
                        <w:t xml:space="preserve"> </w:t>
                      </w:r>
                      <w:r>
                        <w:rPr>
                          <w:b/>
                          <w:i/>
                          <w:noProof/>
                          <w:lang w:val="sr-Cyrl-CS"/>
                        </w:rPr>
                        <w:t>укључивање</w:t>
                      </w:r>
                      <w:r w:rsidRPr="009F2D84">
                        <w:rPr>
                          <w:b/>
                          <w:i/>
                          <w:noProof/>
                          <w:lang w:val="sr-Cyrl-CS"/>
                        </w:rPr>
                        <w:t>.</w:t>
                      </w:r>
                    </w:p>
                  </w:txbxContent>
                </v:textbox>
              </v:rect>
            </w:pict>
          </mc:Fallback>
        </mc:AlternateContent>
      </w:r>
    </w:p>
    <w:p w:rsidR="0046476F" w:rsidRPr="009F5B52" w:rsidRDefault="0046476F" w:rsidP="0046476F">
      <w:pPr>
        <w:autoSpaceDE w:val="0"/>
        <w:autoSpaceDN w:val="0"/>
        <w:adjustRightInd w:val="0"/>
        <w:spacing w:after="0" w:line="240" w:lineRule="auto"/>
        <w:rPr>
          <w:noProof/>
          <w:szCs w:val="24"/>
          <w:lang w:val="sr-Cyrl-CS"/>
        </w:rPr>
      </w:pPr>
    </w:p>
    <w:p w:rsidR="0046476F" w:rsidRPr="009F5B52" w:rsidRDefault="0046476F" w:rsidP="0046476F">
      <w:pPr>
        <w:autoSpaceDE w:val="0"/>
        <w:autoSpaceDN w:val="0"/>
        <w:adjustRightInd w:val="0"/>
        <w:spacing w:after="0" w:line="240" w:lineRule="auto"/>
        <w:rPr>
          <w:noProof/>
          <w:szCs w:val="24"/>
          <w:lang w:val="sr-Cyrl-CS"/>
        </w:rPr>
      </w:pPr>
    </w:p>
    <w:p w:rsidR="0046476F" w:rsidRPr="009F5B52" w:rsidRDefault="0046476F" w:rsidP="0046476F">
      <w:pPr>
        <w:autoSpaceDE w:val="0"/>
        <w:autoSpaceDN w:val="0"/>
        <w:adjustRightInd w:val="0"/>
        <w:spacing w:after="0" w:line="240" w:lineRule="auto"/>
        <w:rPr>
          <w:noProof/>
          <w:szCs w:val="24"/>
          <w:lang w:val="sr-Cyrl-CS"/>
        </w:rPr>
      </w:pPr>
    </w:p>
    <w:p w:rsidR="0046476F" w:rsidRPr="009F5B52" w:rsidRDefault="008D62BD" w:rsidP="0046476F">
      <w:pPr>
        <w:pStyle w:val="Heading2"/>
        <w:rPr>
          <w:noProof/>
          <w:lang w:val="sr-Cyrl-CS"/>
        </w:rPr>
      </w:pPr>
      <w:bookmarkStart w:id="40" w:name="_Toc330562307"/>
      <w:bookmarkStart w:id="41" w:name="_Toc327447119"/>
      <w:r w:rsidRPr="009F5B52">
        <w:rPr>
          <w:noProof/>
          <w:szCs w:val="24"/>
          <w:lang w:val="sr-Cyrl-CS"/>
        </w:rPr>
        <w:t>2</w:t>
      </w:r>
      <w:r w:rsidR="0046476F" w:rsidRPr="009F5B52">
        <w:rPr>
          <w:noProof/>
          <w:szCs w:val="24"/>
          <w:lang w:val="sr-Cyrl-CS"/>
        </w:rPr>
        <w:t xml:space="preserve">.3. </w:t>
      </w:r>
      <w:r w:rsidR="0046476F" w:rsidRPr="009F5B52">
        <w:rPr>
          <w:noProof/>
          <w:lang w:val="sr-Cyrl-CS"/>
        </w:rPr>
        <w:t>Посредничк</w:t>
      </w:r>
      <w:r w:rsidR="00DD508E" w:rsidRPr="009F5B52">
        <w:rPr>
          <w:noProof/>
          <w:lang w:val="sr-Cyrl-CS"/>
        </w:rPr>
        <w:t>а</w:t>
      </w:r>
      <w:r w:rsidR="0046476F" w:rsidRPr="009F5B52">
        <w:rPr>
          <w:noProof/>
          <w:lang w:val="sr-Cyrl-CS"/>
        </w:rPr>
        <w:t xml:space="preserve"> </w:t>
      </w:r>
      <w:r w:rsidR="00DD508E" w:rsidRPr="009F5B52">
        <w:rPr>
          <w:noProof/>
          <w:lang w:val="sr-Cyrl-CS"/>
        </w:rPr>
        <w:t>тела</w:t>
      </w:r>
      <w:r w:rsidR="0046476F" w:rsidRPr="009F5B52">
        <w:rPr>
          <w:noProof/>
          <w:lang w:val="sr-Cyrl-CS"/>
        </w:rPr>
        <w:t xml:space="preserve"> као део Оперативне структуре</w:t>
      </w:r>
      <w:bookmarkEnd w:id="40"/>
      <w:r w:rsidR="0046476F" w:rsidRPr="009F5B52">
        <w:rPr>
          <w:noProof/>
          <w:lang w:val="sr-Cyrl-CS"/>
        </w:rPr>
        <w:t xml:space="preserve"> </w:t>
      </w:r>
      <w:bookmarkEnd w:id="41"/>
    </w:p>
    <w:p w:rsidR="0046476F" w:rsidRPr="009F5B52" w:rsidRDefault="0046476F" w:rsidP="0046476F">
      <w:pPr>
        <w:rPr>
          <w:noProof/>
          <w:lang w:val="sr-Cyrl-CS"/>
        </w:rPr>
      </w:pPr>
      <w:r w:rsidRPr="009F5B52">
        <w:rPr>
          <w:noProof/>
          <w:lang w:val="sr-Cyrl-CS"/>
        </w:rPr>
        <w:t xml:space="preserve">Оперативне структуре у контексту ИПА Компоненти </w:t>
      </w:r>
      <w:smartTag w:uri="urn:schemas-microsoft-com:office:smarttags" w:element="stockticker">
        <w:r w:rsidRPr="009F5B52">
          <w:rPr>
            <w:noProof/>
            <w:lang w:val="sr-Cyrl-CS"/>
          </w:rPr>
          <w:t>III</w:t>
        </w:r>
      </w:smartTag>
      <w:r w:rsidRPr="009F5B52">
        <w:rPr>
          <w:noProof/>
          <w:lang w:val="sr-Cyrl-CS"/>
        </w:rPr>
        <w:t xml:space="preserve"> и IV обично се састоје из најмање два органа: једног који је надлежан за програмирање, </w:t>
      </w:r>
      <w:r w:rsidR="0087540F" w:rsidRPr="009F5B52">
        <w:rPr>
          <w:noProof/>
          <w:lang w:val="sr-Cyrl-CS"/>
        </w:rPr>
        <w:t>праћење и оцену,</w:t>
      </w:r>
      <w:r w:rsidRPr="009F5B52">
        <w:rPr>
          <w:noProof/>
          <w:lang w:val="sr-Cyrl-CS"/>
        </w:rPr>
        <w:t xml:space="preserve"> и другог који је одговоран за набавке, доделу </w:t>
      </w:r>
      <w:r w:rsidR="0087540F" w:rsidRPr="009F5B52">
        <w:rPr>
          <w:noProof/>
          <w:lang w:val="sr-Cyrl-CS"/>
        </w:rPr>
        <w:t>бесповратних средстава</w:t>
      </w:r>
      <w:r w:rsidRPr="009F5B52">
        <w:rPr>
          <w:noProof/>
          <w:lang w:val="sr-Cyrl-CS"/>
        </w:rPr>
        <w:t xml:space="preserve">, исплате и верификацију трошкова. Општу надлежност за програм преузима један од два органа унутар </w:t>
      </w:r>
      <w:r w:rsidR="0087540F" w:rsidRPr="009F5B52">
        <w:rPr>
          <w:noProof/>
          <w:lang w:val="sr-Cyrl-CS"/>
        </w:rPr>
        <w:t>о</w:t>
      </w:r>
      <w:r w:rsidRPr="009F5B52">
        <w:rPr>
          <w:noProof/>
          <w:lang w:val="sr-Cyrl-CS"/>
        </w:rPr>
        <w:t xml:space="preserve">перативне структуре. Овај, водећи, орган </w:t>
      </w:r>
      <w:r w:rsidR="0087540F" w:rsidRPr="009F5B52">
        <w:rPr>
          <w:noProof/>
          <w:lang w:val="sr-Cyrl-CS"/>
        </w:rPr>
        <w:t>овлашћује</w:t>
      </w:r>
      <w:r w:rsidRPr="009F5B52">
        <w:rPr>
          <w:noProof/>
          <w:lang w:val="sr-Cyrl-CS"/>
        </w:rPr>
        <w:t xml:space="preserve"> се за </w:t>
      </w:r>
      <w:r w:rsidR="0087540F" w:rsidRPr="009F5B52">
        <w:rPr>
          <w:noProof/>
          <w:lang w:val="sr-Cyrl-CS"/>
        </w:rPr>
        <w:t>р</w:t>
      </w:r>
      <w:r w:rsidRPr="009F5B52">
        <w:rPr>
          <w:noProof/>
          <w:lang w:val="sr-Cyrl-CS"/>
        </w:rPr>
        <w:t xml:space="preserve">уководиоца оперативне структуре. Руководилац оперативне структуре закључује оперативне </w:t>
      </w:r>
      <w:r w:rsidR="0087540F" w:rsidRPr="009F5B52">
        <w:rPr>
          <w:noProof/>
          <w:lang w:val="sr-Cyrl-CS"/>
        </w:rPr>
        <w:t xml:space="preserve">уговоре </w:t>
      </w:r>
      <w:r w:rsidRPr="009F5B52">
        <w:rPr>
          <w:noProof/>
          <w:lang w:val="sr-Cyrl-CS"/>
        </w:rPr>
        <w:t xml:space="preserve">са другим органима у датој </w:t>
      </w:r>
      <w:r w:rsidR="0087540F" w:rsidRPr="009F5B52">
        <w:rPr>
          <w:noProof/>
          <w:lang w:val="sr-Cyrl-CS"/>
        </w:rPr>
        <w:t>о</w:t>
      </w:r>
      <w:r w:rsidRPr="009F5B52">
        <w:rPr>
          <w:noProof/>
          <w:lang w:val="sr-Cyrl-CS"/>
        </w:rPr>
        <w:t>перативној структури.</w:t>
      </w:r>
    </w:p>
    <w:p w:rsidR="0046476F" w:rsidRPr="009F5B52" w:rsidRDefault="0046476F" w:rsidP="0046476F">
      <w:pPr>
        <w:rPr>
          <w:lang w:val="sr-Cyrl-CS"/>
        </w:rPr>
      </w:pPr>
      <w:r w:rsidRPr="009F5B52">
        <w:rPr>
          <w:noProof/>
          <w:lang w:val="sr-Cyrl-CS"/>
        </w:rPr>
        <w:t xml:space="preserve">Да би нека институција у оквиру административне структуре у Србији постала део </w:t>
      </w:r>
      <w:r w:rsidR="0087540F" w:rsidRPr="009F5B52">
        <w:rPr>
          <w:noProof/>
          <w:lang w:val="sr-Cyrl-CS"/>
        </w:rPr>
        <w:t>о</w:t>
      </w:r>
      <w:r w:rsidRPr="009F5B52">
        <w:rPr>
          <w:noProof/>
          <w:lang w:val="sr-Cyrl-CS"/>
        </w:rPr>
        <w:t xml:space="preserve">перативне структуре према ИПА (или </w:t>
      </w:r>
      <w:r w:rsidR="0087540F" w:rsidRPr="009F5B52">
        <w:rPr>
          <w:noProof/>
          <w:lang w:val="sr-Cyrl-CS"/>
        </w:rPr>
        <w:t>у</w:t>
      </w:r>
      <w:r w:rsidRPr="009F5B52">
        <w:rPr>
          <w:noProof/>
          <w:lang w:val="sr-Cyrl-CS"/>
        </w:rPr>
        <w:t xml:space="preserve">прављачког органа према </w:t>
      </w:r>
      <w:r w:rsidR="0087540F" w:rsidRPr="009F5B52">
        <w:rPr>
          <w:noProof/>
          <w:lang w:val="sr-Cyrl-CS"/>
        </w:rPr>
        <w:t>с</w:t>
      </w:r>
      <w:r w:rsidRPr="009F5B52">
        <w:rPr>
          <w:noProof/>
          <w:lang w:val="sr-Cyrl-CS"/>
        </w:rPr>
        <w:t xml:space="preserve">труктурним фондовима) – потребно је да прође кроз процес акредитације којим се потврђује да поседује одговарајуће капацитете (број запослених) и стручност (познавање области и процедура – на пример, процедура </w:t>
      </w:r>
      <w:r w:rsidR="0087540F" w:rsidRPr="009F5B52">
        <w:rPr>
          <w:noProof/>
          <w:lang w:val="sr-Cyrl-CS"/>
        </w:rPr>
        <w:t xml:space="preserve">јавних </w:t>
      </w:r>
      <w:r w:rsidRPr="009F5B52">
        <w:rPr>
          <w:noProof/>
          <w:lang w:val="sr-Cyrl-CS"/>
        </w:rPr>
        <w:t xml:space="preserve">набавки и доделе </w:t>
      </w:r>
      <w:r w:rsidR="0087540F" w:rsidRPr="009F5B52">
        <w:rPr>
          <w:noProof/>
          <w:lang w:val="sr-Cyrl-CS"/>
        </w:rPr>
        <w:t>бесповратних средстава</w:t>
      </w:r>
      <w:r w:rsidRPr="009F5B52">
        <w:rPr>
          <w:noProof/>
          <w:lang w:val="sr-Cyrl-CS"/>
        </w:rPr>
        <w:t xml:space="preserve">). Другим речина, акредитација представља званично признање да дати орган испуњава ове захтеве садржане у </w:t>
      </w:r>
      <w:r w:rsidR="0087540F" w:rsidRPr="009F5B52">
        <w:rPr>
          <w:noProof/>
          <w:lang w:val="sr-Cyrl-CS"/>
        </w:rPr>
        <w:t>Уредби</w:t>
      </w:r>
      <w:r w:rsidRPr="009F5B52">
        <w:rPr>
          <w:noProof/>
          <w:lang w:val="sr-Cyrl-CS"/>
        </w:rPr>
        <w:t xml:space="preserve"> о спровођењу ИПА који се односе на управљање ИПА компонентама или програмима који се финансирају из ИПА у оквиру </w:t>
      </w:r>
      <w:r w:rsidR="000801EE" w:rsidRPr="009F5B52">
        <w:rPr>
          <w:noProof/>
          <w:lang w:val="sr-Cyrl-CS"/>
        </w:rPr>
        <w:t>децентрализованог управљања</w:t>
      </w:r>
      <w:r w:rsidRPr="009F5B52">
        <w:rPr>
          <w:noProof/>
          <w:lang w:val="sr-Cyrl-CS"/>
        </w:rPr>
        <w:t>. Акредитацију издаје виша институција, прво на националном нивоу –</w:t>
      </w:r>
      <w:r w:rsidR="0087540F" w:rsidRPr="009F5B52">
        <w:rPr>
          <w:noProof/>
          <w:lang w:val="sr-Cyrl-CS"/>
        </w:rPr>
        <w:t xml:space="preserve"> </w:t>
      </w:r>
      <w:r w:rsidR="00610130" w:rsidRPr="009F5B52">
        <w:rPr>
          <w:noProof/>
          <w:lang w:val="sr-Cyrl-CS"/>
        </w:rPr>
        <w:t xml:space="preserve">национални службеник за одобравање или </w:t>
      </w:r>
      <w:r w:rsidR="0087540F" w:rsidRPr="009F5B52">
        <w:rPr>
          <w:noProof/>
          <w:lang w:val="sr-Cyrl-CS"/>
        </w:rPr>
        <w:t>национални службеник за акредитацију</w:t>
      </w:r>
      <w:r w:rsidRPr="009F5B52">
        <w:rPr>
          <w:noProof/>
          <w:lang w:val="sr-Cyrl-CS"/>
        </w:rPr>
        <w:t xml:space="preserve"> (у ком случају се назива </w:t>
      </w:r>
      <w:r w:rsidR="00E0770C" w:rsidRPr="009F5B52">
        <w:rPr>
          <w:bCs/>
          <w:noProof/>
          <w:szCs w:val="24"/>
          <w:lang w:val="sr-Cyrl-CS"/>
        </w:rPr>
        <w:t>„</w:t>
      </w:r>
      <w:r w:rsidRPr="009F5B52">
        <w:rPr>
          <w:noProof/>
          <w:lang w:val="sr-Cyrl-CS"/>
        </w:rPr>
        <w:t>национална акредитација”), а затим Евр</w:t>
      </w:r>
      <w:r w:rsidR="00610130" w:rsidRPr="009F5B52">
        <w:rPr>
          <w:noProof/>
          <w:lang w:val="sr-Cyrl-CS"/>
        </w:rPr>
        <w:t>о</w:t>
      </w:r>
      <w:r w:rsidRPr="009F5B52">
        <w:rPr>
          <w:noProof/>
          <w:lang w:val="sr-Cyrl-CS"/>
        </w:rPr>
        <w:t>пска комисија (у ком тренутку то прераста у елемент шире</w:t>
      </w:r>
      <w:r w:rsidR="0087540F" w:rsidRPr="009F5B52">
        <w:rPr>
          <w:noProof/>
          <w:lang w:val="sr-Cyrl-CS"/>
        </w:rPr>
        <w:t>г</w:t>
      </w:r>
      <w:r w:rsidRPr="009F5B52">
        <w:rPr>
          <w:noProof/>
          <w:lang w:val="sr-Cyrl-CS"/>
        </w:rPr>
        <w:t xml:space="preserve"> '</w:t>
      </w:r>
      <w:r w:rsidR="0087540F" w:rsidRPr="009F5B52">
        <w:rPr>
          <w:noProof/>
          <w:lang w:val="sr-Cyrl-CS"/>
        </w:rPr>
        <w:t>преноса</w:t>
      </w:r>
      <w:r w:rsidRPr="009F5B52">
        <w:rPr>
          <w:noProof/>
          <w:lang w:val="sr-Cyrl-CS"/>
        </w:rPr>
        <w:t xml:space="preserve"> овлашћења</w:t>
      </w:r>
      <w:r w:rsidR="0087540F" w:rsidRPr="009F5B52">
        <w:rPr>
          <w:noProof/>
          <w:lang w:val="sr-Cyrl-CS"/>
        </w:rPr>
        <w:t xml:space="preserve"> за управљање</w:t>
      </w:r>
      <w:r w:rsidRPr="009F5B52">
        <w:rPr>
          <w:noProof/>
          <w:lang w:val="sr-Cyrl-CS"/>
        </w:rPr>
        <w:t>'). Институције које издају акредитацију могу исту суспендовати или укинути током реализације програма уколико се утврди да релевантни орган више не испуњава захтеве Уредбе о спровођењу ИПА.</w:t>
      </w:r>
    </w:p>
    <w:p w:rsidR="0046476F" w:rsidRPr="009F5B52" w:rsidRDefault="0046476F" w:rsidP="0046476F">
      <w:pPr>
        <w:rPr>
          <w:noProof/>
          <w:lang w:val="sr-Cyrl-CS"/>
        </w:rPr>
      </w:pPr>
      <w:r w:rsidRPr="009F5B52">
        <w:rPr>
          <w:noProof/>
          <w:lang w:val="sr-Cyrl-CS"/>
        </w:rPr>
        <w:t xml:space="preserve">При доношењу одлуке о устројству </w:t>
      </w:r>
      <w:r w:rsidR="00610130" w:rsidRPr="009F5B52">
        <w:rPr>
          <w:noProof/>
          <w:lang w:val="sr-Cyrl-CS"/>
        </w:rPr>
        <w:t>о</w:t>
      </w:r>
      <w:r w:rsidRPr="009F5B52">
        <w:rPr>
          <w:noProof/>
          <w:lang w:val="sr-Cyrl-CS"/>
        </w:rPr>
        <w:t xml:space="preserve">перативне структуре, требало би имати у виду темељни принцип ‘поделе </w:t>
      </w:r>
      <w:r w:rsidR="00610130" w:rsidRPr="009F5B52">
        <w:rPr>
          <w:noProof/>
          <w:lang w:val="sr-Cyrl-CS"/>
        </w:rPr>
        <w:t>одговорности</w:t>
      </w:r>
      <w:r w:rsidRPr="009F5B52">
        <w:rPr>
          <w:noProof/>
          <w:lang w:val="sr-Cyrl-CS"/>
        </w:rPr>
        <w:t>’. Овај принцип примењује се на системе управљања и контроле фондова ЕУ и према њему се различити задаци поверавају различитим службеницима да би се избегао сукоб интереса. Принцип се посебно примењује на сле</w:t>
      </w:r>
      <w:r w:rsidR="00610130" w:rsidRPr="009F5B52">
        <w:rPr>
          <w:noProof/>
          <w:lang w:val="sr-Cyrl-CS"/>
        </w:rPr>
        <w:t>д</w:t>
      </w:r>
      <w:r w:rsidRPr="009F5B52">
        <w:rPr>
          <w:noProof/>
          <w:lang w:val="sr-Cyrl-CS"/>
        </w:rPr>
        <w:t>еће парове задатака:</w:t>
      </w:r>
    </w:p>
    <w:p w:rsidR="0046476F" w:rsidRPr="009F5B52" w:rsidRDefault="00787409" w:rsidP="0046476F">
      <w:pPr>
        <w:pStyle w:val="ListParagraph"/>
        <w:numPr>
          <w:ilvl w:val="0"/>
          <w:numId w:val="19"/>
        </w:numPr>
        <w:rPr>
          <w:noProof/>
          <w:szCs w:val="24"/>
          <w:lang w:val="sr-Cyrl-CS"/>
        </w:rPr>
      </w:pPr>
      <w:r w:rsidRPr="009F5B52">
        <w:rPr>
          <w:noProof/>
          <w:szCs w:val="24"/>
          <w:lang w:val="sr-Cyrl-CS"/>
        </w:rPr>
        <w:t xml:space="preserve">програмирање </w:t>
      </w:r>
      <w:r w:rsidR="0046476F" w:rsidRPr="009F5B52">
        <w:rPr>
          <w:noProof/>
          <w:szCs w:val="24"/>
          <w:lang w:val="sr-Cyrl-CS"/>
        </w:rPr>
        <w:t xml:space="preserve">и </w:t>
      </w:r>
      <w:r w:rsidR="00610130" w:rsidRPr="009F5B52">
        <w:rPr>
          <w:noProof/>
          <w:szCs w:val="24"/>
          <w:lang w:val="sr-Cyrl-CS"/>
        </w:rPr>
        <w:t>спровођење</w:t>
      </w:r>
      <w:r w:rsidR="0046476F" w:rsidRPr="009F5B52">
        <w:rPr>
          <w:noProof/>
          <w:szCs w:val="24"/>
          <w:lang w:val="sr-Cyrl-CS"/>
        </w:rPr>
        <w:t xml:space="preserve"> (</w:t>
      </w:r>
      <w:r w:rsidR="00610130" w:rsidRPr="009F5B52">
        <w:rPr>
          <w:noProof/>
          <w:szCs w:val="24"/>
          <w:lang w:val="sr-Cyrl-CS"/>
        </w:rPr>
        <w:t>тендерски поступак</w:t>
      </w:r>
      <w:r w:rsidR="0046476F" w:rsidRPr="009F5B52">
        <w:rPr>
          <w:noProof/>
          <w:szCs w:val="24"/>
          <w:lang w:val="sr-Cyrl-CS"/>
        </w:rPr>
        <w:t xml:space="preserve"> и уговарање); </w:t>
      </w:r>
    </w:p>
    <w:p w:rsidR="0046476F" w:rsidRPr="009F5B52" w:rsidRDefault="00787409" w:rsidP="0046476F">
      <w:pPr>
        <w:pStyle w:val="ListParagraph"/>
        <w:numPr>
          <w:ilvl w:val="0"/>
          <w:numId w:val="19"/>
        </w:numPr>
        <w:rPr>
          <w:noProof/>
          <w:szCs w:val="24"/>
          <w:lang w:val="sr-Cyrl-CS"/>
        </w:rPr>
      </w:pPr>
      <w:r w:rsidRPr="009F5B52">
        <w:rPr>
          <w:noProof/>
          <w:szCs w:val="24"/>
          <w:lang w:val="sr-Cyrl-CS"/>
        </w:rPr>
        <w:t xml:space="preserve">одобравање </w:t>
      </w:r>
      <w:r w:rsidR="00610130" w:rsidRPr="009F5B52">
        <w:rPr>
          <w:noProof/>
          <w:szCs w:val="24"/>
          <w:lang w:val="sr-Cyrl-CS"/>
        </w:rPr>
        <w:t>уговора</w:t>
      </w:r>
      <w:r w:rsidRPr="009F5B52">
        <w:rPr>
          <w:noProof/>
          <w:szCs w:val="24"/>
          <w:lang w:val="sr-Cyrl-CS"/>
        </w:rPr>
        <w:t xml:space="preserve"> и налога за исплату, и извршење исплата</w:t>
      </w:r>
      <w:r w:rsidR="0046476F" w:rsidRPr="009F5B52">
        <w:rPr>
          <w:noProof/>
          <w:szCs w:val="24"/>
          <w:lang w:val="sr-Cyrl-CS"/>
        </w:rPr>
        <w:t xml:space="preserve">; </w:t>
      </w:r>
    </w:p>
    <w:p w:rsidR="0046476F" w:rsidRPr="009F5B52" w:rsidRDefault="00787409" w:rsidP="0046476F">
      <w:pPr>
        <w:pStyle w:val="ListParagraph"/>
        <w:numPr>
          <w:ilvl w:val="0"/>
          <w:numId w:val="19"/>
        </w:numPr>
        <w:rPr>
          <w:noProof/>
          <w:szCs w:val="24"/>
          <w:lang w:val="sr-Cyrl-CS"/>
        </w:rPr>
      </w:pPr>
      <w:r w:rsidRPr="009F5B52">
        <w:rPr>
          <w:noProof/>
          <w:szCs w:val="24"/>
          <w:lang w:val="sr-Cyrl-CS"/>
        </w:rPr>
        <w:t xml:space="preserve">чување </w:t>
      </w:r>
      <w:r w:rsidR="00610130" w:rsidRPr="009F5B52">
        <w:rPr>
          <w:noProof/>
          <w:szCs w:val="24"/>
          <w:lang w:val="sr-Cyrl-CS"/>
        </w:rPr>
        <w:t>рачуноводствених</w:t>
      </w:r>
      <w:r w:rsidR="0046476F" w:rsidRPr="009F5B52">
        <w:rPr>
          <w:noProof/>
          <w:szCs w:val="24"/>
          <w:lang w:val="sr-Cyrl-CS"/>
        </w:rPr>
        <w:t xml:space="preserve"> евиденција и </w:t>
      </w:r>
      <w:r w:rsidRPr="009F5B52">
        <w:rPr>
          <w:noProof/>
          <w:szCs w:val="24"/>
          <w:lang w:val="sr-Cyrl-CS"/>
        </w:rPr>
        <w:t xml:space="preserve">извршење </w:t>
      </w:r>
      <w:r w:rsidR="0046476F" w:rsidRPr="009F5B52">
        <w:rPr>
          <w:noProof/>
          <w:szCs w:val="24"/>
          <w:lang w:val="sr-Cyrl-CS"/>
        </w:rPr>
        <w:t xml:space="preserve">исплата; </w:t>
      </w:r>
    </w:p>
    <w:p w:rsidR="0046476F" w:rsidRPr="009F5B52" w:rsidRDefault="00787409" w:rsidP="0046476F">
      <w:pPr>
        <w:pStyle w:val="ListParagraph"/>
        <w:numPr>
          <w:ilvl w:val="0"/>
          <w:numId w:val="19"/>
        </w:numPr>
        <w:rPr>
          <w:noProof/>
          <w:szCs w:val="24"/>
          <w:lang w:val="sr-Cyrl-CS"/>
        </w:rPr>
      </w:pPr>
      <w:r w:rsidRPr="009F5B52">
        <w:rPr>
          <w:noProof/>
          <w:szCs w:val="24"/>
          <w:lang w:val="sr-Cyrl-CS"/>
        </w:rPr>
        <w:t xml:space="preserve">чување </w:t>
      </w:r>
      <w:r w:rsidR="0046476F" w:rsidRPr="009F5B52">
        <w:rPr>
          <w:noProof/>
          <w:szCs w:val="24"/>
          <w:lang w:val="sr-Cyrl-CS"/>
        </w:rPr>
        <w:t xml:space="preserve">рачуноводствених евиденција и </w:t>
      </w:r>
      <w:r w:rsidRPr="009F5B52">
        <w:rPr>
          <w:noProof/>
          <w:szCs w:val="24"/>
          <w:lang w:val="sr-Cyrl-CS"/>
        </w:rPr>
        <w:t>провера</w:t>
      </w:r>
      <w:r w:rsidR="0046476F" w:rsidRPr="009F5B52">
        <w:rPr>
          <w:noProof/>
          <w:szCs w:val="24"/>
          <w:lang w:val="sr-Cyrl-CS"/>
        </w:rPr>
        <w:t xml:space="preserve"> ових евиденција; </w:t>
      </w:r>
    </w:p>
    <w:p w:rsidR="0046476F" w:rsidRPr="009F5B52" w:rsidRDefault="00787409" w:rsidP="0046476F">
      <w:pPr>
        <w:pStyle w:val="ListParagraph"/>
        <w:numPr>
          <w:ilvl w:val="0"/>
          <w:numId w:val="19"/>
        </w:numPr>
        <w:rPr>
          <w:noProof/>
          <w:szCs w:val="24"/>
          <w:lang w:val="sr-Cyrl-CS"/>
        </w:rPr>
      </w:pPr>
      <w:r w:rsidRPr="009F5B52">
        <w:rPr>
          <w:noProof/>
          <w:szCs w:val="24"/>
          <w:lang w:val="sr-Cyrl-CS"/>
        </w:rPr>
        <w:t>активности</w:t>
      </w:r>
      <w:r w:rsidR="0046476F" w:rsidRPr="009F5B52">
        <w:rPr>
          <w:noProof/>
          <w:szCs w:val="24"/>
          <w:lang w:val="sr-Cyrl-CS"/>
        </w:rPr>
        <w:t xml:space="preserve"> сертификациј</w:t>
      </w:r>
      <w:r w:rsidRPr="009F5B52">
        <w:rPr>
          <w:noProof/>
          <w:szCs w:val="24"/>
          <w:lang w:val="sr-Cyrl-CS"/>
        </w:rPr>
        <w:t>е</w:t>
      </w:r>
      <w:r w:rsidR="0046476F" w:rsidRPr="009F5B52">
        <w:rPr>
          <w:noProof/>
          <w:szCs w:val="24"/>
          <w:lang w:val="sr-Cyrl-CS"/>
        </w:rPr>
        <w:t>/ревизиј</w:t>
      </w:r>
      <w:r w:rsidRPr="009F5B52">
        <w:rPr>
          <w:noProof/>
          <w:szCs w:val="24"/>
          <w:lang w:val="sr-Cyrl-CS"/>
        </w:rPr>
        <w:t>е</w:t>
      </w:r>
      <w:r w:rsidR="0046476F" w:rsidRPr="009F5B52">
        <w:rPr>
          <w:noProof/>
          <w:szCs w:val="24"/>
          <w:lang w:val="sr-Cyrl-CS"/>
        </w:rPr>
        <w:t xml:space="preserve"> и </w:t>
      </w:r>
      <w:r w:rsidRPr="009F5B52">
        <w:rPr>
          <w:noProof/>
          <w:szCs w:val="24"/>
          <w:lang w:val="sr-Cyrl-CS"/>
        </w:rPr>
        <w:t>управљања</w:t>
      </w:r>
      <w:r w:rsidR="0046476F" w:rsidRPr="009F5B52">
        <w:rPr>
          <w:noProof/>
          <w:szCs w:val="24"/>
          <w:lang w:val="sr-Cyrl-CS"/>
        </w:rPr>
        <w:t>.</w:t>
      </w:r>
    </w:p>
    <w:p w:rsidR="0046476F" w:rsidRPr="009F5B52" w:rsidRDefault="0046476F" w:rsidP="0046476F">
      <w:pPr>
        <w:rPr>
          <w:noProof/>
          <w:szCs w:val="24"/>
          <w:lang w:val="sr-Cyrl-CS"/>
        </w:rPr>
      </w:pPr>
      <w:r w:rsidRPr="009F5B52">
        <w:rPr>
          <w:noProof/>
          <w:szCs w:val="24"/>
          <w:lang w:val="sr-Cyrl-CS"/>
        </w:rPr>
        <w:t xml:space="preserve">Тренутна организација </w:t>
      </w:r>
      <w:r w:rsidR="00610130" w:rsidRPr="009F5B52">
        <w:rPr>
          <w:noProof/>
          <w:szCs w:val="24"/>
          <w:lang w:val="sr-Cyrl-CS"/>
        </w:rPr>
        <w:t>о</w:t>
      </w:r>
      <w:r w:rsidRPr="009F5B52">
        <w:rPr>
          <w:noProof/>
          <w:szCs w:val="24"/>
          <w:lang w:val="sr-Cyrl-CS"/>
        </w:rPr>
        <w:t xml:space="preserve">перативне структуре за ИПА Компоненту IV врши притисак на постојећи орган надлежан за </w:t>
      </w:r>
      <w:r w:rsidR="00610130" w:rsidRPr="009F5B52">
        <w:rPr>
          <w:noProof/>
          <w:szCs w:val="24"/>
          <w:lang w:val="sr-Cyrl-CS"/>
        </w:rPr>
        <w:t>спровођење</w:t>
      </w:r>
      <w:r w:rsidRPr="009F5B52">
        <w:rPr>
          <w:noProof/>
          <w:szCs w:val="24"/>
          <w:lang w:val="sr-Cyrl-CS"/>
        </w:rPr>
        <w:t xml:space="preserve"> – Централну јединицу за финансирање и уговарање (Ц</w:t>
      </w:r>
      <w:r w:rsidR="00610130" w:rsidRPr="009F5B52">
        <w:rPr>
          <w:noProof/>
          <w:szCs w:val="24"/>
          <w:lang w:val="sr-Cyrl-CS"/>
        </w:rPr>
        <w:t>Ј</w:t>
      </w:r>
      <w:r w:rsidRPr="009F5B52">
        <w:rPr>
          <w:noProof/>
          <w:szCs w:val="24"/>
          <w:lang w:val="sr-Cyrl-CS"/>
        </w:rPr>
        <w:t xml:space="preserve">ФУ). Већина мера осмишљених у </w:t>
      </w:r>
      <w:r w:rsidR="00610130" w:rsidRPr="009F5B52">
        <w:rPr>
          <w:noProof/>
          <w:szCs w:val="24"/>
          <w:lang w:val="sr-Cyrl-CS"/>
        </w:rPr>
        <w:t>Н</w:t>
      </w:r>
      <w:r w:rsidRPr="009F5B52">
        <w:rPr>
          <w:noProof/>
          <w:szCs w:val="24"/>
          <w:lang w:val="sr-Cyrl-CS"/>
        </w:rPr>
        <w:t xml:space="preserve">ацрту </w:t>
      </w:r>
      <w:r w:rsidR="00610130" w:rsidRPr="009F5B52">
        <w:rPr>
          <w:noProof/>
          <w:szCs w:val="24"/>
          <w:lang w:val="sr-Cyrl-CS"/>
        </w:rPr>
        <w:t>о</w:t>
      </w:r>
      <w:r w:rsidRPr="009F5B52">
        <w:rPr>
          <w:noProof/>
          <w:szCs w:val="24"/>
          <w:lang w:val="sr-Cyrl-CS"/>
        </w:rPr>
        <w:t>перативн</w:t>
      </w:r>
      <w:r w:rsidR="00610130" w:rsidRPr="009F5B52">
        <w:rPr>
          <w:noProof/>
          <w:szCs w:val="24"/>
          <w:lang w:val="sr-Cyrl-CS"/>
        </w:rPr>
        <w:t>ог</w:t>
      </w:r>
      <w:r w:rsidRPr="009F5B52">
        <w:rPr>
          <w:noProof/>
          <w:szCs w:val="24"/>
          <w:lang w:val="sr-Cyrl-CS"/>
        </w:rPr>
        <w:t xml:space="preserve"> </w:t>
      </w:r>
      <w:r w:rsidR="00610130" w:rsidRPr="009F5B52">
        <w:rPr>
          <w:noProof/>
          <w:szCs w:val="24"/>
          <w:lang w:val="sr-Cyrl-CS"/>
        </w:rPr>
        <w:t>програма</w:t>
      </w:r>
      <w:r w:rsidRPr="009F5B52">
        <w:rPr>
          <w:noProof/>
          <w:szCs w:val="24"/>
          <w:lang w:val="sr-Cyrl-CS"/>
        </w:rPr>
        <w:t xml:space="preserve"> </w:t>
      </w:r>
      <w:r w:rsidR="00610130" w:rsidRPr="009F5B52">
        <w:rPr>
          <w:noProof/>
          <w:szCs w:val="24"/>
          <w:lang w:val="sr-Cyrl-CS"/>
        </w:rPr>
        <w:t>за р</w:t>
      </w:r>
      <w:r w:rsidRPr="009F5B52">
        <w:rPr>
          <w:noProof/>
          <w:szCs w:val="24"/>
          <w:lang w:val="sr-Cyrl-CS"/>
        </w:rPr>
        <w:t xml:space="preserve">азвој </w:t>
      </w:r>
      <w:r w:rsidRPr="009F5B52">
        <w:rPr>
          <w:noProof/>
          <w:szCs w:val="24"/>
          <w:lang w:val="sr-Cyrl-CS"/>
        </w:rPr>
        <w:lastRenderedPageBreak/>
        <w:t xml:space="preserve">људских ресурса предвиђа индивидуалне и мање пројекте (карактеристичне за пројекте социјалног укључивања) који ће бити спровођени путем система конкурса за </w:t>
      </w:r>
      <w:r w:rsidR="00610130" w:rsidRPr="009F5B52">
        <w:rPr>
          <w:noProof/>
          <w:szCs w:val="24"/>
          <w:lang w:val="sr-Cyrl-CS"/>
        </w:rPr>
        <w:t>доделу бесповратних средстава</w:t>
      </w:r>
      <w:r w:rsidRPr="009F5B52">
        <w:rPr>
          <w:noProof/>
          <w:szCs w:val="24"/>
          <w:lang w:val="sr-Cyrl-CS"/>
        </w:rPr>
        <w:t xml:space="preserve">. Шта више, систем конкурса подразумева додатне задатке попут </w:t>
      </w:r>
      <w:r w:rsidR="00610130" w:rsidRPr="009F5B52">
        <w:rPr>
          <w:noProof/>
          <w:szCs w:val="24"/>
          <w:lang w:val="sr-Cyrl-CS"/>
        </w:rPr>
        <w:t>обавештавања</w:t>
      </w:r>
      <w:r w:rsidRPr="009F5B52">
        <w:rPr>
          <w:noProof/>
          <w:szCs w:val="24"/>
          <w:lang w:val="sr-Cyrl-CS"/>
        </w:rPr>
        <w:t xml:space="preserve"> корисника, директне помоћи циљним групама потенцијалних корисника, информисања о појединим иницијативама и обезбеђења правовремених повратних информација кључних за предузимање корективних акција у дизајну политике и програма.</w:t>
      </w:r>
    </w:p>
    <w:p w:rsidR="0046476F" w:rsidRPr="009F5B52" w:rsidRDefault="0046476F" w:rsidP="0046476F">
      <w:pPr>
        <w:rPr>
          <w:noProof/>
          <w:szCs w:val="24"/>
          <w:lang w:val="sr-Cyrl-CS"/>
        </w:rPr>
      </w:pPr>
      <w:r w:rsidRPr="009F5B52">
        <w:rPr>
          <w:noProof/>
          <w:szCs w:val="24"/>
          <w:lang w:val="sr-Cyrl-CS"/>
        </w:rPr>
        <w:t>С друге стране, пројекти вишег стратешког нивоа или сложенији пројекти су, у већини случајева, претходно одабрани на програмском нив</w:t>
      </w:r>
      <w:r w:rsidR="00610130" w:rsidRPr="009F5B52">
        <w:rPr>
          <w:noProof/>
          <w:szCs w:val="24"/>
          <w:lang w:val="sr-Cyrl-CS"/>
        </w:rPr>
        <w:t>о</w:t>
      </w:r>
      <w:r w:rsidRPr="009F5B52">
        <w:rPr>
          <w:noProof/>
          <w:szCs w:val="24"/>
          <w:lang w:val="sr-Cyrl-CS"/>
        </w:rPr>
        <w:t xml:space="preserve">у или осмишљени током процеса преговарања или груписањем пројеката. При алокацији значајних средстава за такве пројекте, надлежни за програм могу, у извесној мери, унапредити процес контроле током реализације програма. Њих обично усмерава </w:t>
      </w:r>
      <w:r w:rsidR="00610130" w:rsidRPr="009F5B52">
        <w:rPr>
          <w:noProof/>
          <w:szCs w:val="24"/>
          <w:lang w:val="sr-Cyrl-CS"/>
        </w:rPr>
        <w:t>р</w:t>
      </w:r>
      <w:r w:rsidRPr="009F5B52">
        <w:rPr>
          <w:noProof/>
          <w:szCs w:val="24"/>
          <w:lang w:val="sr-Cyrl-CS"/>
        </w:rPr>
        <w:t xml:space="preserve">уководилац </w:t>
      </w:r>
      <w:r w:rsidR="00610130" w:rsidRPr="009F5B52">
        <w:rPr>
          <w:noProof/>
          <w:szCs w:val="24"/>
          <w:lang w:val="sr-Cyrl-CS"/>
        </w:rPr>
        <w:t>о</w:t>
      </w:r>
      <w:r w:rsidRPr="009F5B52">
        <w:rPr>
          <w:noProof/>
          <w:szCs w:val="24"/>
          <w:lang w:val="sr-Cyrl-CS"/>
        </w:rPr>
        <w:t xml:space="preserve">перативне структуре. </w:t>
      </w:r>
    </w:p>
    <w:p w:rsidR="0046476F" w:rsidRPr="009F5B52" w:rsidRDefault="0046476F" w:rsidP="0046476F">
      <w:pPr>
        <w:jc w:val="center"/>
        <w:rPr>
          <w:i/>
          <w:noProof/>
          <w:szCs w:val="24"/>
          <w:lang w:val="sr-Cyrl-CS"/>
        </w:rPr>
      </w:pPr>
      <w:r w:rsidRPr="009F5B52">
        <w:rPr>
          <w:i/>
          <w:noProof/>
          <w:szCs w:val="24"/>
          <w:lang w:val="sr-Cyrl-CS"/>
        </w:rPr>
        <w:t xml:space="preserve">Табела 3: Поређење између великих и малих пројеката у </w:t>
      </w:r>
      <w:r w:rsidR="00610130" w:rsidRPr="009F5B52">
        <w:rPr>
          <w:i/>
          <w:noProof/>
          <w:szCs w:val="24"/>
          <w:lang w:val="sr-Cyrl-CS"/>
        </w:rPr>
        <w:t>Н</w:t>
      </w:r>
      <w:r w:rsidRPr="009F5B52">
        <w:rPr>
          <w:i/>
          <w:noProof/>
          <w:szCs w:val="24"/>
          <w:lang w:val="sr-Cyrl-CS"/>
        </w:rPr>
        <w:t xml:space="preserve">ацрту </w:t>
      </w:r>
      <w:r w:rsidR="00610130" w:rsidRPr="009F5B52">
        <w:rPr>
          <w:i/>
          <w:noProof/>
          <w:szCs w:val="24"/>
          <w:lang w:val="sr-Cyrl-CS"/>
        </w:rPr>
        <w:t>о</w:t>
      </w:r>
      <w:r w:rsidRPr="009F5B52">
        <w:rPr>
          <w:i/>
          <w:noProof/>
          <w:szCs w:val="24"/>
          <w:lang w:val="sr-Cyrl-CS"/>
        </w:rPr>
        <w:t xml:space="preserve">перативног програма за развој људских ресурса </w:t>
      </w:r>
      <w:r w:rsidR="00610130" w:rsidRPr="009F5B52">
        <w:rPr>
          <w:i/>
          <w:noProof/>
          <w:szCs w:val="24"/>
          <w:lang w:val="sr-Cyrl-CS"/>
        </w:rPr>
        <w:t>В</w:t>
      </w:r>
      <w:r w:rsidRPr="009F5B52">
        <w:rPr>
          <w:i/>
          <w:noProof/>
          <w:szCs w:val="24"/>
          <w:lang w:val="sr-Cyrl-CS"/>
        </w:rPr>
        <w:t xml:space="preserve">ладе Србије за период </w:t>
      </w:r>
      <w:r w:rsidR="00610130" w:rsidRPr="009F5B52">
        <w:rPr>
          <w:i/>
          <w:noProof/>
          <w:szCs w:val="24"/>
          <w:lang w:val="sr-Cyrl-CS"/>
        </w:rPr>
        <w:t xml:space="preserve">од </w:t>
      </w:r>
      <w:r w:rsidRPr="009F5B52">
        <w:rPr>
          <w:i/>
          <w:noProof/>
          <w:szCs w:val="24"/>
          <w:lang w:val="sr-Cyrl-CS"/>
        </w:rPr>
        <w:t>2012 – 2013.</w:t>
      </w:r>
      <w:r w:rsidR="00610130" w:rsidRPr="009F5B52">
        <w:rPr>
          <w:i/>
          <w:noProof/>
          <w:szCs w:val="24"/>
          <w:lang w:val="sr-Cyrl-CS"/>
        </w:rPr>
        <w:t xml:space="preserve"> </w:t>
      </w:r>
      <w:r w:rsidR="000801EE" w:rsidRPr="009F5B52">
        <w:rPr>
          <w:i/>
          <w:noProof/>
          <w:szCs w:val="24"/>
          <w:lang w:val="sr-Cyrl-CS"/>
        </w:rPr>
        <w:t>г</w:t>
      </w:r>
      <w:r w:rsidRPr="009F5B52">
        <w:rPr>
          <w:i/>
          <w:noProof/>
          <w:szCs w:val="24"/>
          <w:lang w:val="sr-Cyrl-CS"/>
        </w:rPr>
        <w:t>один</w:t>
      </w:r>
      <w:r w:rsidR="00610130" w:rsidRPr="009F5B52">
        <w:rPr>
          <w:i/>
          <w:noProof/>
          <w:szCs w:val="24"/>
          <w:lang w:val="sr-Cyrl-CS"/>
        </w:rPr>
        <w:t>е</w:t>
      </w:r>
      <w:r w:rsidR="000801EE" w:rsidRPr="009F5B52">
        <w:rPr>
          <w:i/>
          <w:noProof/>
          <w:szCs w:val="24"/>
          <w:lang w:val="sr-Cyrl-CS"/>
        </w:rPr>
        <w:t xml:space="preserve"> и Нацрту оперативног програма за економски развој од 2012 – 2013. године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8"/>
        <w:gridCol w:w="1977"/>
        <w:gridCol w:w="2003"/>
        <w:gridCol w:w="1714"/>
        <w:gridCol w:w="1401"/>
      </w:tblGrid>
      <w:tr w:rsidR="0046476F" w:rsidRPr="009F5B52" w:rsidTr="0046476F">
        <w:trPr>
          <w:trHeight w:val="665"/>
          <w:jc w:val="center"/>
        </w:trPr>
        <w:tc>
          <w:tcPr>
            <w:tcW w:w="2045" w:type="dxa"/>
          </w:tcPr>
          <w:p w:rsidR="0046476F" w:rsidRPr="009F5B52" w:rsidRDefault="0046476F" w:rsidP="009E100B">
            <w:pPr>
              <w:spacing w:before="0" w:after="0"/>
              <w:rPr>
                <w:noProof/>
                <w:szCs w:val="24"/>
                <w:lang w:val="sr-Cyrl-CS"/>
              </w:rPr>
            </w:pPr>
          </w:p>
        </w:tc>
        <w:tc>
          <w:tcPr>
            <w:tcW w:w="2034" w:type="dxa"/>
          </w:tcPr>
          <w:p w:rsidR="0046476F" w:rsidRPr="009F5B52" w:rsidRDefault="0046476F" w:rsidP="009E100B">
            <w:pPr>
              <w:spacing w:before="0" w:after="0"/>
              <w:jc w:val="center"/>
              <w:rPr>
                <w:noProof/>
                <w:szCs w:val="24"/>
                <w:lang w:val="sr-Cyrl-CS"/>
              </w:rPr>
            </w:pPr>
            <w:r w:rsidRPr="009F5B52">
              <w:rPr>
                <w:noProof/>
                <w:szCs w:val="24"/>
                <w:lang w:val="sr-Cyrl-CS"/>
              </w:rPr>
              <w:t>Орган одговоран за меру</w:t>
            </w:r>
          </w:p>
        </w:tc>
        <w:tc>
          <w:tcPr>
            <w:tcW w:w="2066" w:type="dxa"/>
          </w:tcPr>
          <w:p w:rsidR="0046476F" w:rsidRPr="009F5B52" w:rsidRDefault="0046476F" w:rsidP="009E100B">
            <w:pPr>
              <w:spacing w:before="0" w:after="0"/>
              <w:jc w:val="center"/>
              <w:rPr>
                <w:noProof/>
                <w:szCs w:val="24"/>
                <w:lang w:val="sr-Cyrl-CS"/>
              </w:rPr>
            </w:pPr>
            <w:r w:rsidRPr="009F5B52">
              <w:rPr>
                <w:noProof/>
                <w:szCs w:val="24"/>
                <w:lang w:val="sr-Cyrl-CS"/>
              </w:rPr>
              <w:t>Извршни орган</w:t>
            </w:r>
          </w:p>
        </w:tc>
        <w:tc>
          <w:tcPr>
            <w:tcW w:w="1821" w:type="dxa"/>
          </w:tcPr>
          <w:p w:rsidR="0046476F" w:rsidRPr="009F5B52" w:rsidRDefault="0046476F" w:rsidP="009E100B">
            <w:pPr>
              <w:spacing w:before="0" w:after="0"/>
              <w:jc w:val="center"/>
              <w:rPr>
                <w:noProof/>
                <w:szCs w:val="24"/>
                <w:lang w:val="sr-Cyrl-CS"/>
              </w:rPr>
            </w:pPr>
            <w:r w:rsidRPr="009F5B52">
              <w:rPr>
                <w:noProof/>
                <w:szCs w:val="24"/>
                <w:lang w:val="sr-Cyrl-CS"/>
              </w:rPr>
              <w:t>Број пројеката</w:t>
            </w:r>
          </w:p>
        </w:tc>
        <w:tc>
          <w:tcPr>
            <w:tcW w:w="1480" w:type="dxa"/>
          </w:tcPr>
          <w:p w:rsidR="0046476F" w:rsidRPr="009F5B52" w:rsidRDefault="0046476F" w:rsidP="009E100B">
            <w:pPr>
              <w:spacing w:before="0" w:after="0"/>
              <w:jc w:val="center"/>
              <w:rPr>
                <w:noProof/>
                <w:szCs w:val="24"/>
                <w:lang w:val="sr-Cyrl-CS"/>
              </w:rPr>
            </w:pPr>
            <w:r w:rsidRPr="009F5B52">
              <w:rPr>
                <w:noProof/>
                <w:szCs w:val="24"/>
                <w:lang w:val="sr-Cyrl-CS"/>
              </w:rPr>
              <w:t xml:space="preserve">Број уговора </w:t>
            </w:r>
          </w:p>
        </w:tc>
      </w:tr>
      <w:tr w:rsidR="0046476F" w:rsidRPr="009F5B52" w:rsidTr="0046476F">
        <w:trPr>
          <w:trHeight w:val="395"/>
          <w:jc w:val="center"/>
        </w:trPr>
        <w:tc>
          <w:tcPr>
            <w:tcW w:w="2045" w:type="dxa"/>
          </w:tcPr>
          <w:p w:rsidR="0046476F" w:rsidRPr="009F5B52" w:rsidRDefault="0046476F" w:rsidP="009E100B">
            <w:pPr>
              <w:spacing w:before="0" w:after="0" w:line="240" w:lineRule="auto"/>
              <w:jc w:val="left"/>
              <w:rPr>
                <w:b/>
                <w:noProof/>
                <w:szCs w:val="24"/>
                <w:lang w:val="sr-Cyrl-CS"/>
              </w:rPr>
            </w:pPr>
            <w:r w:rsidRPr="009F5B52">
              <w:rPr>
                <w:b/>
                <w:noProof/>
                <w:szCs w:val="24"/>
                <w:lang w:val="sr-Cyrl-CS"/>
              </w:rPr>
              <w:t xml:space="preserve">Мера 3.1: </w:t>
            </w:r>
            <w:r w:rsidR="00441677" w:rsidRPr="009F5B52">
              <w:rPr>
                <w:b/>
                <w:noProof/>
                <w:szCs w:val="24"/>
                <w:lang w:val="sr-Cyrl-CS"/>
              </w:rPr>
              <w:t xml:space="preserve">Подршка социјалном укључивању кроз диверсификоване услуге у заједници </w:t>
            </w:r>
            <w:r w:rsidRPr="009F5B52">
              <w:rPr>
                <w:b/>
                <w:noProof/>
                <w:szCs w:val="24"/>
                <w:lang w:val="sr-Cyrl-CS"/>
              </w:rPr>
              <w:t xml:space="preserve">ци </w:t>
            </w:r>
          </w:p>
        </w:tc>
        <w:tc>
          <w:tcPr>
            <w:tcW w:w="2034" w:type="dxa"/>
          </w:tcPr>
          <w:p w:rsidR="0046476F" w:rsidRPr="009F5B52" w:rsidRDefault="0046476F" w:rsidP="009E100B">
            <w:pPr>
              <w:spacing w:before="0" w:after="0" w:line="240" w:lineRule="auto"/>
              <w:jc w:val="center"/>
              <w:rPr>
                <w:noProof/>
                <w:szCs w:val="24"/>
                <w:lang w:val="sr-Cyrl-CS"/>
              </w:rPr>
            </w:pPr>
            <w:r w:rsidRPr="009F5B52">
              <w:rPr>
                <w:noProof/>
                <w:szCs w:val="24"/>
                <w:lang w:val="sr-Cyrl-CS"/>
              </w:rPr>
              <w:t>Министарство рад</w:t>
            </w:r>
            <w:r w:rsidR="00610130" w:rsidRPr="009F5B52">
              <w:rPr>
                <w:noProof/>
                <w:szCs w:val="24"/>
                <w:lang w:val="sr-Cyrl-CS"/>
              </w:rPr>
              <w:t>а</w:t>
            </w:r>
            <w:r w:rsidRPr="009F5B52">
              <w:rPr>
                <w:noProof/>
                <w:szCs w:val="24"/>
                <w:lang w:val="sr-Cyrl-CS"/>
              </w:rPr>
              <w:t xml:space="preserve"> и социјалн</w:t>
            </w:r>
            <w:r w:rsidR="00610130" w:rsidRPr="009F5B52">
              <w:rPr>
                <w:noProof/>
                <w:szCs w:val="24"/>
                <w:lang w:val="sr-Cyrl-CS"/>
              </w:rPr>
              <w:t>е</w:t>
            </w:r>
            <w:r w:rsidRPr="009F5B52">
              <w:rPr>
                <w:noProof/>
                <w:szCs w:val="24"/>
                <w:lang w:val="sr-Cyrl-CS"/>
              </w:rPr>
              <w:t xml:space="preserve"> политик</w:t>
            </w:r>
            <w:r w:rsidR="00610130" w:rsidRPr="009F5B52">
              <w:rPr>
                <w:noProof/>
                <w:szCs w:val="24"/>
                <w:lang w:val="sr-Cyrl-CS"/>
              </w:rPr>
              <w:t>е</w:t>
            </w:r>
            <w:r w:rsidRPr="009F5B52">
              <w:rPr>
                <w:noProof/>
                <w:szCs w:val="24"/>
                <w:lang w:val="sr-Cyrl-CS"/>
              </w:rPr>
              <w:t xml:space="preserve"> </w:t>
            </w:r>
          </w:p>
        </w:tc>
        <w:tc>
          <w:tcPr>
            <w:tcW w:w="2066" w:type="dxa"/>
          </w:tcPr>
          <w:p w:rsidR="0046476F" w:rsidRPr="009F5B52" w:rsidRDefault="0046476F" w:rsidP="009E100B">
            <w:pPr>
              <w:spacing w:before="0" w:after="0" w:line="240" w:lineRule="auto"/>
              <w:jc w:val="center"/>
              <w:rPr>
                <w:noProof/>
                <w:szCs w:val="24"/>
                <w:lang w:val="sr-Cyrl-CS"/>
              </w:rPr>
            </w:pPr>
            <w:r w:rsidRPr="009F5B52">
              <w:rPr>
                <w:noProof/>
                <w:szCs w:val="24"/>
                <w:lang w:val="sr-Cyrl-CS"/>
              </w:rPr>
              <w:t xml:space="preserve">Централна јединица  за финансирање и уговарање –Министарство финансија </w:t>
            </w:r>
          </w:p>
        </w:tc>
        <w:tc>
          <w:tcPr>
            <w:tcW w:w="1821" w:type="dxa"/>
          </w:tcPr>
          <w:p w:rsidR="0046476F" w:rsidRPr="009F5B52" w:rsidRDefault="0046476F" w:rsidP="009E100B">
            <w:pPr>
              <w:spacing w:before="0" w:after="0" w:line="240" w:lineRule="auto"/>
              <w:jc w:val="center"/>
              <w:rPr>
                <w:noProof/>
                <w:szCs w:val="24"/>
                <w:lang w:val="sr-Cyrl-CS"/>
              </w:rPr>
            </w:pPr>
            <w:r w:rsidRPr="009F5B52">
              <w:rPr>
                <w:noProof/>
                <w:szCs w:val="24"/>
                <w:lang w:val="sr-Cyrl-CS"/>
              </w:rPr>
              <w:t xml:space="preserve">1 </w:t>
            </w:r>
          </w:p>
        </w:tc>
        <w:tc>
          <w:tcPr>
            <w:tcW w:w="1480" w:type="dxa"/>
          </w:tcPr>
          <w:p w:rsidR="0046476F" w:rsidRPr="009F5B52" w:rsidRDefault="0046476F" w:rsidP="009E100B">
            <w:pPr>
              <w:spacing w:before="0" w:after="0" w:line="240" w:lineRule="auto"/>
              <w:jc w:val="center"/>
              <w:rPr>
                <w:noProof/>
                <w:szCs w:val="24"/>
                <w:lang w:val="sr-Cyrl-CS"/>
              </w:rPr>
            </w:pPr>
            <w:r w:rsidRPr="009F5B52">
              <w:rPr>
                <w:noProof/>
                <w:szCs w:val="24"/>
                <w:lang w:val="sr-Cyrl-CS"/>
              </w:rPr>
              <w:t xml:space="preserve">До 30 </w:t>
            </w:r>
          </w:p>
        </w:tc>
      </w:tr>
      <w:tr w:rsidR="0046476F" w:rsidRPr="009F5B52" w:rsidTr="0046476F">
        <w:trPr>
          <w:trHeight w:val="417"/>
          <w:jc w:val="center"/>
        </w:trPr>
        <w:tc>
          <w:tcPr>
            <w:tcW w:w="2045" w:type="dxa"/>
          </w:tcPr>
          <w:p w:rsidR="0046476F" w:rsidRPr="009F5B52" w:rsidRDefault="0046476F" w:rsidP="009E100B">
            <w:pPr>
              <w:spacing w:before="0" w:after="0" w:line="240" w:lineRule="auto"/>
              <w:jc w:val="left"/>
              <w:rPr>
                <w:b/>
                <w:noProof/>
                <w:szCs w:val="24"/>
                <w:lang w:val="sr-Cyrl-CS"/>
              </w:rPr>
            </w:pPr>
            <w:r w:rsidRPr="009F5B52">
              <w:rPr>
                <w:b/>
                <w:noProof/>
                <w:szCs w:val="24"/>
                <w:lang w:val="sr-Cyrl-CS"/>
              </w:rPr>
              <w:t xml:space="preserve">Мера 2.1 – Развој инфраструктуре за управљање отпадом </w:t>
            </w:r>
          </w:p>
        </w:tc>
        <w:tc>
          <w:tcPr>
            <w:tcW w:w="2034" w:type="dxa"/>
          </w:tcPr>
          <w:p w:rsidR="0046476F" w:rsidRPr="009F5B52" w:rsidRDefault="0046476F" w:rsidP="009E100B">
            <w:pPr>
              <w:spacing w:before="0" w:after="0" w:line="240" w:lineRule="auto"/>
              <w:jc w:val="center"/>
              <w:rPr>
                <w:noProof/>
                <w:szCs w:val="24"/>
                <w:lang w:val="sr-Cyrl-CS"/>
              </w:rPr>
            </w:pPr>
            <w:r w:rsidRPr="009F5B52">
              <w:rPr>
                <w:noProof/>
                <w:szCs w:val="24"/>
                <w:lang w:val="sr-Cyrl-CS"/>
              </w:rPr>
              <w:t>Министарство животне средине, рударства и просторног планирања</w:t>
            </w:r>
          </w:p>
        </w:tc>
        <w:tc>
          <w:tcPr>
            <w:tcW w:w="2066" w:type="dxa"/>
          </w:tcPr>
          <w:p w:rsidR="0046476F" w:rsidRPr="009F5B52" w:rsidRDefault="0046476F" w:rsidP="009E100B">
            <w:pPr>
              <w:spacing w:before="0" w:after="0" w:line="240" w:lineRule="auto"/>
              <w:jc w:val="center"/>
              <w:rPr>
                <w:noProof/>
                <w:szCs w:val="24"/>
                <w:lang w:val="sr-Cyrl-CS"/>
              </w:rPr>
            </w:pPr>
            <w:r w:rsidRPr="009F5B52">
              <w:rPr>
                <w:noProof/>
                <w:szCs w:val="24"/>
                <w:lang w:val="sr-Cyrl-CS"/>
              </w:rPr>
              <w:t xml:space="preserve">Централна јединица </w:t>
            </w:r>
            <w:r w:rsidR="003B561A" w:rsidRPr="009F5B52">
              <w:rPr>
                <w:noProof/>
                <w:szCs w:val="24"/>
                <w:lang w:val="sr-Cyrl-CS"/>
              </w:rPr>
              <w:t xml:space="preserve">за </w:t>
            </w:r>
            <w:r w:rsidRPr="009F5B52">
              <w:rPr>
                <w:noProof/>
                <w:szCs w:val="24"/>
                <w:lang w:val="sr-Cyrl-CS"/>
              </w:rPr>
              <w:t>финансирање и уговарање –Министарство финансија</w:t>
            </w:r>
          </w:p>
        </w:tc>
        <w:tc>
          <w:tcPr>
            <w:tcW w:w="1821" w:type="dxa"/>
          </w:tcPr>
          <w:p w:rsidR="0046476F" w:rsidRPr="009F5B52" w:rsidRDefault="0046476F" w:rsidP="009E100B">
            <w:pPr>
              <w:spacing w:before="0" w:after="0" w:line="240" w:lineRule="auto"/>
              <w:jc w:val="center"/>
              <w:rPr>
                <w:noProof/>
                <w:szCs w:val="24"/>
                <w:lang w:val="sr-Cyrl-CS"/>
              </w:rPr>
            </w:pPr>
            <w:r w:rsidRPr="009F5B52">
              <w:rPr>
                <w:noProof/>
                <w:szCs w:val="24"/>
                <w:lang w:val="sr-Cyrl-CS"/>
              </w:rPr>
              <w:t xml:space="preserve">1 </w:t>
            </w:r>
          </w:p>
        </w:tc>
        <w:tc>
          <w:tcPr>
            <w:tcW w:w="1480" w:type="dxa"/>
          </w:tcPr>
          <w:p w:rsidR="0046476F" w:rsidRPr="009F5B52" w:rsidRDefault="0046476F" w:rsidP="009E100B">
            <w:pPr>
              <w:spacing w:before="0" w:after="0" w:line="240" w:lineRule="auto"/>
              <w:jc w:val="center"/>
              <w:rPr>
                <w:noProof/>
                <w:szCs w:val="24"/>
                <w:lang w:val="sr-Cyrl-CS"/>
              </w:rPr>
            </w:pPr>
            <w:r w:rsidRPr="009F5B52">
              <w:rPr>
                <w:noProof/>
                <w:szCs w:val="24"/>
                <w:lang w:val="sr-Cyrl-CS"/>
              </w:rPr>
              <w:t xml:space="preserve">2 </w:t>
            </w:r>
          </w:p>
        </w:tc>
      </w:tr>
    </w:tbl>
    <w:p w:rsidR="0046476F" w:rsidRPr="009F5B52" w:rsidRDefault="0046476F" w:rsidP="0046476F">
      <w:pPr>
        <w:rPr>
          <w:noProof/>
          <w:szCs w:val="24"/>
          <w:lang w:val="sr-Cyrl-CS"/>
        </w:rPr>
      </w:pPr>
    </w:p>
    <w:p w:rsidR="0046476F" w:rsidRPr="009F5B52" w:rsidRDefault="0046476F" w:rsidP="0046476F">
      <w:pPr>
        <w:rPr>
          <w:noProof/>
          <w:szCs w:val="24"/>
          <w:lang w:val="sr-Cyrl-CS"/>
        </w:rPr>
      </w:pPr>
      <w:r w:rsidRPr="009F5B52">
        <w:rPr>
          <w:noProof/>
          <w:szCs w:val="24"/>
          <w:lang w:val="sr-Cyrl-CS"/>
        </w:rPr>
        <w:t xml:space="preserve">У горе наведеном случају </w:t>
      </w:r>
      <w:r w:rsidR="00E0770C" w:rsidRPr="009F5B52">
        <w:rPr>
          <w:bCs/>
          <w:noProof/>
          <w:szCs w:val="24"/>
          <w:lang w:val="sr-Cyrl-CS"/>
        </w:rPr>
        <w:t>„</w:t>
      </w:r>
      <w:r w:rsidRPr="009F5B52">
        <w:rPr>
          <w:noProof/>
          <w:szCs w:val="24"/>
          <w:lang w:val="sr-Cyrl-CS"/>
        </w:rPr>
        <w:t>Еколошке мере”, очито постоји један главни (унапред програмирани) пројекат, који подразумева потписивање два уговора који ће се спроводити у складу са припремљеним пројектним документима и тендерском документацијом. Крајњи резултат самог пројекта је предвиђени физички објекат потпуно у складу са пројектом.</w:t>
      </w:r>
    </w:p>
    <w:p w:rsidR="0046476F" w:rsidRPr="009F5B52" w:rsidRDefault="0046476F" w:rsidP="0046476F">
      <w:pPr>
        <w:rPr>
          <w:noProof/>
          <w:szCs w:val="24"/>
          <w:lang w:val="sr-Cyrl-CS"/>
        </w:rPr>
      </w:pPr>
      <w:r w:rsidRPr="009F5B52">
        <w:rPr>
          <w:noProof/>
          <w:szCs w:val="24"/>
          <w:lang w:val="sr-Cyrl-CS"/>
        </w:rPr>
        <w:t xml:space="preserve">С друге стране, пројекти социјалног укључивања који би требало да се спроводе путем доделе </w:t>
      </w:r>
      <w:r w:rsidR="00310685" w:rsidRPr="009F5B52">
        <w:rPr>
          <w:noProof/>
          <w:szCs w:val="24"/>
          <w:lang w:val="sr-Cyrl-CS"/>
        </w:rPr>
        <w:t>бесповратних средстава</w:t>
      </w:r>
      <w:r w:rsidRPr="009F5B52">
        <w:rPr>
          <w:noProof/>
          <w:szCs w:val="24"/>
          <w:lang w:val="sr-Cyrl-CS"/>
        </w:rPr>
        <w:t xml:space="preserve">, подразумевају склапање и </w:t>
      </w:r>
      <w:r w:rsidR="00310685" w:rsidRPr="009F5B52">
        <w:rPr>
          <w:noProof/>
          <w:szCs w:val="24"/>
          <w:lang w:val="sr-Cyrl-CS"/>
        </w:rPr>
        <w:t>спровођење</w:t>
      </w:r>
      <w:r w:rsidRPr="009F5B52">
        <w:rPr>
          <w:noProof/>
          <w:szCs w:val="24"/>
          <w:lang w:val="sr-Cyrl-CS"/>
        </w:rPr>
        <w:t xml:space="preserve"> до 30 уговора. Сваки од тих уговора покривао би широки спектар циљева и категорија корисника. Да би нека мера била успешно реализована, пожељно је да дизајн </w:t>
      </w:r>
      <w:r w:rsidR="00310685" w:rsidRPr="009F5B52">
        <w:rPr>
          <w:noProof/>
          <w:szCs w:val="24"/>
          <w:lang w:val="sr-Cyrl-CS"/>
        </w:rPr>
        <w:t>спровођења</w:t>
      </w:r>
      <w:r w:rsidRPr="009F5B52">
        <w:rPr>
          <w:noProof/>
          <w:szCs w:val="24"/>
          <w:lang w:val="sr-Cyrl-CS"/>
        </w:rPr>
        <w:t xml:space="preserve"> пројекта (којим се дефинишу конкурси за </w:t>
      </w:r>
      <w:r w:rsidR="00310685" w:rsidRPr="009F5B52">
        <w:rPr>
          <w:noProof/>
          <w:szCs w:val="24"/>
          <w:lang w:val="sr-Cyrl-CS"/>
        </w:rPr>
        <w:t>бесповратна средства</w:t>
      </w:r>
      <w:r w:rsidRPr="009F5B52">
        <w:rPr>
          <w:noProof/>
          <w:szCs w:val="24"/>
          <w:lang w:val="sr-Cyrl-CS"/>
        </w:rPr>
        <w:t xml:space="preserve">), </w:t>
      </w:r>
      <w:r w:rsidR="00310685" w:rsidRPr="009F5B52">
        <w:rPr>
          <w:noProof/>
          <w:szCs w:val="24"/>
          <w:lang w:val="sr-Cyrl-CS"/>
        </w:rPr>
        <w:t>надзор и оцену</w:t>
      </w:r>
      <w:r w:rsidRPr="009F5B52">
        <w:rPr>
          <w:noProof/>
          <w:szCs w:val="24"/>
          <w:lang w:val="sr-Cyrl-CS"/>
        </w:rPr>
        <w:t xml:space="preserve"> – на нивоу пројекта – врше стручњаци за социјално укључивање. Према постојећој структури, </w:t>
      </w:r>
      <w:r w:rsidR="000801EE" w:rsidRPr="009F5B52">
        <w:rPr>
          <w:noProof/>
          <w:szCs w:val="24"/>
          <w:lang w:val="sr-Cyrl-CS"/>
        </w:rPr>
        <w:lastRenderedPageBreak/>
        <w:t>финансијску процену пројеката вршиће</w:t>
      </w:r>
      <w:r w:rsidRPr="009F5B52">
        <w:rPr>
          <w:noProof/>
          <w:szCs w:val="24"/>
          <w:lang w:val="sr-Cyrl-CS"/>
        </w:rPr>
        <w:t xml:space="preserve"> Централна јединица за финансирање и уговарање смештена у Министарству финансија</w:t>
      </w:r>
      <w:r w:rsidR="00310685" w:rsidRPr="009F5B52">
        <w:rPr>
          <w:noProof/>
          <w:szCs w:val="24"/>
          <w:lang w:val="sr-Cyrl-CS"/>
        </w:rPr>
        <w:t>,</w:t>
      </w:r>
      <w:r w:rsidR="000801EE" w:rsidRPr="009F5B52">
        <w:rPr>
          <w:noProof/>
          <w:szCs w:val="24"/>
          <w:lang w:val="sr-Cyrl-CS"/>
        </w:rPr>
        <w:t xml:space="preserve"> али ће процену квалитета спроведених пројеката вршити стручњаци у ресорним министарствима.</w:t>
      </w:r>
      <w:r w:rsidRPr="009F5B52">
        <w:rPr>
          <w:noProof/>
          <w:szCs w:val="24"/>
          <w:lang w:val="sr-Cyrl-CS"/>
        </w:rPr>
        <w:t xml:space="preserve"> </w:t>
      </w:r>
      <w:r w:rsidRPr="009F5B52">
        <w:rPr>
          <w:b/>
          <w:noProof/>
          <w:szCs w:val="24"/>
          <w:lang w:val="sr-Cyrl-CS"/>
        </w:rPr>
        <w:t>Чињеница да постоји висок степен зависности од међуресорне координације повећава ризик од кашњења процеса и може као крајњи исход имати смањени ефекат фондова.</w:t>
      </w:r>
    </w:p>
    <w:p w:rsidR="0046476F" w:rsidRPr="009F5B52" w:rsidRDefault="0046476F" w:rsidP="0046476F">
      <w:pPr>
        <w:rPr>
          <w:noProof/>
          <w:szCs w:val="24"/>
          <w:lang w:val="sr-Cyrl-CS"/>
        </w:rPr>
      </w:pPr>
      <w:r w:rsidRPr="009F5B52">
        <w:rPr>
          <w:noProof/>
          <w:szCs w:val="24"/>
          <w:lang w:val="sr-Cyrl-CS"/>
        </w:rPr>
        <w:t xml:space="preserve">Овај приступ представљао би сценарио у коме није у потпуности задовољен принцип одрживости. То значи да ће, као и код других пројеката који се финансирају </w:t>
      </w:r>
      <w:r w:rsidR="000801EE" w:rsidRPr="009F5B52">
        <w:rPr>
          <w:noProof/>
          <w:szCs w:val="24"/>
          <w:lang w:val="sr-Cyrl-CS"/>
        </w:rPr>
        <w:t>екстерним средствима</w:t>
      </w:r>
      <w:r w:rsidRPr="009F5B52">
        <w:rPr>
          <w:noProof/>
          <w:szCs w:val="24"/>
          <w:lang w:val="sr-Cyrl-CS"/>
        </w:rPr>
        <w:t xml:space="preserve">, људи у различитим установама или органима бити обучени, стећи искуство у овом посебном подручју. Овом приступу недостаје потенцијални ефекат синергије који би могао бити остварен уколико би се сви стручњаци налазили ‘под једним кровом’. </w:t>
      </w:r>
    </w:p>
    <w:p w:rsidR="0046476F" w:rsidRPr="009F5B52" w:rsidRDefault="0046476F" w:rsidP="0046476F">
      <w:pPr>
        <w:rPr>
          <w:b/>
          <w:noProof/>
          <w:szCs w:val="24"/>
          <w:lang w:val="sr-Cyrl-CS"/>
        </w:rPr>
      </w:pPr>
      <w:r w:rsidRPr="009F5B52">
        <w:rPr>
          <w:b/>
          <w:noProof/>
          <w:szCs w:val="24"/>
          <w:lang w:val="sr-Cyrl-CS"/>
        </w:rPr>
        <w:t xml:space="preserve">Имајући у виду проблеме скопчане са капацитетима за апсорпцију и административне капацитете, координацију, правовремено управљање фондовима ЕУ и флексибилност у смислу </w:t>
      </w:r>
      <w:r w:rsidR="00942E56" w:rsidRPr="009F5B52">
        <w:rPr>
          <w:b/>
          <w:noProof/>
          <w:szCs w:val="24"/>
          <w:lang w:val="sr-Cyrl-CS"/>
        </w:rPr>
        <w:t>ко</w:t>
      </w:r>
      <w:r w:rsidRPr="009F5B52">
        <w:rPr>
          <w:b/>
          <w:noProof/>
          <w:szCs w:val="24"/>
          <w:lang w:val="sr-Cyrl-CS"/>
        </w:rPr>
        <w:t xml:space="preserve">финансирања, ова Студија предлаже опцију при којој би све функције које се односе на </w:t>
      </w:r>
      <w:r w:rsidR="00310685" w:rsidRPr="009F5B52">
        <w:rPr>
          <w:b/>
          <w:noProof/>
          <w:szCs w:val="24"/>
          <w:lang w:val="sr-Cyrl-CS"/>
        </w:rPr>
        <w:t>спровођење</w:t>
      </w:r>
      <w:r w:rsidRPr="009F5B52">
        <w:rPr>
          <w:b/>
          <w:noProof/>
          <w:szCs w:val="24"/>
          <w:lang w:val="sr-Cyrl-CS"/>
        </w:rPr>
        <w:t xml:space="preserve"> мера социјалног укључивања</w:t>
      </w:r>
      <w:r w:rsidR="00BC5306" w:rsidRPr="009F5B52">
        <w:rPr>
          <w:b/>
          <w:noProof/>
          <w:szCs w:val="24"/>
          <w:lang w:val="sr-Cyrl-CS"/>
        </w:rPr>
        <w:t>,</w:t>
      </w:r>
      <w:r w:rsidRPr="009F5B52">
        <w:rPr>
          <w:b/>
          <w:noProof/>
          <w:szCs w:val="24"/>
          <w:lang w:val="sr-Cyrl-CS"/>
        </w:rPr>
        <w:t xml:space="preserve"> које </w:t>
      </w:r>
      <w:r w:rsidR="00BC5306" w:rsidRPr="009F5B52">
        <w:rPr>
          <w:b/>
          <w:noProof/>
          <w:szCs w:val="24"/>
          <w:lang w:val="sr-Cyrl-CS"/>
        </w:rPr>
        <w:t>ће се</w:t>
      </w:r>
      <w:r w:rsidRPr="009F5B52">
        <w:rPr>
          <w:b/>
          <w:noProof/>
          <w:szCs w:val="24"/>
          <w:lang w:val="sr-Cyrl-CS"/>
        </w:rPr>
        <w:t xml:space="preserve"> фина</w:t>
      </w:r>
      <w:r w:rsidR="00BC5306" w:rsidRPr="009F5B52">
        <w:rPr>
          <w:b/>
          <w:noProof/>
          <w:szCs w:val="24"/>
          <w:lang w:val="sr-Cyrl-CS"/>
        </w:rPr>
        <w:t>н</w:t>
      </w:r>
      <w:r w:rsidRPr="009F5B52">
        <w:rPr>
          <w:b/>
          <w:noProof/>
          <w:szCs w:val="24"/>
          <w:lang w:val="sr-Cyrl-CS"/>
        </w:rPr>
        <w:t>сира</w:t>
      </w:r>
      <w:r w:rsidR="00BC5306" w:rsidRPr="009F5B52">
        <w:rPr>
          <w:b/>
          <w:noProof/>
          <w:szCs w:val="24"/>
          <w:lang w:val="sr-Cyrl-CS"/>
        </w:rPr>
        <w:t>ти будућим</w:t>
      </w:r>
      <w:r w:rsidRPr="009F5B52">
        <w:rPr>
          <w:b/>
          <w:noProof/>
          <w:szCs w:val="24"/>
          <w:lang w:val="sr-Cyrl-CS"/>
        </w:rPr>
        <w:t xml:space="preserve"> средствима ЕУ</w:t>
      </w:r>
      <w:r w:rsidR="00BC5306" w:rsidRPr="009F5B52">
        <w:rPr>
          <w:b/>
          <w:noProof/>
          <w:szCs w:val="24"/>
          <w:lang w:val="sr-Cyrl-CS"/>
        </w:rPr>
        <w:t>,</w:t>
      </w:r>
      <w:r w:rsidRPr="009F5B52">
        <w:rPr>
          <w:b/>
          <w:noProof/>
          <w:szCs w:val="24"/>
          <w:lang w:val="sr-Cyrl-CS"/>
        </w:rPr>
        <w:t xml:space="preserve"> биле лоциране у једној институцији – Фонду за социјално укључивање.</w:t>
      </w:r>
    </w:p>
    <w:p w:rsidR="0046476F" w:rsidRPr="009F5B52" w:rsidRDefault="0046476F" w:rsidP="0046476F">
      <w:pPr>
        <w:rPr>
          <w:szCs w:val="24"/>
          <w:lang w:val="sr-Cyrl-CS"/>
        </w:rPr>
      </w:pPr>
      <w:r w:rsidRPr="009F5B52">
        <w:rPr>
          <w:noProof/>
          <w:szCs w:val="24"/>
          <w:lang w:val="sr-Cyrl-CS"/>
        </w:rPr>
        <w:t xml:space="preserve">Фонд за социјално укључивање, који предлажемо, имао би улогу </w:t>
      </w:r>
      <w:r w:rsidR="00310685" w:rsidRPr="009F5B52">
        <w:rPr>
          <w:noProof/>
          <w:szCs w:val="24"/>
          <w:lang w:val="sr-Cyrl-CS"/>
        </w:rPr>
        <w:t>о</w:t>
      </w:r>
      <w:r w:rsidRPr="009F5B52">
        <w:rPr>
          <w:noProof/>
          <w:szCs w:val="24"/>
          <w:lang w:val="sr-Cyrl-CS"/>
        </w:rPr>
        <w:t>влашћеног (</w:t>
      </w:r>
      <w:r w:rsidR="00310685" w:rsidRPr="009F5B52">
        <w:rPr>
          <w:noProof/>
          <w:szCs w:val="24"/>
          <w:lang w:val="sr-Cyrl-CS"/>
        </w:rPr>
        <w:t>п</w:t>
      </w:r>
      <w:r w:rsidRPr="009F5B52">
        <w:rPr>
          <w:noProof/>
          <w:szCs w:val="24"/>
          <w:lang w:val="sr-Cyrl-CS"/>
        </w:rPr>
        <w:t xml:space="preserve">осредничког) тела </w:t>
      </w:r>
      <w:r w:rsidR="00BC5306" w:rsidRPr="009F5B52">
        <w:rPr>
          <w:noProof/>
          <w:szCs w:val="24"/>
          <w:lang w:val="sr-Cyrl-CS"/>
        </w:rPr>
        <w:t xml:space="preserve">надлежних ресорних министарстава </w:t>
      </w:r>
      <w:r w:rsidRPr="009F5B52">
        <w:rPr>
          <w:noProof/>
          <w:szCs w:val="24"/>
          <w:lang w:val="sr-Cyrl-CS"/>
        </w:rPr>
        <w:t xml:space="preserve">за </w:t>
      </w:r>
      <w:r w:rsidR="00310685" w:rsidRPr="009F5B52">
        <w:rPr>
          <w:noProof/>
          <w:szCs w:val="24"/>
          <w:lang w:val="sr-Cyrl-CS"/>
        </w:rPr>
        <w:t>спровођење</w:t>
      </w:r>
      <w:r w:rsidRPr="009F5B52">
        <w:rPr>
          <w:noProof/>
          <w:szCs w:val="24"/>
          <w:lang w:val="sr-Cyrl-CS"/>
        </w:rPr>
        <w:t xml:space="preserve"> програма социјалног укључивања у оквиру ИПА и представљао би део </w:t>
      </w:r>
      <w:r w:rsidR="00310685" w:rsidRPr="009F5B52">
        <w:rPr>
          <w:noProof/>
          <w:szCs w:val="24"/>
          <w:lang w:val="sr-Cyrl-CS"/>
        </w:rPr>
        <w:t>о</w:t>
      </w:r>
      <w:r w:rsidRPr="009F5B52">
        <w:rPr>
          <w:noProof/>
          <w:szCs w:val="24"/>
          <w:lang w:val="sr-Cyrl-CS"/>
        </w:rPr>
        <w:t>перативне структуре</w:t>
      </w:r>
      <w:r w:rsidR="00BD7DA1" w:rsidRPr="009F5B52">
        <w:rPr>
          <w:noProof/>
          <w:szCs w:val="24"/>
          <w:lang w:val="sr-Cyrl-CS"/>
        </w:rPr>
        <w:t>.</w:t>
      </w:r>
    </w:p>
    <w:p w:rsidR="0046476F" w:rsidRPr="009F5B52" w:rsidRDefault="008D62BD" w:rsidP="0046476F">
      <w:pPr>
        <w:pStyle w:val="Heading2"/>
        <w:rPr>
          <w:noProof/>
          <w:lang w:val="sr-Cyrl-CS"/>
        </w:rPr>
      </w:pPr>
      <w:bookmarkStart w:id="42" w:name="_Toc327447120"/>
      <w:bookmarkStart w:id="43" w:name="_Toc330562308"/>
      <w:r w:rsidRPr="009F5B52">
        <w:rPr>
          <w:noProof/>
          <w:lang w:val="sr-Cyrl-CS"/>
        </w:rPr>
        <w:t>2</w:t>
      </w:r>
      <w:r w:rsidR="0046476F" w:rsidRPr="009F5B52">
        <w:rPr>
          <w:noProof/>
          <w:lang w:val="sr-Cyrl-CS"/>
        </w:rPr>
        <w:t>.4. Искуства других земаљ</w:t>
      </w:r>
      <w:bookmarkEnd w:id="42"/>
      <w:r w:rsidR="0046476F" w:rsidRPr="009F5B52">
        <w:rPr>
          <w:noProof/>
          <w:lang w:val="sr-Cyrl-CS"/>
        </w:rPr>
        <w:t>а</w:t>
      </w:r>
      <w:bookmarkEnd w:id="43"/>
    </w:p>
    <w:p w:rsidR="0046476F" w:rsidRPr="009F5B52" w:rsidRDefault="0046476F" w:rsidP="0046476F">
      <w:pPr>
        <w:rPr>
          <w:noProof/>
          <w:szCs w:val="24"/>
          <w:lang w:val="sr-Cyrl-CS"/>
        </w:rPr>
      </w:pPr>
      <w:r w:rsidRPr="009F5B52">
        <w:rPr>
          <w:noProof/>
          <w:szCs w:val="24"/>
          <w:lang w:val="sr-Cyrl-CS"/>
        </w:rPr>
        <w:t xml:space="preserve">Механизми за реализацију политика социјалног укључивања у ЕУ се разликују, од фрагментираних до консолидованих, централизованих до регионалних. У неким случајевима, сектори надлежни за дефинисање политике у државним институцијама такође су надлежни и за управљање фондовима ЕУ.  </w:t>
      </w:r>
    </w:p>
    <w:p w:rsidR="0046476F" w:rsidRPr="009F5B52" w:rsidRDefault="0046476F" w:rsidP="0046476F">
      <w:pPr>
        <w:rPr>
          <w:noProof/>
          <w:szCs w:val="24"/>
          <w:lang w:val="sr-Cyrl-CS"/>
        </w:rPr>
      </w:pPr>
      <w:r w:rsidRPr="009F5B52">
        <w:rPr>
          <w:noProof/>
          <w:szCs w:val="24"/>
          <w:lang w:val="sr-Cyrl-CS"/>
        </w:rPr>
        <w:t>Неке државе именују ‘</w:t>
      </w:r>
      <w:r w:rsidR="00310685" w:rsidRPr="009F5B52">
        <w:rPr>
          <w:noProof/>
          <w:szCs w:val="24"/>
          <w:lang w:val="sr-Cyrl-CS"/>
        </w:rPr>
        <w:t>п</w:t>
      </w:r>
      <w:r w:rsidRPr="009F5B52">
        <w:rPr>
          <w:noProof/>
          <w:szCs w:val="24"/>
          <w:lang w:val="sr-Cyrl-CS"/>
        </w:rPr>
        <w:t>осредничк</w:t>
      </w:r>
      <w:r w:rsidR="00DD508E" w:rsidRPr="009F5B52">
        <w:rPr>
          <w:noProof/>
          <w:szCs w:val="24"/>
          <w:lang w:val="sr-Cyrl-CS"/>
        </w:rPr>
        <w:t>а</w:t>
      </w:r>
      <w:r w:rsidRPr="009F5B52">
        <w:rPr>
          <w:noProof/>
          <w:szCs w:val="24"/>
          <w:lang w:val="sr-Cyrl-CS"/>
        </w:rPr>
        <w:t xml:space="preserve"> </w:t>
      </w:r>
      <w:r w:rsidR="00DD508E" w:rsidRPr="009F5B52">
        <w:rPr>
          <w:noProof/>
          <w:szCs w:val="24"/>
          <w:lang w:val="sr-Cyrl-CS"/>
        </w:rPr>
        <w:t>тела</w:t>
      </w:r>
      <w:r w:rsidRPr="009F5B52">
        <w:rPr>
          <w:noProof/>
          <w:szCs w:val="24"/>
          <w:lang w:val="sr-Cyrl-CS"/>
        </w:rPr>
        <w:t>’ надлежн</w:t>
      </w:r>
      <w:r w:rsidR="00DD508E" w:rsidRPr="009F5B52">
        <w:rPr>
          <w:noProof/>
          <w:szCs w:val="24"/>
          <w:lang w:val="sr-Cyrl-CS"/>
        </w:rPr>
        <w:t>а</w:t>
      </w:r>
      <w:r w:rsidRPr="009F5B52">
        <w:rPr>
          <w:noProof/>
          <w:szCs w:val="24"/>
          <w:lang w:val="sr-Cyrl-CS"/>
        </w:rPr>
        <w:t xml:space="preserve"> за реализацију програма социјалног укључивања који се финансирају средствима ЕУ. Посредничк</w:t>
      </w:r>
      <w:r w:rsidR="00DD508E" w:rsidRPr="009F5B52">
        <w:rPr>
          <w:noProof/>
          <w:szCs w:val="24"/>
          <w:lang w:val="sr-Cyrl-CS"/>
        </w:rPr>
        <w:t>а</w:t>
      </w:r>
      <w:r w:rsidRPr="009F5B52">
        <w:rPr>
          <w:noProof/>
          <w:szCs w:val="24"/>
          <w:lang w:val="sr-Cyrl-CS"/>
        </w:rPr>
        <w:t xml:space="preserve"> </w:t>
      </w:r>
      <w:r w:rsidR="00DD508E" w:rsidRPr="009F5B52">
        <w:rPr>
          <w:noProof/>
          <w:szCs w:val="24"/>
          <w:lang w:val="sr-Cyrl-CS"/>
        </w:rPr>
        <w:t>тела</w:t>
      </w:r>
      <w:r w:rsidRPr="009F5B52">
        <w:rPr>
          <w:noProof/>
          <w:szCs w:val="24"/>
          <w:lang w:val="sr-Cyrl-CS"/>
        </w:rPr>
        <w:t xml:space="preserve"> објављују конкурсе и додељују фондове ЕУ у складу са правилима јавних набавки ЕУ и унапред дефинисаним програмским критеријумима.  </w:t>
      </w:r>
    </w:p>
    <w:p w:rsidR="0046476F" w:rsidRPr="009F5B52" w:rsidRDefault="008D62BD" w:rsidP="0046476F">
      <w:pPr>
        <w:pStyle w:val="Heading3"/>
        <w:rPr>
          <w:noProof/>
          <w:lang w:val="sr-Cyrl-CS"/>
        </w:rPr>
      </w:pPr>
      <w:bookmarkStart w:id="44" w:name="_Toc327447121"/>
      <w:bookmarkStart w:id="45" w:name="_Toc330562309"/>
      <w:r w:rsidRPr="009F5B52">
        <w:rPr>
          <w:noProof/>
          <w:lang w:val="sr-Cyrl-CS"/>
        </w:rPr>
        <w:t>2</w:t>
      </w:r>
      <w:r w:rsidR="0046476F" w:rsidRPr="009F5B52">
        <w:rPr>
          <w:noProof/>
          <w:lang w:val="sr-Cyrl-CS"/>
        </w:rPr>
        <w:t>.4.1. Републик</w:t>
      </w:r>
      <w:bookmarkEnd w:id="44"/>
      <w:r w:rsidR="0046476F" w:rsidRPr="009F5B52">
        <w:rPr>
          <w:noProof/>
          <w:lang w:val="sr-Cyrl-CS"/>
        </w:rPr>
        <w:t>а Словачка</w:t>
      </w:r>
      <w:bookmarkEnd w:id="45"/>
    </w:p>
    <w:p w:rsidR="0046476F" w:rsidRPr="009F5B52" w:rsidRDefault="0046476F" w:rsidP="0046476F">
      <w:pPr>
        <w:spacing w:after="0"/>
        <w:rPr>
          <w:noProof/>
          <w:szCs w:val="24"/>
          <w:lang w:val="sr-Cyrl-CS"/>
        </w:rPr>
      </w:pPr>
      <w:r w:rsidRPr="009F5B52">
        <w:rPr>
          <w:noProof/>
          <w:szCs w:val="24"/>
          <w:lang w:val="sr-Cyrl-CS"/>
        </w:rPr>
        <w:t xml:space="preserve">У текућем програмском периоду (2007-2013) алокација из Европског социјалног фонда за Оперативни програм </w:t>
      </w:r>
      <w:r w:rsidR="00E0770C" w:rsidRPr="009F5B52">
        <w:rPr>
          <w:bCs/>
          <w:noProof/>
          <w:szCs w:val="24"/>
          <w:lang w:val="sr-Cyrl-CS"/>
        </w:rPr>
        <w:t>„</w:t>
      </w:r>
      <w:r w:rsidRPr="009F5B52">
        <w:rPr>
          <w:noProof/>
          <w:szCs w:val="24"/>
          <w:lang w:val="sr-Cyrl-CS"/>
        </w:rPr>
        <w:t>Запошљавање и социјално укључивање” износи 882 милиона евра. Министарство за запошљавање, социјалн</w:t>
      </w:r>
      <w:r w:rsidR="00F00950" w:rsidRPr="009F5B52">
        <w:rPr>
          <w:noProof/>
          <w:szCs w:val="24"/>
          <w:lang w:val="sr-Cyrl-CS"/>
        </w:rPr>
        <w:t>а</w:t>
      </w:r>
      <w:r w:rsidRPr="009F5B52">
        <w:rPr>
          <w:noProof/>
          <w:szCs w:val="24"/>
          <w:lang w:val="sr-Cyrl-CS"/>
        </w:rPr>
        <w:t xml:space="preserve"> </w:t>
      </w:r>
      <w:r w:rsidR="00F00950" w:rsidRPr="009F5B52">
        <w:rPr>
          <w:noProof/>
          <w:szCs w:val="24"/>
          <w:lang w:val="sr-Cyrl-CS"/>
        </w:rPr>
        <w:t>питања</w:t>
      </w:r>
      <w:r w:rsidRPr="009F5B52">
        <w:rPr>
          <w:noProof/>
          <w:szCs w:val="24"/>
          <w:lang w:val="sr-Cyrl-CS"/>
        </w:rPr>
        <w:t xml:space="preserve"> и породицу служи као </w:t>
      </w:r>
      <w:r w:rsidR="00F00950" w:rsidRPr="009F5B52">
        <w:rPr>
          <w:noProof/>
          <w:szCs w:val="24"/>
          <w:lang w:val="sr-Cyrl-CS"/>
        </w:rPr>
        <w:t>тело за управљање</w:t>
      </w:r>
      <w:r w:rsidRPr="009F5B52">
        <w:rPr>
          <w:noProof/>
          <w:szCs w:val="24"/>
          <w:lang w:val="sr-Cyrl-CS"/>
        </w:rPr>
        <w:t xml:space="preserve"> Оперативним програмом. Постоје два </w:t>
      </w:r>
      <w:r w:rsidR="00F00950" w:rsidRPr="009F5B52">
        <w:rPr>
          <w:noProof/>
          <w:szCs w:val="24"/>
          <w:lang w:val="sr-Cyrl-CS"/>
        </w:rPr>
        <w:t>п</w:t>
      </w:r>
      <w:r w:rsidRPr="009F5B52">
        <w:rPr>
          <w:noProof/>
          <w:szCs w:val="24"/>
          <w:lang w:val="sr-Cyrl-CS"/>
        </w:rPr>
        <w:t xml:space="preserve">осредничка </w:t>
      </w:r>
      <w:r w:rsidR="00DD508E" w:rsidRPr="009F5B52">
        <w:rPr>
          <w:noProof/>
          <w:szCs w:val="24"/>
          <w:lang w:val="sr-Cyrl-CS"/>
        </w:rPr>
        <w:t>тела</w:t>
      </w:r>
      <w:r w:rsidRPr="009F5B52">
        <w:rPr>
          <w:noProof/>
          <w:szCs w:val="24"/>
          <w:lang w:val="sr-Cyrl-CS"/>
        </w:rPr>
        <w:t xml:space="preserve"> ОП.</w:t>
      </w:r>
    </w:p>
    <w:p w:rsidR="009E100B" w:rsidRPr="009F5B52" w:rsidRDefault="009E100B" w:rsidP="0046476F">
      <w:pPr>
        <w:spacing w:after="0"/>
        <w:rPr>
          <w:noProof/>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8"/>
        <w:gridCol w:w="3105"/>
      </w:tblGrid>
      <w:tr w:rsidR="0046476F" w:rsidRPr="009F5B52" w:rsidTr="009E100B">
        <w:trPr>
          <w:trHeight w:val="296"/>
        </w:trPr>
        <w:tc>
          <w:tcPr>
            <w:tcW w:w="6138" w:type="dxa"/>
          </w:tcPr>
          <w:p w:rsidR="0046476F" w:rsidRPr="009F5B52" w:rsidRDefault="0046476F" w:rsidP="00F00950">
            <w:pPr>
              <w:jc w:val="center"/>
              <w:rPr>
                <w:b/>
                <w:noProof/>
                <w:sz w:val="23"/>
                <w:szCs w:val="23"/>
                <w:lang w:val="sr-Cyrl-CS"/>
              </w:rPr>
            </w:pPr>
            <w:r w:rsidRPr="009F5B52">
              <w:rPr>
                <w:b/>
                <w:noProof/>
                <w:sz w:val="23"/>
                <w:szCs w:val="23"/>
                <w:lang w:val="sr-Cyrl-CS"/>
              </w:rPr>
              <w:t xml:space="preserve">Оперативни програм </w:t>
            </w:r>
            <w:r w:rsidR="00F00950" w:rsidRPr="009F5B52">
              <w:rPr>
                <w:b/>
                <w:noProof/>
                <w:sz w:val="23"/>
                <w:szCs w:val="23"/>
                <w:lang w:val="sr-Cyrl-CS"/>
              </w:rPr>
              <w:t>„</w:t>
            </w:r>
            <w:r w:rsidRPr="009F5B52">
              <w:rPr>
                <w:b/>
                <w:noProof/>
                <w:sz w:val="23"/>
                <w:szCs w:val="23"/>
                <w:lang w:val="sr-Cyrl-CS"/>
              </w:rPr>
              <w:t>Запошљавање и социјално укључивање”</w:t>
            </w:r>
          </w:p>
        </w:tc>
        <w:tc>
          <w:tcPr>
            <w:tcW w:w="3105" w:type="dxa"/>
          </w:tcPr>
          <w:p w:rsidR="0046476F" w:rsidRPr="009F5B52" w:rsidRDefault="0046476F" w:rsidP="00DD508E">
            <w:pPr>
              <w:jc w:val="center"/>
              <w:rPr>
                <w:b/>
                <w:noProof/>
                <w:sz w:val="23"/>
                <w:szCs w:val="23"/>
                <w:lang w:val="sr-Cyrl-CS"/>
              </w:rPr>
            </w:pPr>
            <w:r w:rsidRPr="009F5B52">
              <w:rPr>
                <w:b/>
                <w:noProof/>
                <w:sz w:val="23"/>
                <w:szCs w:val="23"/>
                <w:lang w:val="sr-Cyrl-CS"/>
              </w:rPr>
              <w:t>Посредничк</w:t>
            </w:r>
            <w:r w:rsidR="00DD508E" w:rsidRPr="009F5B52">
              <w:rPr>
                <w:b/>
                <w:noProof/>
                <w:sz w:val="23"/>
                <w:szCs w:val="23"/>
                <w:lang w:val="sr-Cyrl-CS"/>
              </w:rPr>
              <w:t>а</w:t>
            </w:r>
            <w:r w:rsidRPr="009F5B52">
              <w:rPr>
                <w:b/>
                <w:noProof/>
                <w:sz w:val="23"/>
                <w:szCs w:val="23"/>
                <w:lang w:val="sr-Cyrl-CS"/>
              </w:rPr>
              <w:t xml:space="preserve"> </w:t>
            </w:r>
            <w:r w:rsidR="00DD508E" w:rsidRPr="009F5B52">
              <w:rPr>
                <w:b/>
                <w:noProof/>
                <w:sz w:val="23"/>
                <w:szCs w:val="23"/>
                <w:lang w:val="sr-Cyrl-CS"/>
              </w:rPr>
              <w:t>тела</w:t>
            </w:r>
          </w:p>
        </w:tc>
      </w:tr>
      <w:tr w:rsidR="0046476F" w:rsidRPr="008365F6" w:rsidTr="009E100B">
        <w:trPr>
          <w:trHeight w:val="430"/>
        </w:trPr>
        <w:tc>
          <w:tcPr>
            <w:tcW w:w="6138" w:type="dxa"/>
          </w:tcPr>
          <w:p w:rsidR="0046476F" w:rsidRPr="009F5B52" w:rsidRDefault="0046476F" w:rsidP="0047484D">
            <w:pPr>
              <w:spacing w:after="0" w:line="240" w:lineRule="auto"/>
              <w:jc w:val="left"/>
              <w:rPr>
                <w:b/>
                <w:noProof/>
                <w:sz w:val="23"/>
                <w:szCs w:val="23"/>
                <w:lang w:val="sr-Cyrl-CS"/>
              </w:rPr>
            </w:pPr>
            <w:r w:rsidRPr="009F5B52">
              <w:rPr>
                <w:b/>
                <w:noProof/>
                <w:sz w:val="23"/>
                <w:szCs w:val="23"/>
                <w:lang w:val="sr-Cyrl-CS"/>
              </w:rPr>
              <w:t>Приоритет</w:t>
            </w:r>
            <w:r w:rsidR="00F00950" w:rsidRPr="009F5B52">
              <w:rPr>
                <w:b/>
                <w:noProof/>
                <w:sz w:val="23"/>
                <w:szCs w:val="23"/>
                <w:lang w:val="sr-Cyrl-CS"/>
              </w:rPr>
              <w:t>на оса</w:t>
            </w:r>
            <w:r w:rsidRPr="009F5B52">
              <w:rPr>
                <w:b/>
                <w:noProof/>
                <w:sz w:val="23"/>
                <w:szCs w:val="23"/>
                <w:lang w:val="sr-Cyrl-CS"/>
              </w:rPr>
              <w:t xml:space="preserve">: </w:t>
            </w:r>
            <w:r w:rsidR="00E0770C" w:rsidRPr="009F5B52">
              <w:rPr>
                <w:bCs/>
                <w:noProof/>
                <w:sz w:val="23"/>
                <w:szCs w:val="23"/>
                <w:lang w:val="sr-Cyrl-CS"/>
              </w:rPr>
              <w:t>„</w:t>
            </w:r>
            <w:r w:rsidRPr="009F5B52">
              <w:rPr>
                <w:b/>
                <w:noProof/>
                <w:sz w:val="23"/>
                <w:szCs w:val="23"/>
                <w:lang w:val="sr-Cyrl-CS"/>
              </w:rPr>
              <w:t>Подршка расту запослености”</w:t>
            </w:r>
          </w:p>
          <w:p w:rsidR="0046476F" w:rsidRPr="009F5B52" w:rsidRDefault="0046476F" w:rsidP="0047484D">
            <w:pPr>
              <w:spacing w:after="0" w:line="240" w:lineRule="auto"/>
              <w:jc w:val="left"/>
              <w:rPr>
                <w:i/>
                <w:noProof/>
                <w:sz w:val="23"/>
                <w:szCs w:val="23"/>
                <w:lang w:val="sr-Cyrl-CS"/>
              </w:rPr>
            </w:pPr>
            <w:r w:rsidRPr="009F5B52">
              <w:rPr>
                <w:i/>
                <w:noProof/>
                <w:sz w:val="23"/>
                <w:szCs w:val="23"/>
                <w:lang w:val="sr-Cyrl-CS"/>
              </w:rPr>
              <w:lastRenderedPageBreak/>
              <w:t xml:space="preserve">Мере : </w:t>
            </w:r>
          </w:p>
          <w:p w:rsidR="0046476F" w:rsidRPr="009F5B52" w:rsidRDefault="0046476F" w:rsidP="0047484D">
            <w:pPr>
              <w:pStyle w:val="ListParagraph"/>
              <w:numPr>
                <w:ilvl w:val="0"/>
                <w:numId w:val="8"/>
              </w:numPr>
              <w:spacing w:after="0" w:line="240" w:lineRule="auto"/>
              <w:jc w:val="left"/>
              <w:rPr>
                <w:noProof/>
                <w:sz w:val="23"/>
                <w:szCs w:val="23"/>
                <w:lang w:val="sr-Cyrl-CS"/>
              </w:rPr>
            </w:pPr>
            <w:r w:rsidRPr="009F5B52">
              <w:rPr>
                <w:noProof/>
                <w:sz w:val="23"/>
                <w:szCs w:val="23"/>
                <w:lang w:val="sr-Cyrl-CS"/>
              </w:rPr>
              <w:t xml:space="preserve">Унапређење програма у области запошљавања и решавање проблема незапослености и дугорочне незапослености </w:t>
            </w:r>
          </w:p>
          <w:p w:rsidR="0046476F" w:rsidRPr="009F5B52" w:rsidRDefault="0046476F" w:rsidP="0047484D">
            <w:pPr>
              <w:pStyle w:val="ListParagraph"/>
              <w:numPr>
                <w:ilvl w:val="0"/>
                <w:numId w:val="8"/>
              </w:numPr>
              <w:spacing w:after="0" w:line="240" w:lineRule="auto"/>
              <w:jc w:val="left"/>
              <w:rPr>
                <w:noProof/>
                <w:sz w:val="23"/>
                <w:szCs w:val="23"/>
                <w:lang w:val="sr-Cyrl-CS"/>
              </w:rPr>
            </w:pPr>
            <w:r w:rsidRPr="009F5B52">
              <w:rPr>
                <w:noProof/>
                <w:sz w:val="23"/>
                <w:szCs w:val="23"/>
                <w:lang w:val="sr-Cyrl-CS"/>
              </w:rPr>
              <w:t xml:space="preserve">Унапређење </w:t>
            </w:r>
            <w:r w:rsidR="00F00950" w:rsidRPr="009F5B52">
              <w:rPr>
                <w:noProof/>
                <w:sz w:val="23"/>
                <w:szCs w:val="23"/>
                <w:lang w:val="sr-Cyrl-CS"/>
              </w:rPr>
              <w:t>стварања и одрживости радних места</w:t>
            </w:r>
            <w:r w:rsidRPr="009F5B52">
              <w:rPr>
                <w:noProof/>
                <w:sz w:val="23"/>
                <w:szCs w:val="23"/>
                <w:lang w:val="sr-Cyrl-CS"/>
              </w:rPr>
              <w:t xml:space="preserve"> путем повећане прилагодљивости радника, предузећа и подстицањ</w:t>
            </w:r>
            <w:r w:rsidR="00F00950" w:rsidRPr="009F5B52">
              <w:rPr>
                <w:noProof/>
                <w:sz w:val="23"/>
                <w:szCs w:val="23"/>
                <w:lang w:val="sr-Cyrl-CS"/>
              </w:rPr>
              <w:t>а</w:t>
            </w:r>
            <w:r w:rsidRPr="009F5B52">
              <w:rPr>
                <w:noProof/>
                <w:sz w:val="23"/>
                <w:szCs w:val="23"/>
                <w:lang w:val="sr-Cyrl-CS"/>
              </w:rPr>
              <w:t xml:space="preserve"> предузетништва</w:t>
            </w:r>
          </w:p>
          <w:p w:rsidR="0046476F" w:rsidRPr="009F5B52" w:rsidRDefault="0046476F" w:rsidP="0047484D">
            <w:pPr>
              <w:pStyle w:val="ListParagraph"/>
              <w:spacing w:after="0" w:line="240" w:lineRule="auto"/>
              <w:jc w:val="left"/>
              <w:rPr>
                <w:noProof/>
                <w:sz w:val="23"/>
                <w:szCs w:val="23"/>
                <w:lang w:val="sr-Cyrl-CS"/>
              </w:rPr>
            </w:pPr>
          </w:p>
        </w:tc>
        <w:tc>
          <w:tcPr>
            <w:tcW w:w="3105" w:type="dxa"/>
          </w:tcPr>
          <w:p w:rsidR="0046476F" w:rsidRPr="009F5B52" w:rsidRDefault="00F00950" w:rsidP="00F00950">
            <w:pPr>
              <w:spacing w:after="0" w:line="240" w:lineRule="auto"/>
              <w:jc w:val="left"/>
              <w:rPr>
                <w:noProof/>
                <w:sz w:val="23"/>
                <w:szCs w:val="23"/>
                <w:lang w:val="sr-Cyrl-CS"/>
              </w:rPr>
            </w:pPr>
            <w:r w:rsidRPr="009F5B52">
              <w:rPr>
                <w:noProof/>
                <w:sz w:val="23"/>
                <w:szCs w:val="23"/>
                <w:lang w:val="sr-Cyrl-CS"/>
              </w:rPr>
              <w:lastRenderedPageBreak/>
              <w:t xml:space="preserve">Извршна агенција за </w:t>
            </w:r>
            <w:r w:rsidRPr="009F5B52">
              <w:rPr>
                <w:noProof/>
                <w:sz w:val="23"/>
                <w:szCs w:val="23"/>
                <w:lang w:val="sr-Cyrl-CS"/>
              </w:rPr>
              <w:lastRenderedPageBreak/>
              <w:t xml:space="preserve">социјална питања </w:t>
            </w:r>
            <w:r w:rsidR="0046476F" w:rsidRPr="009F5B52">
              <w:rPr>
                <w:noProof/>
                <w:sz w:val="23"/>
                <w:szCs w:val="23"/>
                <w:lang w:val="sr-Cyrl-CS"/>
              </w:rPr>
              <w:t>(</w:t>
            </w:r>
            <w:r w:rsidRPr="009F5B52">
              <w:rPr>
                <w:noProof/>
                <w:sz w:val="23"/>
                <w:szCs w:val="23"/>
                <w:lang w:val="sr-Cyrl-CS"/>
              </w:rPr>
              <w:t>ИАСП</w:t>
            </w:r>
            <w:r w:rsidR="0046476F" w:rsidRPr="009F5B52">
              <w:rPr>
                <w:noProof/>
                <w:sz w:val="23"/>
                <w:szCs w:val="23"/>
                <w:lang w:val="sr-Cyrl-CS"/>
              </w:rPr>
              <w:t xml:space="preserve">) добила је одређене надлежности од </w:t>
            </w:r>
            <w:r w:rsidRPr="009F5B52">
              <w:rPr>
                <w:noProof/>
                <w:sz w:val="23"/>
                <w:szCs w:val="23"/>
                <w:lang w:val="sr-Cyrl-CS"/>
              </w:rPr>
              <w:t>тела за управљање</w:t>
            </w:r>
          </w:p>
        </w:tc>
      </w:tr>
      <w:tr w:rsidR="0046476F" w:rsidRPr="008365F6" w:rsidTr="009E100B">
        <w:trPr>
          <w:trHeight w:val="430"/>
        </w:trPr>
        <w:tc>
          <w:tcPr>
            <w:tcW w:w="6138" w:type="dxa"/>
          </w:tcPr>
          <w:p w:rsidR="0046476F" w:rsidRPr="009F5B52" w:rsidRDefault="0046476F" w:rsidP="0047484D">
            <w:pPr>
              <w:spacing w:after="0" w:line="240" w:lineRule="auto"/>
              <w:jc w:val="left"/>
              <w:rPr>
                <w:b/>
                <w:noProof/>
                <w:sz w:val="23"/>
                <w:szCs w:val="23"/>
                <w:lang w:val="sr-Cyrl-CS"/>
              </w:rPr>
            </w:pPr>
            <w:r w:rsidRPr="009F5B52">
              <w:rPr>
                <w:b/>
                <w:noProof/>
                <w:sz w:val="23"/>
                <w:szCs w:val="23"/>
                <w:lang w:val="sr-Cyrl-CS"/>
              </w:rPr>
              <w:lastRenderedPageBreak/>
              <w:t>Приоритет</w:t>
            </w:r>
            <w:r w:rsidR="00F00950" w:rsidRPr="009F5B52">
              <w:rPr>
                <w:b/>
                <w:noProof/>
                <w:sz w:val="23"/>
                <w:szCs w:val="23"/>
                <w:lang w:val="sr-Cyrl-CS"/>
              </w:rPr>
              <w:t>на оса</w:t>
            </w:r>
            <w:r w:rsidRPr="009F5B52">
              <w:rPr>
                <w:b/>
                <w:noProof/>
                <w:sz w:val="23"/>
                <w:szCs w:val="23"/>
                <w:lang w:val="sr-Cyrl-CS"/>
              </w:rPr>
              <w:t xml:space="preserve">: </w:t>
            </w:r>
            <w:r w:rsidR="00E0770C" w:rsidRPr="009F5B52">
              <w:rPr>
                <w:bCs/>
                <w:noProof/>
                <w:sz w:val="23"/>
                <w:szCs w:val="23"/>
                <w:lang w:val="sr-Cyrl-CS"/>
              </w:rPr>
              <w:t>„</w:t>
            </w:r>
            <w:r w:rsidRPr="009F5B52">
              <w:rPr>
                <w:b/>
                <w:noProof/>
                <w:sz w:val="23"/>
                <w:szCs w:val="23"/>
                <w:lang w:val="sr-Cyrl-CS"/>
              </w:rPr>
              <w:t>Подршка социјалном укључивању”</w:t>
            </w:r>
          </w:p>
          <w:p w:rsidR="0046476F" w:rsidRPr="009F5B52" w:rsidRDefault="0046476F" w:rsidP="0047484D">
            <w:pPr>
              <w:spacing w:after="0" w:line="240" w:lineRule="auto"/>
              <w:jc w:val="left"/>
              <w:rPr>
                <w:i/>
                <w:noProof/>
                <w:sz w:val="23"/>
                <w:szCs w:val="23"/>
                <w:lang w:val="sr-Cyrl-CS"/>
              </w:rPr>
            </w:pPr>
            <w:r w:rsidRPr="009F5B52">
              <w:rPr>
                <w:i/>
                <w:noProof/>
                <w:sz w:val="23"/>
                <w:szCs w:val="23"/>
                <w:lang w:val="sr-Cyrl-CS"/>
              </w:rPr>
              <w:t xml:space="preserve">Мере: </w:t>
            </w:r>
          </w:p>
          <w:p w:rsidR="0046476F" w:rsidRPr="009F5B52" w:rsidRDefault="0046476F" w:rsidP="0047484D">
            <w:pPr>
              <w:pStyle w:val="ListParagraph"/>
              <w:numPr>
                <w:ilvl w:val="0"/>
                <w:numId w:val="20"/>
              </w:numPr>
              <w:spacing w:after="0" w:line="240" w:lineRule="auto"/>
              <w:jc w:val="left"/>
              <w:rPr>
                <w:noProof/>
                <w:sz w:val="23"/>
                <w:szCs w:val="23"/>
                <w:lang w:val="sr-Cyrl-CS"/>
              </w:rPr>
            </w:pPr>
            <w:r w:rsidRPr="009F5B52">
              <w:rPr>
                <w:noProof/>
                <w:sz w:val="23"/>
                <w:szCs w:val="23"/>
                <w:lang w:val="sr-Cyrl-CS"/>
              </w:rPr>
              <w:t>Подршка социјалном укључивању особа у кој</w:t>
            </w:r>
            <w:r w:rsidR="00F00950" w:rsidRPr="009F5B52">
              <w:rPr>
                <w:noProof/>
                <w:sz w:val="23"/>
                <w:szCs w:val="23"/>
                <w:lang w:val="sr-Cyrl-CS"/>
              </w:rPr>
              <w:t>е</w:t>
            </w:r>
            <w:r w:rsidRPr="009F5B52">
              <w:rPr>
                <w:noProof/>
                <w:sz w:val="23"/>
                <w:szCs w:val="23"/>
                <w:lang w:val="sr-Cyrl-CS"/>
              </w:rPr>
              <w:t xml:space="preserve"> се налазе у ризику од социјалне искључености  или социјално искључених особа развојем услуга неге са посебном пажњом на маргинализоване ромске заједнице  </w:t>
            </w:r>
          </w:p>
          <w:p w:rsidR="0046476F" w:rsidRPr="009F5B52" w:rsidRDefault="0046476F" w:rsidP="0047484D">
            <w:pPr>
              <w:pStyle w:val="ListParagraph"/>
              <w:numPr>
                <w:ilvl w:val="0"/>
                <w:numId w:val="20"/>
              </w:numPr>
              <w:spacing w:after="0" w:line="240" w:lineRule="auto"/>
              <w:jc w:val="left"/>
              <w:rPr>
                <w:noProof/>
                <w:sz w:val="23"/>
                <w:szCs w:val="23"/>
                <w:lang w:val="sr-Cyrl-CS"/>
              </w:rPr>
            </w:pPr>
            <w:r w:rsidRPr="009F5B52">
              <w:rPr>
                <w:noProof/>
                <w:sz w:val="23"/>
                <w:szCs w:val="23"/>
                <w:lang w:val="sr-Cyrl-CS"/>
              </w:rPr>
              <w:t xml:space="preserve">Подстицање једнаких могућности у приступу тржишту рада и подршка интеграцији </w:t>
            </w:r>
            <w:r w:rsidR="00D551BF" w:rsidRPr="009F5B52">
              <w:rPr>
                <w:noProof/>
                <w:sz w:val="23"/>
                <w:szCs w:val="23"/>
                <w:lang w:val="sr-Cyrl-CS"/>
              </w:rPr>
              <w:t xml:space="preserve">социо-економски угроженог становништва </w:t>
            </w:r>
            <w:r w:rsidR="00F00950" w:rsidRPr="009F5B52">
              <w:rPr>
                <w:noProof/>
                <w:sz w:val="23"/>
                <w:szCs w:val="23"/>
                <w:lang w:val="sr-Cyrl-CS"/>
              </w:rPr>
              <w:t xml:space="preserve">на </w:t>
            </w:r>
            <w:r w:rsidRPr="009F5B52">
              <w:rPr>
                <w:noProof/>
                <w:sz w:val="23"/>
                <w:szCs w:val="23"/>
                <w:lang w:val="sr-Cyrl-CS"/>
              </w:rPr>
              <w:t>тржишт</w:t>
            </w:r>
            <w:r w:rsidR="00F00950" w:rsidRPr="009F5B52">
              <w:rPr>
                <w:noProof/>
                <w:sz w:val="23"/>
                <w:szCs w:val="23"/>
                <w:lang w:val="sr-Cyrl-CS"/>
              </w:rPr>
              <w:t>е</w:t>
            </w:r>
            <w:r w:rsidRPr="009F5B52">
              <w:rPr>
                <w:noProof/>
                <w:sz w:val="23"/>
                <w:szCs w:val="23"/>
                <w:lang w:val="sr-Cyrl-CS"/>
              </w:rPr>
              <w:t xml:space="preserve"> рада са посебном пажњом на маргинализоване ромске заједнице  </w:t>
            </w:r>
          </w:p>
          <w:p w:rsidR="0046476F" w:rsidRPr="009F5B52" w:rsidRDefault="0046476F" w:rsidP="0047484D">
            <w:pPr>
              <w:pStyle w:val="ListParagraph"/>
              <w:numPr>
                <w:ilvl w:val="0"/>
                <w:numId w:val="20"/>
              </w:numPr>
              <w:spacing w:after="0" w:line="240" w:lineRule="auto"/>
              <w:jc w:val="left"/>
              <w:rPr>
                <w:noProof/>
                <w:sz w:val="23"/>
                <w:szCs w:val="23"/>
                <w:lang w:val="sr-Cyrl-CS"/>
              </w:rPr>
            </w:pPr>
            <w:r w:rsidRPr="009F5B52">
              <w:rPr>
                <w:noProof/>
                <w:sz w:val="23"/>
                <w:szCs w:val="23"/>
                <w:lang w:val="sr-Cyrl-CS"/>
              </w:rPr>
              <w:t xml:space="preserve">Унапређење помирења радног и породичног живота и брига за малу децу </w:t>
            </w:r>
          </w:p>
          <w:p w:rsidR="0046476F" w:rsidRPr="009F5B52" w:rsidRDefault="0046476F" w:rsidP="0047484D">
            <w:pPr>
              <w:spacing w:after="0" w:line="240" w:lineRule="auto"/>
              <w:jc w:val="left"/>
              <w:rPr>
                <w:b/>
                <w:noProof/>
                <w:sz w:val="23"/>
                <w:szCs w:val="23"/>
                <w:lang w:val="sr-Cyrl-CS"/>
              </w:rPr>
            </w:pPr>
          </w:p>
        </w:tc>
        <w:tc>
          <w:tcPr>
            <w:tcW w:w="3105" w:type="dxa"/>
          </w:tcPr>
          <w:p w:rsidR="0046476F" w:rsidRPr="009F5B52" w:rsidRDefault="0046476F" w:rsidP="00F00950">
            <w:pPr>
              <w:jc w:val="left"/>
              <w:rPr>
                <w:noProof/>
                <w:sz w:val="23"/>
                <w:szCs w:val="23"/>
                <w:lang w:val="sr-Cyrl-CS"/>
              </w:rPr>
            </w:pPr>
            <w:r w:rsidRPr="009F5B52">
              <w:rPr>
                <w:b/>
                <w:noProof/>
                <w:sz w:val="23"/>
                <w:szCs w:val="23"/>
                <w:lang w:val="sr-Cyrl-CS"/>
              </w:rPr>
              <w:t>Фонд за социјални развој</w:t>
            </w:r>
            <w:r w:rsidRPr="009F5B52">
              <w:rPr>
                <w:noProof/>
                <w:sz w:val="23"/>
                <w:szCs w:val="23"/>
                <w:lang w:val="sr-Cyrl-CS"/>
              </w:rPr>
              <w:t xml:space="preserve"> (</w:t>
            </w:r>
            <w:r w:rsidR="00F00950" w:rsidRPr="009F5B52">
              <w:rPr>
                <w:noProof/>
                <w:sz w:val="23"/>
                <w:szCs w:val="23"/>
                <w:lang w:val="sr-Cyrl-CS"/>
              </w:rPr>
              <w:t>ФСР</w:t>
            </w:r>
            <w:r w:rsidRPr="009F5B52">
              <w:rPr>
                <w:noProof/>
                <w:sz w:val="23"/>
                <w:szCs w:val="23"/>
                <w:lang w:val="sr-Cyrl-CS"/>
              </w:rPr>
              <w:t xml:space="preserve">) добио је одређене надлежности од </w:t>
            </w:r>
            <w:r w:rsidR="00F00950" w:rsidRPr="009F5B52">
              <w:rPr>
                <w:noProof/>
                <w:sz w:val="23"/>
                <w:szCs w:val="23"/>
                <w:lang w:val="sr-Cyrl-CS"/>
              </w:rPr>
              <w:t>тела</w:t>
            </w:r>
            <w:r w:rsidRPr="009F5B52">
              <w:rPr>
                <w:noProof/>
                <w:sz w:val="23"/>
                <w:szCs w:val="23"/>
                <w:lang w:val="sr-Cyrl-CS"/>
              </w:rPr>
              <w:t xml:space="preserve"> за управљање</w:t>
            </w:r>
          </w:p>
        </w:tc>
      </w:tr>
      <w:tr w:rsidR="0046476F" w:rsidRPr="008365F6" w:rsidTr="009E100B">
        <w:trPr>
          <w:trHeight w:val="430"/>
        </w:trPr>
        <w:tc>
          <w:tcPr>
            <w:tcW w:w="6138" w:type="dxa"/>
          </w:tcPr>
          <w:p w:rsidR="0046476F" w:rsidRPr="009F5B52" w:rsidRDefault="0046476F" w:rsidP="0047484D">
            <w:pPr>
              <w:spacing w:line="240" w:lineRule="auto"/>
              <w:jc w:val="left"/>
              <w:rPr>
                <w:b/>
                <w:noProof/>
                <w:sz w:val="23"/>
                <w:szCs w:val="23"/>
                <w:lang w:val="sr-Cyrl-CS"/>
              </w:rPr>
            </w:pPr>
            <w:r w:rsidRPr="009F5B52">
              <w:rPr>
                <w:b/>
                <w:noProof/>
                <w:sz w:val="23"/>
                <w:szCs w:val="23"/>
                <w:lang w:val="sr-Cyrl-CS"/>
              </w:rPr>
              <w:t>Приоритет</w:t>
            </w:r>
            <w:r w:rsidR="00F00950" w:rsidRPr="009F5B52">
              <w:rPr>
                <w:b/>
                <w:noProof/>
                <w:sz w:val="23"/>
                <w:szCs w:val="23"/>
                <w:lang w:val="sr-Cyrl-CS"/>
              </w:rPr>
              <w:t>на оса</w:t>
            </w:r>
            <w:r w:rsidRPr="009F5B52">
              <w:rPr>
                <w:b/>
                <w:noProof/>
                <w:sz w:val="23"/>
                <w:szCs w:val="23"/>
                <w:lang w:val="sr-Cyrl-CS"/>
              </w:rPr>
              <w:t xml:space="preserve">: </w:t>
            </w:r>
            <w:r w:rsidR="00E0770C" w:rsidRPr="009F5B52">
              <w:rPr>
                <w:bCs/>
                <w:noProof/>
                <w:sz w:val="23"/>
                <w:szCs w:val="23"/>
                <w:lang w:val="sr-Cyrl-CS"/>
              </w:rPr>
              <w:t>„</w:t>
            </w:r>
            <w:r w:rsidRPr="009F5B52">
              <w:rPr>
                <w:b/>
                <w:noProof/>
                <w:sz w:val="23"/>
                <w:szCs w:val="23"/>
                <w:lang w:val="sr-Cyrl-CS"/>
              </w:rPr>
              <w:t>Подршка запошљавању, социјалном укључивању и изградњи капацитета у Самоуправно</w:t>
            </w:r>
            <w:r w:rsidR="00524D83" w:rsidRPr="009F5B52">
              <w:rPr>
                <w:b/>
                <w:noProof/>
                <w:sz w:val="23"/>
                <w:szCs w:val="23"/>
                <w:lang w:val="sr-Cyrl-CS"/>
              </w:rPr>
              <w:t>м</w:t>
            </w:r>
            <w:r w:rsidRPr="009F5B52">
              <w:rPr>
                <w:b/>
                <w:noProof/>
                <w:sz w:val="23"/>
                <w:szCs w:val="23"/>
                <w:lang w:val="sr-Cyrl-CS"/>
              </w:rPr>
              <w:t xml:space="preserve"> региону Братислава (СР</w:t>
            </w:r>
            <w:r w:rsidR="00524D83" w:rsidRPr="009F5B52">
              <w:rPr>
                <w:b/>
                <w:noProof/>
                <w:sz w:val="23"/>
                <w:szCs w:val="23"/>
                <w:lang w:val="sr-Cyrl-CS"/>
              </w:rPr>
              <w:t>Б</w:t>
            </w:r>
            <w:r w:rsidRPr="009F5B52">
              <w:rPr>
                <w:b/>
                <w:noProof/>
                <w:sz w:val="23"/>
                <w:szCs w:val="23"/>
                <w:lang w:val="sr-Cyrl-CS"/>
              </w:rPr>
              <w:t>)”</w:t>
            </w:r>
          </w:p>
          <w:p w:rsidR="0046476F" w:rsidRPr="009F5B52" w:rsidRDefault="0046476F" w:rsidP="0047484D">
            <w:pPr>
              <w:spacing w:after="0" w:line="240" w:lineRule="auto"/>
              <w:jc w:val="left"/>
              <w:rPr>
                <w:b/>
                <w:i/>
                <w:noProof/>
                <w:sz w:val="23"/>
                <w:szCs w:val="23"/>
                <w:lang w:val="sr-Cyrl-CS"/>
              </w:rPr>
            </w:pPr>
            <w:r w:rsidRPr="009F5B52">
              <w:rPr>
                <w:i/>
                <w:noProof/>
                <w:sz w:val="23"/>
                <w:szCs w:val="23"/>
                <w:lang w:val="sr-Cyrl-CS"/>
              </w:rPr>
              <w:t>Мере:</w:t>
            </w:r>
          </w:p>
          <w:p w:rsidR="0046476F" w:rsidRPr="009F5B52" w:rsidRDefault="0046476F" w:rsidP="0047484D">
            <w:pPr>
              <w:pStyle w:val="ListParagraph"/>
              <w:numPr>
                <w:ilvl w:val="0"/>
                <w:numId w:val="21"/>
              </w:numPr>
              <w:jc w:val="left"/>
              <w:rPr>
                <w:b/>
                <w:noProof/>
                <w:sz w:val="23"/>
                <w:szCs w:val="23"/>
                <w:lang w:val="sr-Cyrl-CS"/>
              </w:rPr>
            </w:pPr>
            <w:r w:rsidRPr="009F5B52">
              <w:rPr>
                <w:noProof/>
                <w:sz w:val="23"/>
                <w:szCs w:val="23"/>
                <w:lang w:val="sr-Cyrl-CS"/>
              </w:rPr>
              <w:t>Подстицање раста запослености и побољшање запошљивости са посебном пажњом на друштво засновано на знању</w:t>
            </w:r>
          </w:p>
          <w:p w:rsidR="0046476F" w:rsidRPr="009F5B52" w:rsidRDefault="0046476F" w:rsidP="00524D83">
            <w:pPr>
              <w:pStyle w:val="ListParagraph"/>
              <w:numPr>
                <w:ilvl w:val="0"/>
                <w:numId w:val="21"/>
              </w:numPr>
              <w:jc w:val="left"/>
              <w:rPr>
                <w:b/>
                <w:noProof/>
                <w:sz w:val="23"/>
                <w:szCs w:val="23"/>
                <w:lang w:val="sr-Cyrl-CS"/>
              </w:rPr>
            </w:pPr>
            <w:r w:rsidRPr="009F5B52">
              <w:rPr>
                <w:noProof/>
                <w:sz w:val="23"/>
                <w:szCs w:val="23"/>
                <w:lang w:val="sr-Cyrl-CS"/>
              </w:rPr>
              <w:t>Подстицање социјалног укључивања и родне равноправности и помирењ</w:t>
            </w:r>
            <w:r w:rsidR="00524D83" w:rsidRPr="009F5B52">
              <w:rPr>
                <w:noProof/>
                <w:sz w:val="23"/>
                <w:szCs w:val="23"/>
                <w:lang w:val="sr-Cyrl-CS"/>
              </w:rPr>
              <w:t xml:space="preserve">а радног и породичног живота у </w:t>
            </w:r>
            <w:r w:rsidRPr="009F5B52">
              <w:rPr>
                <w:noProof/>
                <w:sz w:val="23"/>
                <w:szCs w:val="23"/>
                <w:lang w:val="sr-Cyrl-CS"/>
              </w:rPr>
              <w:t>СР</w:t>
            </w:r>
            <w:r w:rsidR="00524D83" w:rsidRPr="009F5B52">
              <w:rPr>
                <w:noProof/>
                <w:sz w:val="23"/>
                <w:szCs w:val="23"/>
                <w:lang w:val="sr-Cyrl-CS"/>
              </w:rPr>
              <w:t>Б</w:t>
            </w:r>
          </w:p>
        </w:tc>
        <w:tc>
          <w:tcPr>
            <w:tcW w:w="3105" w:type="dxa"/>
          </w:tcPr>
          <w:p w:rsidR="0046476F" w:rsidRPr="009F5B52" w:rsidRDefault="0046476F" w:rsidP="00F00950">
            <w:pPr>
              <w:spacing w:after="0" w:line="240" w:lineRule="auto"/>
              <w:jc w:val="left"/>
              <w:rPr>
                <w:noProof/>
                <w:sz w:val="23"/>
                <w:szCs w:val="23"/>
                <w:lang w:val="sr-Cyrl-CS"/>
              </w:rPr>
            </w:pPr>
            <w:r w:rsidRPr="009F5B52">
              <w:rPr>
                <w:b/>
                <w:noProof/>
                <w:sz w:val="23"/>
                <w:szCs w:val="23"/>
                <w:lang w:val="sr-Cyrl-CS"/>
              </w:rPr>
              <w:t>Фонд за социјални развој</w:t>
            </w:r>
            <w:r w:rsidRPr="009F5B52">
              <w:rPr>
                <w:noProof/>
                <w:sz w:val="23"/>
                <w:szCs w:val="23"/>
                <w:lang w:val="sr-Cyrl-CS"/>
              </w:rPr>
              <w:t xml:space="preserve"> (</w:t>
            </w:r>
            <w:r w:rsidR="00F00950" w:rsidRPr="009F5B52">
              <w:rPr>
                <w:noProof/>
                <w:sz w:val="23"/>
                <w:szCs w:val="23"/>
                <w:lang w:val="sr-Cyrl-CS"/>
              </w:rPr>
              <w:t>ФСР</w:t>
            </w:r>
            <w:r w:rsidRPr="009F5B52">
              <w:rPr>
                <w:noProof/>
                <w:sz w:val="23"/>
                <w:szCs w:val="23"/>
                <w:lang w:val="sr-Cyrl-CS"/>
              </w:rPr>
              <w:t xml:space="preserve">) добио је одређене надлежности од </w:t>
            </w:r>
            <w:r w:rsidR="00F00950" w:rsidRPr="009F5B52">
              <w:rPr>
                <w:noProof/>
                <w:sz w:val="23"/>
                <w:szCs w:val="23"/>
                <w:lang w:val="sr-Cyrl-CS"/>
              </w:rPr>
              <w:t>тела</w:t>
            </w:r>
            <w:r w:rsidRPr="009F5B52">
              <w:rPr>
                <w:noProof/>
                <w:sz w:val="23"/>
                <w:szCs w:val="23"/>
                <w:lang w:val="sr-Cyrl-CS"/>
              </w:rPr>
              <w:t xml:space="preserve"> за управљање</w:t>
            </w:r>
          </w:p>
        </w:tc>
      </w:tr>
    </w:tbl>
    <w:p w:rsidR="0046476F" w:rsidRPr="009F5B52" w:rsidRDefault="008D62BD" w:rsidP="0046476F">
      <w:pPr>
        <w:pStyle w:val="Heading3"/>
        <w:rPr>
          <w:noProof/>
          <w:lang w:val="sr-Cyrl-CS"/>
        </w:rPr>
      </w:pPr>
      <w:bookmarkStart w:id="46" w:name="_Toc327447122"/>
      <w:bookmarkStart w:id="47" w:name="_Toc330562310"/>
      <w:r w:rsidRPr="009F5B52">
        <w:rPr>
          <w:noProof/>
          <w:lang w:val="sr-Cyrl-CS"/>
        </w:rPr>
        <w:t>2</w:t>
      </w:r>
      <w:r w:rsidR="0046476F" w:rsidRPr="009F5B52">
        <w:rPr>
          <w:noProof/>
          <w:lang w:val="sr-Cyrl-CS"/>
        </w:rPr>
        <w:t xml:space="preserve">.4.2. </w:t>
      </w:r>
      <w:bookmarkEnd w:id="46"/>
      <w:r w:rsidR="0046476F" w:rsidRPr="009F5B52">
        <w:rPr>
          <w:noProof/>
          <w:lang w:val="sr-Cyrl-CS"/>
        </w:rPr>
        <w:t>Бугарска</w:t>
      </w:r>
      <w:bookmarkEnd w:id="47"/>
    </w:p>
    <w:p w:rsidR="0046476F" w:rsidRPr="009F5B52" w:rsidRDefault="0046476F" w:rsidP="0046476F">
      <w:pPr>
        <w:spacing w:after="0"/>
        <w:rPr>
          <w:noProof/>
          <w:lang w:val="sr-Cyrl-CS"/>
        </w:rPr>
      </w:pPr>
      <w:r w:rsidRPr="009F5B52">
        <w:rPr>
          <w:noProof/>
          <w:szCs w:val="24"/>
          <w:lang w:val="sr-Cyrl-CS"/>
        </w:rPr>
        <w:t xml:space="preserve">У текућем програмском периоду (2007-2013) алокација из Европског социјалног фонда за Оперативни програм </w:t>
      </w:r>
      <w:r w:rsidR="00E0770C" w:rsidRPr="009F5B52">
        <w:rPr>
          <w:bCs/>
          <w:noProof/>
          <w:szCs w:val="24"/>
          <w:lang w:val="sr-Cyrl-CS"/>
        </w:rPr>
        <w:t>„</w:t>
      </w:r>
      <w:r w:rsidRPr="009F5B52">
        <w:rPr>
          <w:noProof/>
          <w:szCs w:val="24"/>
          <w:lang w:val="sr-Cyrl-CS"/>
        </w:rPr>
        <w:t>Развој људских ресурса” износи 1</w:t>
      </w:r>
      <w:r w:rsidR="00524D83" w:rsidRPr="009F5B52">
        <w:rPr>
          <w:noProof/>
          <w:szCs w:val="24"/>
          <w:lang w:val="sr-Cyrl-CS"/>
        </w:rPr>
        <w:t>.</w:t>
      </w:r>
      <w:r w:rsidRPr="009F5B52">
        <w:rPr>
          <w:noProof/>
          <w:szCs w:val="24"/>
          <w:lang w:val="sr-Cyrl-CS"/>
        </w:rPr>
        <w:t>031 милион евра.</w:t>
      </w:r>
      <w:r w:rsidRPr="009F5B52">
        <w:rPr>
          <w:b/>
          <w:noProof/>
          <w:szCs w:val="24"/>
          <w:lang w:val="sr-Cyrl-CS"/>
        </w:rPr>
        <w:t xml:space="preserve"> </w:t>
      </w:r>
      <w:r w:rsidRPr="009F5B52">
        <w:rPr>
          <w:noProof/>
          <w:szCs w:val="24"/>
          <w:lang w:val="sr-Cyrl-CS"/>
        </w:rPr>
        <w:t xml:space="preserve">Министарство за рад и социјалну политику служи као </w:t>
      </w:r>
      <w:r w:rsidR="00524D83" w:rsidRPr="009F5B52">
        <w:rPr>
          <w:noProof/>
          <w:szCs w:val="24"/>
          <w:lang w:val="sr-Cyrl-CS"/>
        </w:rPr>
        <w:t>тело за управљање</w:t>
      </w:r>
      <w:r w:rsidRPr="009F5B52">
        <w:rPr>
          <w:noProof/>
          <w:szCs w:val="24"/>
          <w:lang w:val="sr-Cyrl-CS"/>
        </w:rPr>
        <w:t xml:space="preserve"> Оперативног програма. Постоје три </w:t>
      </w:r>
      <w:r w:rsidR="00524D83" w:rsidRPr="009F5B52">
        <w:rPr>
          <w:noProof/>
          <w:szCs w:val="24"/>
          <w:lang w:val="sr-Cyrl-CS"/>
        </w:rPr>
        <w:t>п</w:t>
      </w:r>
      <w:r w:rsidRPr="009F5B52">
        <w:rPr>
          <w:noProof/>
          <w:szCs w:val="24"/>
          <w:lang w:val="sr-Cyrl-CS"/>
        </w:rPr>
        <w:t xml:space="preserve">осредничка </w:t>
      </w:r>
      <w:r w:rsidR="00DD508E" w:rsidRPr="009F5B52">
        <w:rPr>
          <w:noProof/>
          <w:szCs w:val="24"/>
          <w:lang w:val="sr-Cyrl-CS"/>
        </w:rPr>
        <w:t>тела</w:t>
      </w:r>
      <w:r w:rsidRPr="009F5B52">
        <w:rPr>
          <w:noProof/>
          <w:szCs w:val="24"/>
          <w:lang w:val="sr-Cyrl-CS"/>
        </w:rPr>
        <w:t xml:space="preserve"> ОП</w:t>
      </w:r>
      <w:r w:rsidRPr="009F5B52">
        <w:rPr>
          <w:noProof/>
          <w:lang w:val="sr-Cyrl-CS"/>
        </w:rPr>
        <w:t>.</w:t>
      </w:r>
    </w:p>
    <w:p w:rsidR="009E100B" w:rsidRPr="009F5B52" w:rsidRDefault="009E100B" w:rsidP="0046476F">
      <w:pPr>
        <w:spacing w:after="0"/>
        <w:rPr>
          <w:b/>
          <w:noProof/>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3"/>
        <w:gridCol w:w="4040"/>
      </w:tblGrid>
      <w:tr w:rsidR="0046476F" w:rsidRPr="009F5B52" w:rsidTr="0046476F">
        <w:trPr>
          <w:trHeight w:val="296"/>
        </w:trPr>
        <w:tc>
          <w:tcPr>
            <w:tcW w:w="5203" w:type="dxa"/>
          </w:tcPr>
          <w:p w:rsidR="0046476F" w:rsidRPr="009F5B52" w:rsidRDefault="0046476F" w:rsidP="0046476F">
            <w:pPr>
              <w:jc w:val="center"/>
              <w:rPr>
                <w:b/>
                <w:noProof/>
                <w:sz w:val="23"/>
                <w:szCs w:val="23"/>
                <w:lang w:val="sr-Cyrl-CS"/>
              </w:rPr>
            </w:pPr>
            <w:r w:rsidRPr="009F5B52">
              <w:rPr>
                <w:b/>
                <w:noProof/>
                <w:sz w:val="23"/>
                <w:szCs w:val="23"/>
                <w:lang w:val="sr-Cyrl-CS"/>
              </w:rPr>
              <w:t xml:space="preserve">Оперативни програм </w:t>
            </w:r>
            <w:r w:rsidR="00E0770C" w:rsidRPr="009F5B52">
              <w:rPr>
                <w:b/>
                <w:noProof/>
                <w:sz w:val="23"/>
                <w:szCs w:val="23"/>
                <w:lang w:val="sr-Cyrl-CS"/>
              </w:rPr>
              <w:t>“</w:t>
            </w:r>
            <w:r w:rsidRPr="009F5B52">
              <w:rPr>
                <w:b/>
                <w:noProof/>
                <w:sz w:val="23"/>
                <w:szCs w:val="23"/>
                <w:lang w:val="sr-Cyrl-CS"/>
              </w:rPr>
              <w:t>Развој људских ресурса”</w:t>
            </w:r>
          </w:p>
        </w:tc>
        <w:tc>
          <w:tcPr>
            <w:tcW w:w="4040" w:type="dxa"/>
          </w:tcPr>
          <w:p w:rsidR="0046476F" w:rsidRPr="009F5B52" w:rsidRDefault="0046476F" w:rsidP="00DD508E">
            <w:pPr>
              <w:jc w:val="center"/>
              <w:rPr>
                <w:b/>
                <w:noProof/>
                <w:sz w:val="23"/>
                <w:szCs w:val="23"/>
                <w:lang w:val="sr-Cyrl-CS"/>
              </w:rPr>
            </w:pPr>
            <w:r w:rsidRPr="009F5B52">
              <w:rPr>
                <w:b/>
                <w:noProof/>
                <w:sz w:val="23"/>
                <w:szCs w:val="23"/>
                <w:lang w:val="sr-Cyrl-CS"/>
              </w:rPr>
              <w:t>Посредничк</w:t>
            </w:r>
            <w:r w:rsidR="00DD508E" w:rsidRPr="009F5B52">
              <w:rPr>
                <w:b/>
                <w:noProof/>
                <w:sz w:val="23"/>
                <w:szCs w:val="23"/>
                <w:lang w:val="sr-Cyrl-CS"/>
              </w:rPr>
              <w:t>о</w:t>
            </w:r>
            <w:r w:rsidRPr="009F5B52">
              <w:rPr>
                <w:b/>
                <w:noProof/>
                <w:sz w:val="23"/>
                <w:szCs w:val="23"/>
                <w:lang w:val="sr-Cyrl-CS"/>
              </w:rPr>
              <w:t xml:space="preserve"> </w:t>
            </w:r>
            <w:r w:rsidR="00DD508E" w:rsidRPr="009F5B52">
              <w:rPr>
                <w:b/>
                <w:noProof/>
                <w:sz w:val="23"/>
                <w:szCs w:val="23"/>
                <w:lang w:val="sr-Cyrl-CS"/>
              </w:rPr>
              <w:t>тело</w:t>
            </w:r>
          </w:p>
        </w:tc>
      </w:tr>
      <w:tr w:rsidR="0046476F" w:rsidRPr="009F5B52" w:rsidTr="0046476F">
        <w:trPr>
          <w:trHeight w:val="430"/>
        </w:trPr>
        <w:tc>
          <w:tcPr>
            <w:tcW w:w="5203" w:type="dxa"/>
          </w:tcPr>
          <w:p w:rsidR="0046476F" w:rsidRPr="009F5B52" w:rsidRDefault="0046476F" w:rsidP="0047484D">
            <w:pPr>
              <w:spacing w:after="0" w:line="240" w:lineRule="auto"/>
              <w:jc w:val="left"/>
              <w:rPr>
                <w:b/>
                <w:noProof/>
                <w:sz w:val="23"/>
                <w:szCs w:val="23"/>
                <w:lang w:val="sr-Cyrl-CS"/>
              </w:rPr>
            </w:pPr>
            <w:r w:rsidRPr="009F5B52">
              <w:rPr>
                <w:b/>
                <w:noProof/>
                <w:sz w:val="23"/>
                <w:szCs w:val="23"/>
                <w:lang w:val="sr-Cyrl-CS"/>
              </w:rPr>
              <w:t>Приоритет</w:t>
            </w:r>
            <w:r w:rsidR="00524D83" w:rsidRPr="009F5B52">
              <w:rPr>
                <w:b/>
                <w:noProof/>
                <w:sz w:val="23"/>
                <w:szCs w:val="23"/>
                <w:lang w:val="sr-Cyrl-CS"/>
              </w:rPr>
              <w:t>на оса</w:t>
            </w:r>
            <w:r w:rsidRPr="009F5B52">
              <w:rPr>
                <w:b/>
                <w:noProof/>
                <w:sz w:val="23"/>
                <w:szCs w:val="23"/>
                <w:lang w:val="sr-Cyrl-CS"/>
              </w:rPr>
              <w:t xml:space="preserve">: </w:t>
            </w:r>
            <w:r w:rsidR="00E0770C" w:rsidRPr="009F5B52">
              <w:rPr>
                <w:bCs/>
                <w:noProof/>
                <w:sz w:val="23"/>
                <w:szCs w:val="23"/>
                <w:lang w:val="sr-Cyrl-CS"/>
              </w:rPr>
              <w:t>„</w:t>
            </w:r>
            <w:r w:rsidRPr="009F5B52">
              <w:rPr>
                <w:noProof/>
                <w:sz w:val="23"/>
                <w:szCs w:val="23"/>
                <w:lang w:val="sr-Cyrl-CS"/>
              </w:rPr>
              <w:t xml:space="preserve">Унапређење привредне </w:t>
            </w:r>
            <w:r w:rsidRPr="009F5B52">
              <w:rPr>
                <w:noProof/>
                <w:sz w:val="23"/>
                <w:szCs w:val="23"/>
                <w:lang w:val="sr-Cyrl-CS"/>
              </w:rPr>
              <w:lastRenderedPageBreak/>
              <w:t>активности и развој инклузивног тржишта рада”</w:t>
            </w:r>
          </w:p>
          <w:p w:rsidR="0046476F" w:rsidRPr="009F5B52" w:rsidRDefault="0046476F" w:rsidP="0047484D">
            <w:pPr>
              <w:spacing w:after="0" w:line="240" w:lineRule="auto"/>
              <w:jc w:val="left"/>
              <w:rPr>
                <w:b/>
                <w:noProof/>
                <w:sz w:val="23"/>
                <w:szCs w:val="23"/>
                <w:lang w:val="sr-Cyrl-CS"/>
              </w:rPr>
            </w:pPr>
          </w:p>
          <w:p w:rsidR="0046476F" w:rsidRPr="009F5B52" w:rsidRDefault="0046476F" w:rsidP="0047484D">
            <w:pPr>
              <w:spacing w:after="0" w:line="240" w:lineRule="auto"/>
              <w:jc w:val="left"/>
              <w:rPr>
                <w:noProof/>
                <w:sz w:val="23"/>
                <w:szCs w:val="23"/>
                <w:lang w:val="sr-Cyrl-CS"/>
              </w:rPr>
            </w:pPr>
            <w:r w:rsidRPr="009F5B52">
              <w:rPr>
                <w:b/>
                <w:noProof/>
                <w:sz w:val="23"/>
                <w:szCs w:val="23"/>
                <w:lang w:val="sr-Cyrl-CS"/>
              </w:rPr>
              <w:t>Приоритет</w:t>
            </w:r>
            <w:r w:rsidR="00524D83" w:rsidRPr="009F5B52">
              <w:rPr>
                <w:b/>
                <w:noProof/>
                <w:sz w:val="23"/>
                <w:szCs w:val="23"/>
                <w:lang w:val="sr-Cyrl-CS"/>
              </w:rPr>
              <w:t>на оса</w:t>
            </w:r>
            <w:r w:rsidRPr="009F5B52">
              <w:rPr>
                <w:b/>
                <w:noProof/>
                <w:sz w:val="23"/>
                <w:szCs w:val="23"/>
                <w:lang w:val="sr-Cyrl-CS"/>
              </w:rPr>
              <w:t xml:space="preserve">: </w:t>
            </w:r>
            <w:r w:rsidR="00E0770C" w:rsidRPr="009F5B52">
              <w:rPr>
                <w:bCs/>
                <w:noProof/>
                <w:sz w:val="23"/>
                <w:szCs w:val="23"/>
                <w:lang w:val="sr-Cyrl-CS"/>
              </w:rPr>
              <w:t>„</w:t>
            </w:r>
            <w:r w:rsidRPr="009F5B52">
              <w:rPr>
                <w:noProof/>
                <w:sz w:val="23"/>
                <w:szCs w:val="23"/>
                <w:lang w:val="sr-Cyrl-CS"/>
              </w:rPr>
              <w:t>Подизање нивоа продуктивности и прилагодљивости запослених”</w:t>
            </w:r>
          </w:p>
          <w:p w:rsidR="0046476F" w:rsidRPr="009F5B52" w:rsidRDefault="0046476F" w:rsidP="0047484D">
            <w:pPr>
              <w:spacing w:after="0" w:line="240" w:lineRule="auto"/>
              <w:jc w:val="left"/>
              <w:rPr>
                <w:b/>
                <w:noProof/>
                <w:sz w:val="23"/>
                <w:szCs w:val="23"/>
                <w:lang w:val="sr-Cyrl-CS"/>
              </w:rPr>
            </w:pPr>
          </w:p>
        </w:tc>
        <w:tc>
          <w:tcPr>
            <w:tcW w:w="4040" w:type="dxa"/>
          </w:tcPr>
          <w:p w:rsidR="0046476F" w:rsidRPr="009F5B52" w:rsidRDefault="0046476F" w:rsidP="00524D83">
            <w:pPr>
              <w:jc w:val="center"/>
              <w:rPr>
                <w:b/>
                <w:noProof/>
                <w:sz w:val="23"/>
                <w:szCs w:val="23"/>
                <w:lang w:val="sr-Cyrl-CS"/>
              </w:rPr>
            </w:pPr>
            <w:r w:rsidRPr="009F5B52">
              <w:rPr>
                <w:b/>
                <w:noProof/>
                <w:sz w:val="23"/>
                <w:szCs w:val="23"/>
                <w:lang w:val="sr-Cyrl-CS"/>
              </w:rPr>
              <w:lastRenderedPageBreak/>
              <w:t xml:space="preserve">Национална </w:t>
            </w:r>
            <w:r w:rsidR="00524D83" w:rsidRPr="009F5B52">
              <w:rPr>
                <w:b/>
                <w:noProof/>
                <w:sz w:val="23"/>
                <w:szCs w:val="23"/>
                <w:lang w:val="sr-Cyrl-CS"/>
              </w:rPr>
              <w:t>служба</w:t>
            </w:r>
            <w:r w:rsidRPr="009F5B52">
              <w:rPr>
                <w:b/>
                <w:noProof/>
                <w:sz w:val="23"/>
                <w:szCs w:val="23"/>
                <w:lang w:val="sr-Cyrl-CS"/>
              </w:rPr>
              <w:t xml:space="preserve"> за </w:t>
            </w:r>
            <w:r w:rsidRPr="009F5B52">
              <w:rPr>
                <w:b/>
                <w:noProof/>
                <w:sz w:val="23"/>
                <w:szCs w:val="23"/>
                <w:lang w:val="sr-Cyrl-CS"/>
              </w:rPr>
              <w:lastRenderedPageBreak/>
              <w:t>запошљавање</w:t>
            </w:r>
          </w:p>
        </w:tc>
      </w:tr>
      <w:tr w:rsidR="0046476F" w:rsidRPr="008365F6" w:rsidTr="0046476F">
        <w:trPr>
          <w:trHeight w:val="430"/>
        </w:trPr>
        <w:tc>
          <w:tcPr>
            <w:tcW w:w="5203" w:type="dxa"/>
          </w:tcPr>
          <w:p w:rsidR="0046476F" w:rsidRPr="009F5B52" w:rsidRDefault="0046476F" w:rsidP="0047484D">
            <w:pPr>
              <w:spacing w:after="0" w:line="240" w:lineRule="auto"/>
              <w:jc w:val="left"/>
              <w:rPr>
                <w:noProof/>
                <w:sz w:val="23"/>
                <w:szCs w:val="23"/>
                <w:lang w:val="sr-Cyrl-CS"/>
              </w:rPr>
            </w:pPr>
            <w:r w:rsidRPr="009F5B52">
              <w:rPr>
                <w:b/>
                <w:noProof/>
                <w:sz w:val="23"/>
                <w:szCs w:val="23"/>
                <w:lang w:val="sr-Cyrl-CS"/>
              </w:rPr>
              <w:lastRenderedPageBreak/>
              <w:t>Приоритет</w:t>
            </w:r>
            <w:r w:rsidR="00524D83" w:rsidRPr="009F5B52">
              <w:rPr>
                <w:b/>
                <w:noProof/>
                <w:sz w:val="23"/>
                <w:szCs w:val="23"/>
                <w:lang w:val="sr-Cyrl-CS"/>
              </w:rPr>
              <w:t>на оса</w:t>
            </w:r>
            <w:r w:rsidRPr="009F5B52">
              <w:rPr>
                <w:b/>
                <w:noProof/>
                <w:sz w:val="23"/>
                <w:szCs w:val="23"/>
                <w:lang w:val="sr-Cyrl-CS"/>
              </w:rPr>
              <w:t xml:space="preserve">: </w:t>
            </w:r>
            <w:r w:rsidR="00E0770C" w:rsidRPr="009F5B52">
              <w:rPr>
                <w:bCs/>
                <w:noProof/>
                <w:sz w:val="23"/>
                <w:szCs w:val="23"/>
                <w:lang w:val="sr-Cyrl-CS"/>
              </w:rPr>
              <w:t>„</w:t>
            </w:r>
            <w:r w:rsidRPr="009F5B52">
              <w:rPr>
                <w:noProof/>
                <w:sz w:val="23"/>
                <w:szCs w:val="23"/>
                <w:lang w:val="sr-Cyrl-CS"/>
              </w:rPr>
              <w:t>Унапређење квалитета образовања и обуке у складу са потребама тржишта рада за изградњу друштва заснованог на знању”</w:t>
            </w:r>
          </w:p>
          <w:p w:rsidR="0046476F" w:rsidRPr="009F5B52" w:rsidRDefault="0046476F" w:rsidP="0047484D">
            <w:pPr>
              <w:spacing w:after="0" w:line="240" w:lineRule="auto"/>
              <w:jc w:val="left"/>
              <w:rPr>
                <w:b/>
                <w:noProof/>
                <w:sz w:val="23"/>
                <w:szCs w:val="23"/>
                <w:lang w:val="sr-Cyrl-CS"/>
              </w:rPr>
            </w:pPr>
          </w:p>
          <w:p w:rsidR="0046476F" w:rsidRPr="009F5B52" w:rsidRDefault="0046476F" w:rsidP="0047484D">
            <w:pPr>
              <w:spacing w:after="0" w:line="240" w:lineRule="auto"/>
              <w:jc w:val="left"/>
              <w:rPr>
                <w:noProof/>
                <w:sz w:val="23"/>
                <w:szCs w:val="23"/>
                <w:lang w:val="sr-Cyrl-CS"/>
              </w:rPr>
            </w:pPr>
            <w:r w:rsidRPr="009F5B52">
              <w:rPr>
                <w:b/>
                <w:noProof/>
                <w:sz w:val="23"/>
                <w:szCs w:val="23"/>
                <w:lang w:val="sr-Cyrl-CS"/>
              </w:rPr>
              <w:t>Приоритет</w:t>
            </w:r>
            <w:r w:rsidR="00524D83" w:rsidRPr="009F5B52">
              <w:rPr>
                <w:b/>
                <w:noProof/>
                <w:sz w:val="23"/>
                <w:szCs w:val="23"/>
                <w:lang w:val="sr-Cyrl-CS"/>
              </w:rPr>
              <w:t>на оса</w:t>
            </w:r>
            <w:r w:rsidRPr="009F5B52">
              <w:rPr>
                <w:b/>
                <w:noProof/>
                <w:sz w:val="23"/>
                <w:szCs w:val="23"/>
                <w:lang w:val="sr-Cyrl-CS"/>
              </w:rPr>
              <w:t xml:space="preserve">: </w:t>
            </w:r>
            <w:r w:rsidR="00E0770C" w:rsidRPr="009F5B52">
              <w:rPr>
                <w:bCs/>
                <w:noProof/>
                <w:sz w:val="23"/>
                <w:szCs w:val="23"/>
                <w:lang w:val="sr-Cyrl-CS"/>
              </w:rPr>
              <w:t>„</w:t>
            </w:r>
            <w:r w:rsidRPr="009F5B52">
              <w:rPr>
                <w:noProof/>
                <w:sz w:val="23"/>
                <w:szCs w:val="23"/>
                <w:lang w:val="sr-Cyrl-CS"/>
              </w:rPr>
              <w:t>Побољшање приступа образовању и обуци”</w:t>
            </w:r>
          </w:p>
          <w:p w:rsidR="0046476F" w:rsidRPr="009F5B52" w:rsidRDefault="0046476F" w:rsidP="0047484D">
            <w:pPr>
              <w:spacing w:after="0" w:line="240" w:lineRule="auto"/>
              <w:jc w:val="left"/>
              <w:rPr>
                <w:noProof/>
                <w:sz w:val="23"/>
                <w:szCs w:val="23"/>
                <w:lang w:val="sr-Cyrl-CS"/>
              </w:rPr>
            </w:pPr>
          </w:p>
        </w:tc>
        <w:tc>
          <w:tcPr>
            <w:tcW w:w="4040" w:type="dxa"/>
          </w:tcPr>
          <w:p w:rsidR="0046476F" w:rsidRPr="009F5B52" w:rsidRDefault="0046476F" w:rsidP="0046476F">
            <w:pPr>
              <w:jc w:val="center"/>
              <w:rPr>
                <w:b/>
                <w:noProof/>
                <w:sz w:val="23"/>
                <w:szCs w:val="23"/>
                <w:lang w:val="sr-Cyrl-CS"/>
              </w:rPr>
            </w:pPr>
            <w:r w:rsidRPr="009F5B52">
              <w:rPr>
                <w:b/>
                <w:noProof/>
                <w:sz w:val="23"/>
                <w:szCs w:val="23"/>
                <w:lang w:val="sr-Cyrl-CS"/>
              </w:rPr>
              <w:t>Министарство просвете, омладине и науке</w:t>
            </w:r>
          </w:p>
        </w:tc>
      </w:tr>
      <w:tr w:rsidR="0046476F" w:rsidRPr="009F5B52" w:rsidTr="0046476F">
        <w:trPr>
          <w:trHeight w:val="430"/>
        </w:trPr>
        <w:tc>
          <w:tcPr>
            <w:tcW w:w="5203" w:type="dxa"/>
          </w:tcPr>
          <w:p w:rsidR="0046476F" w:rsidRPr="009F5B52" w:rsidRDefault="0046476F" w:rsidP="0047484D">
            <w:pPr>
              <w:spacing w:after="0" w:line="240" w:lineRule="auto"/>
              <w:jc w:val="left"/>
              <w:rPr>
                <w:b/>
                <w:noProof/>
                <w:sz w:val="23"/>
                <w:szCs w:val="23"/>
                <w:lang w:val="sr-Cyrl-CS"/>
              </w:rPr>
            </w:pPr>
            <w:r w:rsidRPr="009F5B52">
              <w:rPr>
                <w:b/>
                <w:noProof/>
                <w:sz w:val="23"/>
                <w:szCs w:val="23"/>
                <w:lang w:val="sr-Cyrl-CS"/>
              </w:rPr>
              <w:t>Приоритет</w:t>
            </w:r>
            <w:r w:rsidR="00524D83" w:rsidRPr="009F5B52">
              <w:rPr>
                <w:b/>
                <w:noProof/>
                <w:sz w:val="23"/>
                <w:szCs w:val="23"/>
                <w:lang w:val="sr-Cyrl-CS"/>
              </w:rPr>
              <w:t>на оса</w:t>
            </w:r>
            <w:r w:rsidRPr="009F5B52">
              <w:rPr>
                <w:b/>
                <w:noProof/>
                <w:sz w:val="23"/>
                <w:szCs w:val="23"/>
                <w:lang w:val="sr-Cyrl-CS"/>
              </w:rPr>
              <w:t xml:space="preserve">: </w:t>
            </w:r>
            <w:r w:rsidR="00E0770C" w:rsidRPr="009F5B52">
              <w:rPr>
                <w:bCs/>
                <w:noProof/>
                <w:sz w:val="23"/>
                <w:szCs w:val="23"/>
                <w:lang w:val="sr-Cyrl-CS"/>
              </w:rPr>
              <w:t>„</w:t>
            </w:r>
            <w:r w:rsidRPr="009F5B52">
              <w:rPr>
                <w:noProof/>
                <w:sz w:val="23"/>
                <w:szCs w:val="23"/>
                <w:lang w:val="sr-Cyrl-CS"/>
              </w:rPr>
              <w:t>Социјално укључивање и унапређење социјалне економије”</w:t>
            </w:r>
          </w:p>
          <w:p w:rsidR="0046476F" w:rsidRPr="009F5B52" w:rsidRDefault="0046476F" w:rsidP="0047484D">
            <w:pPr>
              <w:spacing w:after="0" w:line="240" w:lineRule="auto"/>
              <w:jc w:val="left"/>
              <w:rPr>
                <w:b/>
                <w:noProof/>
                <w:sz w:val="23"/>
                <w:szCs w:val="23"/>
                <w:lang w:val="sr-Cyrl-CS"/>
              </w:rPr>
            </w:pPr>
          </w:p>
          <w:p w:rsidR="0046476F" w:rsidRPr="009F5B52" w:rsidRDefault="0046476F" w:rsidP="0047484D">
            <w:pPr>
              <w:spacing w:after="0" w:line="240" w:lineRule="auto"/>
              <w:jc w:val="left"/>
              <w:rPr>
                <w:noProof/>
                <w:sz w:val="23"/>
                <w:szCs w:val="23"/>
                <w:lang w:val="sr-Cyrl-CS"/>
              </w:rPr>
            </w:pPr>
            <w:r w:rsidRPr="009F5B52">
              <w:rPr>
                <w:b/>
                <w:noProof/>
                <w:sz w:val="23"/>
                <w:szCs w:val="23"/>
                <w:lang w:val="sr-Cyrl-CS"/>
              </w:rPr>
              <w:t>Приоритет</w:t>
            </w:r>
            <w:r w:rsidR="00524D83" w:rsidRPr="009F5B52">
              <w:rPr>
                <w:b/>
                <w:noProof/>
                <w:sz w:val="23"/>
                <w:szCs w:val="23"/>
                <w:lang w:val="sr-Cyrl-CS"/>
              </w:rPr>
              <w:t>на оса</w:t>
            </w:r>
            <w:r w:rsidRPr="009F5B52">
              <w:rPr>
                <w:b/>
                <w:noProof/>
                <w:sz w:val="23"/>
                <w:szCs w:val="23"/>
                <w:lang w:val="sr-Cyrl-CS"/>
              </w:rPr>
              <w:t xml:space="preserve">: </w:t>
            </w:r>
            <w:r w:rsidR="00E0770C" w:rsidRPr="009F5B52">
              <w:rPr>
                <w:bCs/>
                <w:noProof/>
                <w:sz w:val="23"/>
                <w:szCs w:val="23"/>
                <w:lang w:val="sr-Cyrl-CS"/>
              </w:rPr>
              <w:t>„</w:t>
            </w:r>
            <w:r w:rsidRPr="009F5B52">
              <w:rPr>
                <w:noProof/>
                <w:sz w:val="23"/>
                <w:szCs w:val="23"/>
                <w:lang w:val="sr-Cyrl-CS"/>
              </w:rPr>
              <w:t xml:space="preserve">Подизање степена </w:t>
            </w:r>
            <w:r w:rsidR="00524D83" w:rsidRPr="009F5B52">
              <w:rPr>
                <w:noProof/>
                <w:sz w:val="23"/>
                <w:szCs w:val="23"/>
                <w:lang w:val="sr-Cyrl-CS"/>
              </w:rPr>
              <w:t>делотворности и</w:t>
            </w:r>
            <w:r w:rsidRPr="009F5B52">
              <w:rPr>
                <w:noProof/>
                <w:sz w:val="23"/>
                <w:szCs w:val="23"/>
                <w:lang w:val="sr-Cyrl-CS"/>
              </w:rPr>
              <w:t>нституција тржишта рада и социјалних и здравствених услуга”</w:t>
            </w:r>
          </w:p>
          <w:p w:rsidR="0046476F" w:rsidRPr="009F5B52" w:rsidRDefault="0046476F" w:rsidP="0047484D">
            <w:pPr>
              <w:spacing w:after="0" w:line="240" w:lineRule="auto"/>
              <w:jc w:val="left"/>
              <w:rPr>
                <w:noProof/>
                <w:sz w:val="23"/>
                <w:szCs w:val="23"/>
                <w:lang w:val="sr-Cyrl-CS"/>
              </w:rPr>
            </w:pPr>
          </w:p>
        </w:tc>
        <w:tc>
          <w:tcPr>
            <w:tcW w:w="4040" w:type="dxa"/>
          </w:tcPr>
          <w:p w:rsidR="0046476F" w:rsidRPr="009F5B52" w:rsidRDefault="0046476F" w:rsidP="0046476F">
            <w:pPr>
              <w:spacing w:after="0" w:line="240" w:lineRule="auto"/>
              <w:jc w:val="center"/>
              <w:rPr>
                <w:b/>
                <w:noProof/>
                <w:sz w:val="23"/>
                <w:szCs w:val="23"/>
                <w:lang w:val="sr-Cyrl-CS"/>
              </w:rPr>
            </w:pPr>
            <w:r w:rsidRPr="009F5B52">
              <w:rPr>
                <w:b/>
                <w:noProof/>
                <w:sz w:val="23"/>
                <w:szCs w:val="23"/>
                <w:lang w:val="sr-Cyrl-CS"/>
              </w:rPr>
              <w:t>Агенција за социјалну помоћ</w:t>
            </w:r>
          </w:p>
        </w:tc>
      </w:tr>
    </w:tbl>
    <w:p w:rsidR="0046476F" w:rsidRPr="009F5B52" w:rsidRDefault="008D62BD" w:rsidP="0046476F">
      <w:pPr>
        <w:pStyle w:val="Heading3"/>
        <w:rPr>
          <w:noProof/>
          <w:lang w:val="sr-Cyrl-CS"/>
        </w:rPr>
      </w:pPr>
      <w:bookmarkStart w:id="48" w:name="_Toc327447123"/>
      <w:bookmarkStart w:id="49" w:name="_Toc330562311"/>
      <w:r w:rsidRPr="009F5B52">
        <w:rPr>
          <w:noProof/>
          <w:lang w:val="sr-Cyrl-CS"/>
        </w:rPr>
        <w:t>2</w:t>
      </w:r>
      <w:r w:rsidR="0046476F" w:rsidRPr="009F5B52">
        <w:rPr>
          <w:noProof/>
          <w:lang w:val="sr-Cyrl-CS"/>
        </w:rPr>
        <w:t xml:space="preserve">.4.3. </w:t>
      </w:r>
      <w:bookmarkEnd w:id="48"/>
      <w:r w:rsidR="0046476F" w:rsidRPr="009F5B52">
        <w:rPr>
          <w:noProof/>
          <w:lang w:val="sr-Cyrl-CS"/>
        </w:rPr>
        <w:t>Хрватска</w:t>
      </w:r>
      <w:bookmarkEnd w:id="49"/>
    </w:p>
    <w:p w:rsidR="0046476F" w:rsidRPr="009F5B52" w:rsidRDefault="0046476F" w:rsidP="0046476F">
      <w:pPr>
        <w:spacing w:after="0"/>
        <w:rPr>
          <w:noProof/>
          <w:szCs w:val="24"/>
          <w:lang w:val="sr-Cyrl-CS"/>
        </w:rPr>
      </w:pPr>
      <w:r w:rsidRPr="009F5B52">
        <w:rPr>
          <w:noProof/>
          <w:szCs w:val="24"/>
          <w:lang w:val="sr-Cyrl-CS"/>
        </w:rPr>
        <w:t>У текућем програмском периоду (2007</w:t>
      </w:r>
      <w:r w:rsidR="00524D83" w:rsidRPr="009F5B52">
        <w:rPr>
          <w:noProof/>
          <w:szCs w:val="24"/>
          <w:lang w:val="sr-Cyrl-CS"/>
        </w:rPr>
        <w:t>-</w:t>
      </w:r>
      <w:r w:rsidRPr="009F5B52">
        <w:rPr>
          <w:noProof/>
          <w:szCs w:val="24"/>
          <w:lang w:val="sr-Cyrl-CS"/>
        </w:rPr>
        <w:t xml:space="preserve">2013) алокација из Европског социјалног фонда за Оперативни програм </w:t>
      </w:r>
      <w:r w:rsidR="00E0770C" w:rsidRPr="009F5B52">
        <w:rPr>
          <w:bCs/>
          <w:noProof/>
          <w:szCs w:val="24"/>
          <w:lang w:val="sr-Cyrl-CS"/>
        </w:rPr>
        <w:t>„</w:t>
      </w:r>
      <w:r w:rsidRPr="009F5B52">
        <w:rPr>
          <w:noProof/>
          <w:szCs w:val="24"/>
          <w:lang w:val="sr-Cyrl-CS"/>
        </w:rPr>
        <w:t xml:space="preserve">Развој људских ресурса” износи 69,97 милиона евра. Шеф Оперативне структуре је </w:t>
      </w:r>
      <w:r w:rsidR="00524D83" w:rsidRPr="009F5B52">
        <w:rPr>
          <w:noProof/>
          <w:szCs w:val="24"/>
          <w:lang w:val="sr-Cyrl-CS"/>
        </w:rPr>
        <w:t>д</w:t>
      </w:r>
      <w:r w:rsidRPr="009F5B52">
        <w:rPr>
          <w:noProof/>
          <w:szCs w:val="24"/>
          <w:lang w:val="sr-Cyrl-CS"/>
        </w:rPr>
        <w:t>ржавни секретар Министарства господарств</w:t>
      </w:r>
      <w:r w:rsidR="00D551BF" w:rsidRPr="009F5B52">
        <w:rPr>
          <w:noProof/>
          <w:szCs w:val="24"/>
          <w:lang w:val="sr-Cyrl-CS"/>
        </w:rPr>
        <w:t>а</w:t>
      </w:r>
      <w:r w:rsidRPr="009F5B52">
        <w:rPr>
          <w:noProof/>
          <w:szCs w:val="24"/>
          <w:lang w:val="sr-Cyrl-CS"/>
        </w:rPr>
        <w:t>, рад</w:t>
      </w:r>
      <w:r w:rsidR="00D551BF" w:rsidRPr="009F5B52">
        <w:rPr>
          <w:noProof/>
          <w:szCs w:val="24"/>
          <w:lang w:val="sr-Cyrl-CS"/>
        </w:rPr>
        <w:t>а</w:t>
      </w:r>
      <w:r w:rsidRPr="009F5B52">
        <w:rPr>
          <w:noProof/>
          <w:szCs w:val="24"/>
          <w:lang w:val="sr-Cyrl-CS"/>
        </w:rPr>
        <w:t xml:space="preserve"> и </w:t>
      </w:r>
      <w:r w:rsidR="00D551BF" w:rsidRPr="009F5B52">
        <w:rPr>
          <w:noProof/>
          <w:szCs w:val="24"/>
          <w:lang w:val="sr-Cyrl-CS"/>
        </w:rPr>
        <w:t>подузетништва</w:t>
      </w:r>
      <w:r w:rsidRPr="009F5B52">
        <w:rPr>
          <w:noProof/>
          <w:szCs w:val="24"/>
          <w:lang w:val="sr-Cyrl-CS"/>
        </w:rPr>
        <w:t xml:space="preserve">. Постоје два </w:t>
      </w:r>
      <w:r w:rsidR="00524D83" w:rsidRPr="009F5B52">
        <w:rPr>
          <w:noProof/>
          <w:szCs w:val="24"/>
          <w:lang w:val="sr-Cyrl-CS"/>
        </w:rPr>
        <w:t>п</w:t>
      </w:r>
      <w:r w:rsidRPr="009F5B52">
        <w:rPr>
          <w:noProof/>
          <w:szCs w:val="24"/>
          <w:lang w:val="sr-Cyrl-CS"/>
        </w:rPr>
        <w:t xml:space="preserve">осредничка </w:t>
      </w:r>
      <w:r w:rsidR="00DD508E" w:rsidRPr="009F5B52">
        <w:rPr>
          <w:noProof/>
          <w:szCs w:val="24"/>
          <w:lang w:val="sr-Cyrl-CS"/>
        </w:rPr>
        <w:t>тела</w:t>
      </w:r>
      <w:r w:rsidRPr="009F5B52">
        <w:rPr>
          <w:noProof/>
          <w:szCs w:val="24"/>
          <w:lang w:val="sr-Cyrl-CS"/>
        </w:rPr>
        <w:t xml:space="preserve"> ОП.</w:t>
      </w:r>
    </w:p>
    <w:p w:rsidR="000F16AE" w:rsidRPr="009F5B52" w:rsidRDefault="000F16AE" w:rsidP="0046476F">
      <w:pPr>
        <w:spacing w:after="0"/>
        <w:rPr>
          <w:noProof/>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3"/>
        <w:gridCol w:w="4040"/>
      </w:tblGrid>
      <w:tr w:rsidR="0046476F" w:rsidRPr="009F5B52" w:rsidTr="0046476F">
        <w:trPr>
          <w:trHeight w:val="296"/>
        </w:trPr>
        <w:tc>
          <w:tcPr>
            <w:tcW w:w="5203" w:type="dxa"/>
          </w:tcPr>
          <w:p w:rsidR="0046476F" w:rsidRPr="009F5B52" w:rsidRDefault="0046476F" w:rsidP="00524D83">
            <w:pPr>
              <w:jc w:val="center"/>
              <w:rPr>
                <w:b/>
                <w:noProof/>
                <w:sz w:val="23"/>
                <w:szCs w:val="23"/>
                <w:lang w:val="sr-Cyrl-CS"/>
              </w:rPr>
            </w:pPr>
            <w:r w:rsidRPr="009F5B52">
              <w:rPr>
                <w:b/>
                <w:noProof/>
                <w:sz w:val="23"/>
                <w:szCs w:val="23"/>
                <w:lang w:val="sr-Cyrl-CS"/>
              </w:rPr>
              <w:t xml:space="preserve">ОП  Развој људских </w:t>
            </w:r>
            <w:r w:rsidR="00524D83" w:rsidRPr="009F5B52">
              <w:rPr>
                <w:b/>
                <w:noProof/>
                <w:sz w:val="23"/>
                <w:szCs w:val="23"/>
                <w:lang w:val="sr-Cyrl-CS"/>
              </w:rPr>
              <w:t>ресурса</w:t>
            </w:r>
          </w:p>
        </w:tc>
        <w:tc>
          <w:tcPr>
            <w:tcW w:w="4040" w:type="dxa"/>
          </w:tcPr>
          <w:p w:rsidR="0046476F" w:rsidRPr="009F5B52" w:rsidRDefault="0046476F" w:rsidP="00DD508E">
            <w:pPr>
              <w:jc w:val="center"/>
              <w:rPr>
                <w:b/>
                <w:noProof/>
                <w:sz w:val="23"/>
                <w:szCs w:val="23"/>
                <w:lang w:val="sr-Cyrl-CS"/>
              </w:rPr>
            </w:pPr>
            <w:r w:rsidRPr="009F5B52">
              <w:rPr>
                <w:b/>
                <w:noProof/>
                <w:sz w:val="23"/>
                <w:szCs w:val="23"/>
                <w:lang w:val="sr-Cyrl-CS"/>
              </w:rPr>
              <w:t>Посредничк</w:t>
            </w:r>
            <w:r w:rsidR="00DD508E" w:rsidRPr="009F5B52">
              <w:rPr>
                <w:b/>
                <w:noProof/>
                <w:sz w:val="23"/>
                <w:szCs w:val="23"/>
                <w:lang w:val="sr-Cyrl-CS"/>
              </w:rPr>
              <w:t>о</w:t>
            </w:r>
            <w:r w:rsidRPr="009F5B52">
              <w:rPr>
                <w:b/>
                <w:noProof/>
                <w:sz w:val="23"/>
                <w:szCs w:val="23"/>
                <w:lang w:val="sr-Cyrl-CS"/>
              </w:rPr>
              <w:t xml:space="preserve"> </w:t>
            </w:r>
            <w:r w:rsidR="00DD508E" w:rsidRPr="009F5B52">
              <w:rPr>
                <w:b/>
                <w:noProof/>
                <w:sz w:val="23"/>
                <w:szCs w:val="23"/>
                <w:lang w:val="sr-Cyrl-CS"/>
              </w:rPr>
              <w:t>тело</w:t>
            </w:r>
          </w:p>
        </w:tc>
      </w:tr>
      <w:tr w:rsidR="0046476F" w:rsidRPr="009F5B52" w:rsidTr="0046476F">
        <w:trPr>
          <w:trHeight w:val="430"/>
        </w:trPr>
        <w:tc>
          <w:tcPr>
            <w:tcW w:w="5203" w:type="dxa"/>
          </w:tcPr>
          <w:p w:rsidR="0046476F" w:rsidRPr="009F5B52" w:rsidRDefault="0046476F" w:rsidP="0047484D">
            <w:pPr>
              <w:spacing w:after="0" w:line="240" w:lineRule="auto"/>
              <w:jc w:val="left"/>
              <w:rPr>
                <w:b/>
                <w:noProof/>
                <w:sz w:val="23"/>
                <w:szCs w:val="23"/>
                <w:lang w:val="sr-Cyrl-CS"/>
              </w:rPr>
            </w:pPr>
            <w:r w:rsidRPr="009F5B52">
              <w:rPr>
                <w:b/>
                <w:noProof/>
                <w:sz w:val="23"/>
                <w:szCs w:val="23"/>
                <w:lang w:val="sr-Cyrl-CS"/>
              </w:rPr>
              <w:t>Приоритет</w:t>
            </w:r>
            <w:r w:rsidR="00524D83" w:rsidRPr="009F5B52">
              <w:rPr>
                <w:b/>
                <w:noProof/>
                <w:sz w:val="23"/>
                <w:szCs w:val="23"/>
                <w:lang w:val="sr-Cyrl-CS"/>
              </w:rPr>
              <w:t>на оса</w:t>
            </w:r>
            <w:r w:rsidRPr="009F5B52">
              <w:rPr>
                <w:b/>
                <w:noProof/>
                <w:sz w:val="23"/>
                <w:szCs w:val="23"/>
                <w:lang w:val="sr-Cyrl-CS"/>
              </w:rPr>
              <w:t xml:space="preserve">: </w:t>
            </w:r>
            <w:r w:rsidR="00E0770C" w:rsidRPr="009F5B52">
              <w:rPr>
                <w:bCs/>
                <w:noProof/>
                <w:sz w:val="23"/>
                <w:szCs w:val="23"/>
                <w:lang w:val="sr-Cyrl-CS"/>
              </w:rPr>
              <w:t>„</w:t>
            </w:r>
            <w:r w:rsidRPr="009F5B52">
              <w:rPr>
                <w:b/>
                <w:noProof/>
                <w:sz w:val="23"/>
                <w:szCs w:val="23"/>
                <w:lang w:val="sr-Cyrl-CS"/>
              </w:rPr>
              <w:t>Побољшање приступа за</w:t>
            </w:r>
            <w:r w:rsidR="00524D83" w:rsidRPr="009F5B52">
              <w:rPr>
                <w:b/>
                <w:noProof/>
                <w:sz w:val="23"/>
                <w:szCs w:val="23"/>
                <w:lang w:val="sr-Cyrl-CS"/>
              </w:rPr>
              <w:t>пошљавању и одрживо укључивање на</w:t>
            </w:r>
            <w:r w:rsidRPr="009F5B52">
              <w:rPr>
                <w:b/>
                <w:noProof/>
                <w:sz w:val="23"/>
                <w:szCs w:val="23"/>
                <w:lang w:val="sr-Cyrl-CS"/>
              </w:rPr>
              <w:t xml:space="preserve"> тржиште рада”</w:t>
            </w:r>
          </w:p>
          <w:p w:rsidR="0046476F" w:rsidRPr="009F5B52" w:rsidRDefault="0046476F" w:rsidP="0047484D">
            <w:pPr>
              <w:spacing w:after="0" w:line="240" w:lineRule="auto"/>
              <w:jc w:val="left"/>
              <w:rPr>
                <w:i/>
                <w:noProof/>
                <w:sz w:val="23"/>
                <w:szCs w:val="23"/>
                <w:lang w:val="sr-Cyrl-CS"/>
              </w:rPr>
            </w:pPr>
            <w:r w:rsidRPr="009F5B52">
              <w:rPr>
                <w:i/>
                <w:noProof/>
                <w:sz w:val="23"/>
                <w:szCs w:val="23"/>
                <w:lang w:val="sr-Cyrl-CS"/>
              </w:rPr>
              <w:t>Мере</w:t>
            </w:r>
          </w:p>
          <w:p w:rsidR="0046476F" w:rsidRPr="009F5B52" w:rsidRDefault="0046476F" w:rsidP="0047484D">
            <w:pPr>
              <w:pStyle w:val="ListParagraph"/>
              <w:numPr>
                <w:ilvl w:val="0"/>
                <w:numId w:val="22"/>
              </w:numPr>
              <w:autoSpaceDE w:val="0"/>
              <w:autoSpaceDN w:val="0"/>
              <w:adjustRightInd w:val="0"/>
              <w:spacing w:after="0" w:line="240" w:lineRule="auto"/>
              <w:jc w:val="left"/>
              <w:rPr>
                <w:noProof/>
                <w:sz w:val="23"/>
                <w:szCs w:val="23"/>
                <w:lang w:val="sr-Cyrl-CS"/>
              </w:rPr>
            </w:pPr>
            <w:r w:rsidRPr="009F5B52">
              <w:rPr>
                <w:noProof/>
                <w:sz w:val="23"/>
                <w:szCs w:val="23"/>
                <w:lang w:val="sr-Cyrl-CS"/>
              </w:rPr>
              <w:t xml:space="preserve">Подршка изради и </w:t>
            </w:r>
            <w:r w:rsidR="00524D83" w:rsidRPr="009F5B52">
              <w:rPr>
                <w:noProof/>
                <w:sz w:val="23"/>
                <w:szCs w:val="23"/>
                <w:lang w:val="sr-Cyrl-CS"/>
              </w:rPr>
              <w:t xml:space="preserve">спровођењу </w:t>
            </w:r>
            <w:r w:rsidRPr="009F5B52">
              <w:rPr>
                <w:noProof/>
                <w:sz w:val="23"/>
                <w:szCs w:val="23"/>
                <w:lang w:val="sr-Cyrl-CS"/>
              </w:rPr>
              <w:t>активних и превентивних политика тржишта рада</w:t>
            </w:r>
          </w:p>
          <w:p w:rsidR="0046476F" w:rsidRPr="009F5B52" w:rsidRDefault="0046476F" w:rsidP="0047484D">
            <w:pPr>
              <w:pStyle w:val="ListParagraph"/>
              <w:numPr>
                <w:ilvl w:val="0"/>
                <w:numId w:val="22"/>
              </w:numPr>
              <w:autoSpaceDE w:val="0"/>
              <w:autoSpaceDN w:val="0"/>
              <w:adjustRightInd w:val="0"/>
              <w:spacing w:after="0" w:line="240" w:lineRule="auto"/>
              <w:jc w:val="left"/>
              <w:rPr>
                <w:noProof/>
                <w:sz w:val="23"/>
                <w:szCs w:val="23"/>
                <w:lang w:val="sr-Cyrl-CS"/>
              </w:rPr>
            </w:pPr>
            <w:r w:rsidRPr="009F5B52">
              <w:rPr>
                <w:noProof/>
                <w:sz w:val="23"/>
                <w:szCs w:val="23"/>
                <w:lang w:val="sr-Cyrl-CS"/>
              </w:rPr>
              <w:t xml:space="preserve">Подршка делотворности и квалитету јавних </w:t>
            </w:r>
            <w:r w:rsidR="00524D83" w:rsidRPr="009F5B52">
              <w:rPr>
                <w:noProof/>
                <w:sz w:val="23"/>
                <w:szCs w:val="23"/>
                <w:lang w:val="sr-Cyrl-CS"/>
              </w:rPr>
              <w:t>служби</w:t>
            </w:r>
            <w:r w:rsidRPr="009F5B52">
              <w:rPr>
                <w:noProof/>
                <w:sz w:val="23"/>
                <w:szCs w:val="23"/>
                <w:lang w:val="sr-Cyrl-CS"/>
              </w:rPr>
              <w:t xml:space="preserve"> за запошљавање Хрватске</w:t>
            </w:r>
          </w:p>
          <w:p w:rsidR="0046476F" w:rsidRPr="009F5B52" w:rsidRDefault="0046476F" w:rsidP="0047484D">
            <w:pPr>
              <w:pStyle w:val="ListParagraph"/>
              <w:autoSpaceDE w:val="0"/>
              <w:autoSpaceDN w:val="0"/>
              <w:adjustRightInd w:val="0"/>
              <w:spacing w:after="0" w:line="240" w:lineRule="auto"/>
              <w:jc w:val="left"/>
              <w:rPr>
                <w:noProof/>
                <w:sz w:val="23"/>
                <w:szCs w:val="23"/>
                <w:lang w:val="sr-Cyrl-CS"/>
              </w:rPr>
            </w:pPr>
          </w:p>
        </w:tc>
        <w:tc>
          <w:tcPr>
            <w:tcW w:w="4040" w:type="dxa"/>
          </w:tcPr>
          <w:p w:rsidR="0046476F" w:rsidRPr="009F5B52" w:rsidRDefault="0046476F" w:rsidP="00ED5D5A">
            <w:pPr>
              <w:jc w:val="center"/>
              <w:rPr>
                <w:b/>
                <w:noProof/>
                <w:sz w:val="23"/>
                <w:szCs w:val="23"/>
                <w:lang w:val="sr-Cyrl-CS"/>
              </w:rPr>
            </w:pPr>
            <w:r w:rsidRPr="009F5B52">
              <w:rPr>
                <w:b/>
                <w:noProof/>
                <w:sz w:val="23"/>
                <w:szCs w:val="23"/>
                <w:lang w:val="sr-Cyrl-CS"/>
              </w:rPr>
              <w:t>Хрватск</w:t>
            </w:r>
            <w:r w:rsidR="00ED5D5A" w:rsidRPr="009F5B52">
              <w:rPr>
                <w:b/>
                <w:noProof/>
                <w:sz w:val="23"/>
                <w:szCs w:val="23"/>
                <w:lang w:val="sr-Cyrl-CS"/>
              </w:rPr>
              <w:t>и</w:t>
            </w:r>
            <w:r w:rsidRPr="009F5B52">
              <w:rPr>
                <w:b/>
                <w:noProof/>
                <w:sz w:val="23"/>
                <w:szCs w:val="23"/>
                <w:lang w:val="sr-Cyrl-CS"/>
              </w:rPr>
              <w:t xml:space="preserve"> </w:t>
            </w:r>
            <w:r w:rsidR="00ED5D5A" w:rsidRPr="009F5B52">
              <w:rPr>
                <w:b/>
                <w:noProof/>
                <w:sz w:val="23"/>
                <w:szCs w:val="23"/>
                <w:lang w:val="sr-Cyrl-CS"/>
              </w:rPr>
              <w:t>завод</w:t>
            </w:r>
            <w:r w:rsidR="00524D83" w:rsidRPr="009F5B52">
              <w:rPr>
                <w:b/>
                <w:noProof/>
                <w:sz w:val="23"/>
                <w:szCs w:val="23"/>
                <w:lang w:val="sr-Cyrl-CS"/>
              </w:rPr>
              <w:t xml:space="preserve"> за</w:t>
            </w:r>
            <w:r w:rsidR="00441677" w:rsidRPr="009F5B52">
              <w:rPr>
                <w:b/>
                <w:noProof/>
                <w:sz w:val="23"/>
                <w:szCs w:val="23"/>
                <w:lang w:val="sr-Cyrl-CS"/>
              </w:rPr>
              <w:t xml:space="preserve"> запошљавање </w:t>
            </w:r>
          </w:p>
        </w:tc>
      </w:tr>
      <w:tr w:rsidR="0046476F" w:rsidRPr="008365F6" w:rsidTr="0046476F">
        <w:trPr>
          <w:trHeight w:val="430"/>
        </w:trPr>
        <w:tc>
          <w:tcPr>
            <w:tcW w:w="5203" w:type="dxa"/>
          </w:tcPr>
          <w:p w:rsidR="0046476F" w:rsidRPr="009F5B52" w:rsidRDefault="0046476F" w:rsidP="0047484D">
            <w:pPr>
              <w:spacing w:after="0" w:line="240" w:lineRule="auto"/>
              <w:jc w:val="left"/>
              <w:rPr>
                <w:b/>
                <w:noProof/>
                <w:sz w:val="23"/>
                <w:szCs w:val="23"/>
                <w:lang w:val="sr-Cyrl-CS"/>
              </w:rPr>
            </w:pPr>
            <w:r w:rsidRPr="009F5B52">
              <w:rPr>
                <w:b/>
                <w:noProof/>
                <w:sz w:val="23"/>
                <w:szCs w:val="23"/>
                <w:lang w:val="sr-Cyrl-CS"/>
              </w:rPr>
              <w:t>Приоритет</w:t>
            </w:r>
            <w:r w:rsidR="00524D83" w:rsidRPr="009F5B52">
              <w:rPr>
                <w:b/>
                <w:noProof/>
                <w:sz w:val="23"/>
                <w:szCs w:val="23"/>
                <w:lang w:val="sr-Cyrl-CS"/>
              </w:rPr>
              <w:t>на оса</w:t>
            </w:r>
            <w:r w:rsidRPr="009F5B52">
              <w:rPr>
                <w:b/>
                <w:noProof/>
                <w:sz w:val="23"/>
                <w:szCs w:val="23"/>
                <w:lang w:val="sr-Cyrl-CS"/>
              </w:rPr>
              <w:t xml:space="preserve">: </w:t>
            </w:r>
            <w:r w:rsidR="00E0770C" w:rsidRPr="009F5B52">
              <w:rPr>
                <w:bCs/>
                <w:noProof/>
                <w:sz w:val="23"/>
                <w:szCs w:val="23"/>
                <w:lang w:val="sr-Cyrl-CS"/>
              </w:rPr>
              <w:t>„</w:t>
            </w:r>
            <w:r w:rsidRPr="009F5B52">
              <w:rPr>
                <w:b/>
                <w:noProof/>
                <w:sz w:val="23"/>
                <w:szCs w:val="23"/>
                <w:lang w:val="sr-Cyrl-CS"/>
              </w:rPr>
              <w:t xml:space="preserve">Јачање социјалног укључивања и интеграција </w:t>
            </w:r>
            <w:r w:rsidR="00D551BF" w:rsidRPr="009F5B52">
              <w:rPr>
                <w:b/>
                <w:noProof/>
                <w:sz w:val="23"/>
                <w:szCs w:val="23"/>
                <w:lang w:val="sr-Cyrl-CS"/>
              </w:rPr>
              <w:t>социо-економски угроженог становништва</w:t>
            </w:r>
            <w:r w:rsidRPr="009F5B52">
              <w:rPr>
                <w:b/>
                <w:noProof/>
                <w:sz w:val="23"/>
                <w:szCs w:val="23"/>
                <w:lang w:val="sr-Cyrl-CS"/>
              </w:rPr>
              <w:t>”</w:t>
            </w:r>
          </w:p>
          <w:p w:rsidR="0046476F" w:rsidRPr="009F5B52" w:rsidRDefault="0046476F" w:rsidP="0047484D">
            <w:pPr>
              <w:spacing w:after="0" w:line="240" w:lineRule="auto"/>
              <w:jc w:val="left"/>
              <w:rPr>
                <w:i/>
                <w:noProof/>
                <w:sz w:val="23"/>
                <w:szCs w:val="23"/>
                <w:lang w:val="sr-Cyrl-CS"/>
              </w:rPr>
            </w:pPr>
            <w:r w:rsidRPr="009F5B52">
              <w:rPr>
                <w:i/>
                <w:noProof/>
                <w:sz w:val="23"/>
                <w:szCs w:val="23"/>
                <w:lang w:val="sr-Cyrl-CS"/>
              </w:rPr>
              <w:t>Мере</w:t>
            </w:r>
          </w:p>
          <w:p w:rsidR="00D51DAB" w:rsidRPr="009F5B52" w:rsidRDefault="00D51DAB" w:rsidP="00D51DAB">
            <w:pPr>
              <w:pStyle w:val="ListParagraph"/>
              <w:numPr>
                <w:ilvl w:val="0"/>
                <w:numId w:val="23"/>
              </w:numPr>
              <w:spacing w:after="0" w:line="240" w:lineRule="auto"/>
              <w:jc w:val="left"/>
              <w:rPr>
                <w:noProof/>
                <w:sz w:val="23"/>
                <w:szCs w:val="23"/>
                <w:lang w:val="sr-Cyrl-CS"/>
              </w:rPr>
            </w:pPr>
            <w:r w:rsidRPr="009F5B52">
              <w:rPr>
                <w:noProof/>
                <w:sz w:val="23"/>
                <w:szCs w:val="23"/>
                <w:lang w:val="sr-Cyrl-CS"/>
              </w:rPr>
              <w:lastRenderedPageBreak/>
              <w:t xml:space="preserve">Подршка приступу запошљавању </w:t>
            </w:r>
            <w:r w:rsidR="00D551BF" w:rsidRPr="009F5B52">
              <w:rPr>
                <w:noProof/>
                <w:sz w:val="23"/>
                <w:szCs w:val="23"/>
                <w:lang w:val="sr-Cyrl-CS"/>
              </w:rPr>
              <w:t>социо-економски угроженог становништва</w:t>
            </w:r>
          </w:p>
          <w:p w:rsidR="0046476F" w:rsidRPr="009F5B52" w:rsidRDefault="0046476F" w:rsidP="0047484D">
            <w:pPr>
              <w:pStyle w:val="ListParagraph"/>
              <w:spacing w:after="0" w:line="240" w:lineRule="auto"/>
              <w:jc w:val="left"/>
              <w:rPr>
                <w:noProof/>
                <w:sz w:val="23"/>
                <w:szCs w:val="23"/>
                <w:lang w:val="sr-Cyrl-CS"/>
              </w:rPr>
            </w:pPr>
            <w:r w:rsidRPr="009F5B52">
              <w:rPr>
                <w:noProof/>
                <w:sz w:val="23"/>
                <w:szCs w:val="23"/>
                <w:lang w:val="sr-Cyrl-CS"/>
              </w:rPr>
              <w:t xml:space="preserve">Подршка </w:t>
            </w:r>
            <w:r w:rsidR="00D51DAB" w:rsidRPr="009F5B52">
              <w:rPr>
                <w:noProof/>
                <w:sz w:val="23"/>
                <w:szCs w:val="23"/>
                <w:lang w:val="sr-Cyrl-CS"/>
              </w:rPr>
              <w:t xml:space="preserve">приступу образовању </w:t>
            </w:r>
            <w:r w:rsidR="00D551BF" w:rsidRPr="009F5B52">
              <w:rPr>
                <w:noProof/>
                <w:sz w:val="23"/>
                <w:szCs w:val="23"/>
                <w:lang w:val="sr-Cyrl-CS"/>
              </w:rPr>
              <w:t xml:space="preserve">социо-економски угроженог становништва </w:t>
            </w:r>
          </w:p>
        </w:tc>
        <w:tc>
          <w:tcPr>
            <w:tcW w:w="4040" w:type="dxa"/>
          </w:tcPr>
          <w:p w:rsidR="00524D83" w:rsidRPr="009F5B52" w:rsidRDefault="00524D83" w:rsidP="0046476F">
            <w:pPr>
              <w:jc w:val="center"/>
              <w:rPr>
                <w:b/>
                <w:noProof/>
                <w:sz w:val="23"/>
                <w:szCs w:val="23"/>
                <w:lang w:val="sr-Cyrl-CS"/>
              </w:rPr>
            </w:pPr>
            <w:r w:rsidRPr="009F5B52">
              <w:rPr>
                <w:b/>
                <w:noProof/>
                <w:sz w:val="23"/>
                <w:szCs w:val="23"/>
                <w:lang w:val="sr-Cyrl-CS"/>
              </w:rPr>
              <w:lastRenderedPageBreak/>
              <w:t xml:space="preserve">Хрватска </w:t>
            </w:r>
            <w:r w:rsidR="00ED5D5A" w:rsidRPr="009F5B52">
              <w:rPr>
                <w:b/>
                <w:noProof/>
                <w:sz w:val="23"/>
                <w:szCs w:val="23"/>
                <w:lang w:val="sr-Cyrl-CS"/>
              </w:rPr>
              <w:t>завод</w:t>
            </w:r>
            <w:r w:rsidRPr="009F5B52">
              <w:rPr>
                <w:b/>
                <w:noProof/>
                <w:sz w:val="23"/>
                <w:szCs w:val="23"/>
                <w:lang w:val="sr-Cyrl-CS"/>
              </w:rPr>
              <w:t xml:space="preserve"> за</w:t>
            </w:r>
            <w:r w:rsidR="00441677" w:rsidRPr="009F5B52">
              <w:rPr>
                <w:b/>
                <w:noProof/>
                <w:sz w:val="23"/>
                <w:szCs w:val="23"/>
                <w:lang w:val="sr-Cyrl-CS"/>
              </w:rPr>
              <w:t xml:space="preserve"> запошљавање </w:t>
            </w:r>
          </w:p>
          <w:p w:rsidR="0046476F" w:rsidRPr="009F5B52" w:rsidRDefault="0046476F" w:rsidP="00441677">
            <w:pPr>
              <w:jc w:val="center"/>
              <w:rPr>
                <w:b/>
                <w:noProof/>
                <w:sz w:val="23"/>
                <w:szCs w:val="23"/>
                <w:lang w:val="sr-Cyrl-CS"/>
              </w:rPr>
            </w:pPr>
            <w:r w:rsidRPr="009F5B52">
              <w:rPr>
                <w:b/>
                <w:noProof/>
                <w:sz w:val="23"/>
                <w:szCs w:val="23"/>
                <w:lang w:val="sr-Cyrl-CS"/>
              </w:rPr>
              <w:t xml:space="preserve">Агенција за </w:t>
            </w:r>
            <w:r w:rsidR="00524D83" w:rsidRPr="009F5B52">
              <w:rPr>
                <w:b/>
                <w:noProof/>
                <w:sz w:val="23"/>
                <w:szCs w:val="23"/>
                <w:lang w:val="sr-Cyrl-CS"/>
              </w:rPr>
              <w:t>стру</w:t>
            </w:r>
            <w:r w:rsidR="00ED5D5A" w:rsidRPr="009F5B52">
              <w:rPr>
                <w:b/>
                <w:noProof/>
                <w:sz w:val="23"/>
                <w:szCs w:val="23"/>
                <w:lang w:val="sr-Cyrl-CS"/>
              </w:rPr>
              <w:t>ковно</w:t>
            </w:r>
            <w:r w:rsidR="00524D83" w:rsidRPr="009F5B52">
              <w:rPr>
                <w:b/>
                <w:noProof/>
                <w:sz w:val="23"/>
                <w:szCs w:val="23"/>
                <w:lang w:val="sr-Cyrl-CS"/>
              </w:rPr>
              <w:t xml:space="preserve"> образовање и </w:t>
            </w:r>
            <w:r w:rsidR="00ED5D5A" w:rsidRPr="009F5B52">
              <w:rPr>
                <w:b/>
                <w:noProof/>
                <w:sz w:val="23"/>
                <w:szCs w:val="23"/>
                <w:lang w:val="sr-Cyrl-CS"/>
              </w:rPr>
              <w:t>образовање одраслих</w:t>
            </w:r>
            <w:r w:rsidR="00524D83" w:rsidRPr="009F5B52">
              <w:rPr>
                <w:b/>
                <w:noProof/>
                <w:sz w:val="23"/>
                <w:szCs w:val="23"/>
                <w:lang w:val="sr-Cyrl-CS"/>
              </w:rPr>
              <w:t xml:space="preserve">  </w:t>
            </w:r>
          </w:p>
        </w:tc>
      </w:tr>
      <w:tr w:rsidR="0046476F" w:rsidRPr="008365F6" w:rsidTr="0046476F">
        <w:trPr>
          <w:trHeight w:val="430"/>
        </w:trPr>
        <w:tc>
          <w:tcPr>
            <w:tcW w:w="5203" w:type="dxa"/>
          </w:tcPr>
          <w:p w:rsidR="0046476F" w:rsidRPr="009F5B52" w:rsidRDefault="0046476F" w:rsidP="0047484D">
            <w:pPr>
              <w:spacing w:after="0" w:line="240" w:lineRule="auto"/>
              <w:jc w:val="left"/>
              <w:rPr>
                <w:b/>
                <w:noProof/>
                <w:sz w:val="23"/>
                <w:szCs w:val="23"/>
                <w:lang w:val="sr-Cyrl-CS"/>
              </w:rPr>
            </w:pPr>
            <w:r w:rsidRPr="009F5B52">
              <w:rPr>
                <w:b/>
                <w:noProof/>
                <w:sz w:val="23"/>
                <w:szCs w:val="23"/>
                <w:lang w:val="sr-Cyrl-CS"/>
              </w:rPr>
              <w:lastRenderedPageBreak/>
              <w:t>Приоритет</w:t>
            </w:r>
            <w:r w:rsidR="00D51DAB" w:rsidRPr="009F5B52">
              <w:rPr>
                <w:b/>
                <w:noProof/>
                <w:sz w:val="23"/>
                <w:szCs w:val="23"/>
                <w:lang w:val="sr-Cyrl-CS"/>
              </w:rPr>
              <w:t>на оса</w:t>
            </w:r>
            <w:r w:rsidRPr="009F5B52">
              <w:rPr>
                <w:b/>
                <w:noProof/>
                <w:sz w:val="23"/>
                <w:szCs w:val="23"/>
                <w:lang w:val="sr-Cyrl-CS"/>
              </w:rPr>
              <w:t xml:space="preserve">: </w:t>
            </w:r>
            <w:r w:rsidR="00D51DAB" w:rsidRPr="009F5B52">
              <w:rPr>
                <w:b/>
                <w:noProof/>
                <w:sz w:val="23"/>
                <w:szCs w:val="23"/>
                <w:lang w:val="sr-Cyrl-CS"/>
              </w:rPr>
              <w:t>„</w:t>
            </w:r>
            <w:r w:rsidRPr="009F5B52">
              <w:rPr>
                <w:b/>
                <w:noProof/>
                <w:sz w:val="23"/>
                <w:szCs w:val="23"/>
                <w:lang w:val="sr-Cyrl-CS"/>
              </w:rPr>
              <w:t>Унапређивање људског капитала и запошљивости”</w:t>
            </w:r>
          </w:p>
          <w:p w:rsidR="0046476F" w:rsidRPr="009F5B52" w:rsidRDefault="0046476F" w:rsidP="0047484D">
            <w:pPr>
              <w:spacing w:after="0" w:line="240" w:lineRule="auto"/>
              <w:jc w:val="left"/>
              <w:rPr>
                <w:i/>
                <w:noProof/>
                <w:sz w:val="23"/>
                <w:szCs w:val="23"/>
                <w:lang w:val="sr-Cyrl-CS"/>
              </w:rPr>
            </w:pPr>
            <w:r w:rsidRPr="009F5B52">
              <w:rPr>
                <w:i/>
                <w:noProof/>
                <w:sz w:val="23"/>
                <w:szCs w:val="23"/>
                <w:lang w:val="sr-Cyrl-CS"/>
              </w:rPr>
              <w:t>Мере</w:t>
            </w:r>
          </w:p>
          <w:p w:rsidR="0046476F" w:rsidRPr="009F5B52" w:rsidRDefault="0046476F" w:rsidP="0047484D">
            <w:pPr>
              <w:pStyle w:val="ListParagraph"/>
              <w:numPr>
                <w:ilvl w:val="0"/>
                <w:numId w:val="24"/>
              </w:numPr>
              <w:spacing w:after="0" w:line="240" w:lineRule="auto"/>
              <w:jc w:val="left"/>
              <w:rPr>
                <w:noProof/>
                <w:sz w:val="23"/>
                <w:szCs w:val="23"/>
                <w:lang w:val="sr-Cyrl-CS"/>
              </w:rPr>
            </w:pPr>
            <w:r w:rsidRPr="009F5B52">
              <w:rPr>
                <w:noProof/>
                <w:sz w:val="23"/>
                <w:szCs w:val="23"/>
                <w:lang w:val="sr-Cyrl-CS"/>
              </w:rPr>
              <w:t xml:space="preserve">Даљи развој </w:t>
            </w:r>
            <w:r w:rsidR="00D51DAB" w:rsidRPr="009F5B52">
              <w:rPr>
                <w:noProof/>
                <w:sz w:val="23"/>
                <w:szCs w:val="23"/>
                <w:lang w:val="sr-Cyrl-CS"/>
              </w:rPr>
              <w:t>х</w:t>
            </w:r>
            <w:r w:rsidRPr="009F5B52">
              <w:rPr>
                <w:noProof/>
                <w:sz w:val="23"/>
                <w:szCs w:val="23"/>
                <w:lang w:val="sr-Cyrl-CS"/>
              </w:rPr>
              <w:t>рватског</w:t>
            </w:r>
            <w:r w:rsidR="00D51DAB" w:rsidRPr="009F5B52">
              <w:rPr>
                <w:noProof/>
                <w:sz w:val="23"/>
                <w:szCs w:val="23"/>
                <w:lang w:val="sr-Cyrl-CS"/>
              </w:rPr>
              <w:t xml:space="preserve"> О</w:t>
            </w:r>
            <w:r w:rsidRPr="009F5B52">
              <w:rPr>
                <w:noProof/>
                <w:sz w:val="23"/>
                <w:szCs w:val="23"/>
                <w:lang w:val="sr-Cyrl-CS"/>
              </w:rPr>
              <w:t>квира квалификација</w:t>
            </w:r>
          </w:p>
          <w:p w:rsidR="0046476F" w:rsidRPr="009F5B52" w:rsidRDefault="0046476F" w:rsidP="00D51DAB">
            <w:pPr>
              <w:pStyle w:val="ListParagraph"/>
              <w:numPr>
                <w:ilvl w:val="0"/>
                <w:numId w:val="24"/>
              </w:numPr>
              <w:jc w:val="left"/>
              <w:rPr>
                <w:noProof/>
                <w:sz w:val="23"/>
                <w:szCs w:val="23"/>
                <w:lang w:val="sr-Cyrl-CS"/>
              </w:rPr>
            </w:pPr>
            <w:r w:rsidRPr="009F5B52">
              <w:rPr>
                <w:noProof/>
                <w:sz w:val="23"/>
                <w:szCs w:val="23"/>
                <w:lang w:val="sr-Cyrl-CS"/>
              </w:rPr>
              <w:t>Подршка развоју институтиц</w:t>
            </w:r>
            <w:r w:rsidR="00D51DAB" w:rsidRPr="009F5B52">
              <w:rPr>
                <w:noProof/>
                <w:sz w:val="23"/>
                <w:szCs w:val="23"/>
                <w:lang w:val="sr-Cyrl-CS"/>
              </w:rPr>
              <w:t>и</w:t>
            </w:r>
            <w:r w:rsidRPr="009F5B52">
              <w:rPr>
                <w:noProof/>
                <w:sz w:val="23"/>
                <w:szCs w:val="23"/>
                <w:lang w:val="sr-Cyrl-CS"/>
              </w:rPr>
              <w:t xml:space="preserve">ја и њихових партнера </w:t>
            </w:r>
            <w:r w:rsidR="00D51DAB" w:rsidRPr="009F5B52">
              <w:rPr>
                <w:noProof/>
                <w:sz w:val="23"/>
                <w:szCs w:val="23"/>
                <w:lang w:val="sr-Cyrl-CS"/>
              </w:rPr>
              <w:t>надлежних</w:t>
            </w:r>
            <w:r w:rsidRPr="009F5B52">
              <w:rPr>
                <w:noProof/>
                <w:sz w:val="23"/>
                <w:szCs w:val="23"/>
                <w:lang w:val="sr-Cyrl-CS"/>
              </w:rPr>
              <w:t xml:space="preserve"> за стру</w:t>
            </w:r>
            <w:r w:rsidR="00D51DAB" w:rsidRPr="009F5B52">
              <w:rPr>
                <w:noProof/>
                <w:sz w:val="23"/>
                <w:szCs w:val="23"/>
                <w:lang w:val="sr-Cyrl-CS"/>
              </w:rPr>
              <w:t>чно</w:t>
            </w:r>
            <w:r w:rsidRPr="009F5B52">
              <w:rPr>
                <w:noProof/>
                <w:sz w:val="23"/>
                <w:szCs w:val="23"/>
                <w:lang w:val="sr-Cyrl-CS"/>
              </w:rPr>
              <w:t xml:space="preserve"> образовање и обук</w:t>
            </w:r>
            <w:r w:rsidR="00D51DAB" w:rsidRPr="009F5B52">
              <w:rPr>
                <w:noProof/>
                <w:sz w:val="23"/>
                <w:szCs w:val="23"/>
                <w:lang w:val="sr-Cyrl-CS"/>
              </w:rPr>
              <w:t>у</w:t>
            </w:r>
            <w:r w:rsidRPr="009F5B52">
              <w:rPr>
                <w:noProof/>
                <w:sz w:val="23"/>
                <w:szCs w:val="23"/>
                <w:lang w:val="sr-Cyrl-CS"/>
              </w:rPr>
              <w:t xml:space="preserve"> и образовање одраслих </w:t>
            </w:r>
          </w:p>
        </w:tc>
        <w:tc>
          <w:tcPr>
            <w:tcW w:w="4040" w:type="dxa"/>
          </w:tcPr>
          <w:p w:rsidR="0046476F" w:rsidRPr="009F5B52" w:rsidRDefault="00ED5D5A" w:rsidP="00D51DAB">
            <w:pPr>
              <w:jc w:val="center"/>
              <w:rPr>
                <w:noProof/>
                <w:sz w:val="23"/>
                <w:szCs w:val="23"/>
                <w:lang w:val="sr-Cyrl-CS"/>
              </w:rPr>
            </w:pPr>
            <w:r w:rsidRPr="009F5B52">
              <w:rPr>
                <w:b/>
                <w:noProof/>
                <w:sz w:val="23"/>
                <w:szCs w:val="23"/>
                <w:lang w:val="sr-Cyrl-CS"/>
              </w:rPr>
              <w:t xml:space="preserve">Агенција за струковно образовање и образовање одраслих </w:t>
            </w:r>
            <w:r w:rsidR="00441677" w:rsidRPr="009F5B52">
              <w:rPr>
                <w:b/>
                <w:noProof/>
                <w:sz w:val="23"/>
                <w:szCs w:val="23"/>
                <w:lang w:val="sr-Cyrl-CS"/>
              </w:rPr>
              <w:t xml:space="preserve"> </w:t>
            </w:r>
          </w:p>
        </w:tc>
      </w:tr>
    </w:tbl>
    <w:p w:rsidR="00EB3220" w:rsidRPr="009F5B52" w:rsidRDefault="00EB3220">
      <w:pPr>
        <w:rPr>
          <w:rFonts w:cs="Times New Roman"/>
          <w:b/>
          <w:szCs w:val="24"/>
          <w:lang w:val="sr-Cyrl-CS"/>
        </w:rPr>
      </w:pPr>
      <w:r w:rsidRPr="009F5B52">
        <w:rPr>
          <w:rFonts w:cs="Times New Roman"/>
          <w:b/>
          <w:szCs w:val="24"/>
          <w:lang w:val="sr-Cyrl-CS"/>
        </w:rPr>
        <w:br w:type="page"/>
      </w:r>
    </w:p>
    <w:p w:rsidR="00FF72E4" w:rsidRPr="009F5B52" w:rsidRDefault="008D62BD" w:rsidP="008D62BD">
      <w:pPr>
        <w:pStyle w:val="Heading1"/>
        <w:numPr>
          <w:ilvl w:val="0"/>
          <w:numId w:val="0"/>
        </w:numPr>
        <w:ind w:left="540" w:hanging="540"/>
        <w:rPr>
          <w:lang w:val="sr-Cyrl-CS"/>
        </w:rPr>
      </w:pPr>
      <w:bookmarkStart w:id="50" w:name="_Toc327437831"/>
      <w:bookmarkStart w:id="51" w:name="_Toc327437927"/>
      <w:bookmarkStart w:id="52" w:name="_Toc327437972"/>
      <w:bookmarkStart w:id="53" w:name="_Toc327438011"/>
      <w:bookmarkStart w:id="54" w:name="_Toc327445981"/>
      <w:bookmarkStart w:id="55" w:name="_Toc330562312"/>
      <w:bookmarkStart w:id="56" w:name="_Toc323810583"/>
      <w:bookmarkEnd w:id="50"/>
      <w:bookmarkEnd w:id="51"/>
      <w:bookmarkEnd w:id="52"/>
      <w:bookmarkEnd w:id="53"/>
      <w:bookmarkEnd w:id="54"/>
      <w:r w:rsidRPr="009F5B52">
        <w:rPr>
          <w:lang w:val="sr-Cyrl-CS"/>
        </w:rPr>
        <w:lastRenderedPageBreak/>
        <w:t>3. Кораци ка успостављању фонда за социјално укључивање</w:t>
      </w:r>
      <w:bookmarkEnd w:id="55"/>
    </w:p>
    <w:p w:rsidR="00FF72E4" w:rsidRPr="009F5B52" w:rsidRDefault="00BD7DA1" w:rsidP="006C556E">
      <w:pPr>
        <w:pBdr>
          <w:top w:val="single" w:sz="4" w:space="1" w:color="auto"/>
          <w:left w:val="single" w:sz="4" w:space="4" w:color="auto"/>
          <w:bottom w:val="single" w:sz="4" w:space="1" w:color="auto"/>
          <w:right w:val="single" w:sz="4" w:space="4" w:color="auto"/>
        </w:pBdr>
        <w:rPr>
          <w:lang w:val="sr-Cyrl-CS"/>
        </w:rPr>
      </w:pPr>
      <w:r w:rsidRPr="009F5B52">
        <w:rPr>
          <w:lang w:val="sr-Cyrl-CS"/>
        </w:rPr>
        <w:t>К</w:t>
      </w:r>
      <w:r w:rsidR="006C556E" w:rsidRPr="009F5B52">
        <w:rPr>
          <w:lang w:val="sr-Cyrl-CS"/>
        </w:rPr>
        <w:t xml:space="preserve">ако би Фонд за социјално укључивање био успостављен, неопходно је позабавити се питањем организационе структуре Фонда, као и правним корацима које је неопходно предузети. </w:t>
      </w:r>
      <w:r w:rsidR="006C556E" w:rsidRPr="009F5B52">
        <w:rPr>
          <w:b/>
          <w:lang w:val="sr-Cyrl-CS"/>
        </w:rPr>
        <w:t xml:space="preserve">Овај одељак садржи препоруке у вези са </w:t>
      </w:r>
      <w:r w:rsidR="00327002" w:rsidRPr="009F5B52">
        <w:rPr>
          <w:b/>
          <w:lang w:val="sr-Cyrl-CS"/>
        </w:rPr>
        <w:t>управљачком</w:t>
      </w:r>
      <w:r w:rsidR="006C556E" w:rsidRPr="009F5B52">
        <w:rPr>
          <w:b/>
          <w:lang w:val="sr-Cyrl-CS"/>
        </w:rPr>
        <w:t xml:space="preserve"> структуром и правним основом Фонда за социјално укључивање. </w:t>
      </w:r>
      <w:r w:rsidR="006C556E" w:rsidRPr="009F5B52">
        <w:rPr>
          <w:lang w:val="sr-Cyrl-CS"/>
        </w:rPr>
        <w:t xml:space="preserve">У овом одељку покреће се и питање буџетских средстава за рад Фонда за социјално укључивање, које је неопходно детаљније испитати након формирања нове Владе и утврђивања </w:t>
      </w:r>
      <w:r w:rsidR="00327002" w:rsidRPr="009F5B52">
        <w:rPr>
          <w:lang w:val="sr-Cyrl-CS"/>
        </w:rPr>
        <w:t>делокруга рада</w:t>
      </w:r>
      <w:r w:rsidR="006C556E" w:rsidRPr="009F5B52">
        <w:rPr>
          <w:lang w:val="sr-Cyrl-CS"/>
        </w:rPr>
        <w:t xml:space="preserve"> министарстава.</w:t>
      </w:r>
      <w:r w:rsidR="00293DA1" w:rsidRPr="009F5B52">
        <w:rPr>
          <w:lang w:val="sr-Cyrl-CS"/>
        </w:rPr>
        <w:t xml:space="preserve">  </w:t>
      </w:r>
    </w:p>
    <w:p w:rsidR="00124CA4" w:rsidRPr="009F5B52" w:rsidRDefault="008D62BD" w:rsidP="00D2338B">
      <w:pPr>
        <w:pStyle w:val="Heading2"/>
        <w:rPr>
          <w:rStyle w:val="IntenseReference"/>
          <w:b/>
          <w:bCs/>
          <w:smallCaps w:val="0"/>
          <w:color w:val="4F81BD" w:themeColor="accent1"/>
          <w:spacing w:val="0"/>
          <w:u w:val="none"/>
          <w:lang w:val="sr-Cyrl-CS"/>
        </w:rPr>
      </w:pPr>
      <w:bookmarkStart w:id="57" w:name="_Toc323810584"/>
      <w:bookmarkStart w:id="58" w:name="_Toc330562313"/>
      <w:bookmarkEnd w:id="56"/>
      <w:r w:rsidRPr="009F5B52">
        <w:rPr>
          <w:rStyle w:val="IntenseReference"/>
          <w:b/>
          <w:bCs/>
          <w:smallCaps w:val="0"/>
          <w:color w:val="4F81BD" w:themeColor="accent1"/>
          <w:spacing w:val="0"/>
          <w:u w:val="none"/>
          <w:lang w:val="sr-Cyrl-CS"/>
        </w:rPr>
        <w:t>3</w:t>
      </w:r>
      <w:r w:rsidR="00D2338B" w:rsidRPr="009F5B52">
        <w:rPr>
          <w:rStyle w:val="IntenseReference"/>
          <w:b/>
          <w:bCs/>
          <w:smallCaps w:val="0"/>
          <w:color w:val="4F81BD" w:themeColor="accent1"/>
          <w:spacing w:val="0"/>
          <w:u w:val="none"/>
          <w:lang w:val="sr-Cyrl-CS"/>
        </w:rPr>
        <w:t xml:space="preserve">.1. </w:t>
      </w:r>
      <w:r w:rsidR="00327002" w:rsidRPr="009F5B52">
        <w:rPr>
          <w:rStyle w:val="IntenseReference"/>
          <w:b/>
          <w:bCs/>
          <w:smallCaps w:val="0"/>
          <w:color w:val="4F81BD" w:themeColor="accent1"/>
          <w:spacing w:val="0"/>
          <w:u w:val="none"/>
          <w:lang w:val="sr-Cyrl-CS"/>
        </w:rPr>
        <w:t>Управљачка</w:t>
      </w:r>
      <w:r w:rsidR="006C556E" w:rsidRPr="009F5B52">
        <w:rPr>
          <w:rStyle w:val="IntenseReference"/>
          <w:b/>
          <w:bCs/>
          <w:smallCaps w:val="0"/>
          <w:color w:val="4F81BD" w:themeColor="accent1"/>
          <w:spacing w:val="0"/>
          <w:u w:val="none"/>
          <w:lang w:val="sr-Cyrl-CS"/>
        </w:rPr>
        <w:t xml:space="preserve"> </w:t>
      </w:r>
      <w:r w:rsidR="00327002" w:rsidRPr="009F5B52">
        <w:rPr>
          <w:rStyle w:val="IntenseReference"/>
          <w:b/>
          <w:bCs/>
          <w:smallCaps w:val="0"/>
          <w:color w:val="4F81BD" w:themeColor="accent1"/>
          <w:spacing w:val="0"/>
          <w:u w:val="none"/>
          <w:lang w:val="sr-Cyrl-CS"/>
        </w:rPr>
        <w:t>структура</w:t>
      </w:r>
      <w:r w:rsidR="006C556E" w:rsidRPr="009F5B52">
        <w:rPr>
          <w:rStyle w:val="IntenseReference"/>
          <w:b/>
          <w:bCs/>
          <w:smallCaps w:val="0"/>
          <w:color w:val="4F81BD" w:themeColor="accent1"/>
          <w:spacing w:val="0"/>
          <w:u w:val="none"/>
          <w:lang w:val="sr-Cyrl-CS"/>
        </w:rPr>
        <w:t xml:space="preserve"> </w:t>
      </w:r>
      <w:r w:rsidR="00327002" w:rsidRPr="009F5B52">
        <w:rPr>
          <w:rStyle w:val="IntenseReference"/>
          <w:b/>
          <w:bCs/>
          <w:smallCaps w:val="0"/>
          <w:color w:val="4F81BD" w:themeColor="accent1"/>
          <w:spacing w:val="0"/>
          <w:u w:val="none"/>
          <w:lang w:val="sr-Cyrl-CS"/>
        </w:rPr>
        <w:t xml:space="preserve">будућег </w:t>
      </w:r>
      <w:r w:rsidR="006C556E" w:rsidRPr="009F5B52">
        <w:rPr>
          <w:rStyle w:val="IntenseReference"/>
          <w:b/>
          <w:bCs/>
          <w:smallCaps w:val="0"/>
          <w:color w:val="4F81BD" w:themeColor="accent1"/>
          <w:spacing w:val="0"/>
          <w:u w:val="none"/>
          <w:lang w:val="sr-Cyrl-CS"/>
        </w:rPr>
        <w:t>Фонд</w:t>
      </w:r>
      <w:r w:rsidR="00327002" w:rsidRPr="009F5B52">
        <w:rPr>
          <w:rStyle w:val="IntenseReference"/>
          <w:b/>
          <w:bCs/>
          <w:smallCaps w:val="0"/>
          <w:color w:val="4F81BD" w:themeColor="accent1"/>
          <w:spacing w:val="0"/>
          <w:u w:val="none"/>
          <w:lang w:val="sr-Cyrl-CS"/>
        </w:rPr>
        <w:t>а</w:t>
      </w:r>
      <w:r w:rsidR="006C556E" w:rsidRPr="009F5B52">
        <w:rPr>
          <w:rStyle w:val="IntenseReference"/>
          <w:b/>
          <w:bCs/>
          <w:smallCaps w:val="0"/>
          <w:color w:val="4F81BD" w:themeColor="accent1"/>
          <w:spacing w:val="0"/>
          <w:u w:val="none"/>
          <w:lang w:val="sr-Cyrl-CS"/>
        </w:rPr>
        <w:t xml:space="preserve"> за социјално укључивање</w:t>
      </w:r>
      <w:bookmarkEnd w:id="57"/>
      <w:bookmarkEnd w:id="58"/>
    </w:p>
    <w:p w:rsidR="00124CA4" w:rsidRPr="009F5B52" w:rsidRDefault="006C556E" w:rsidP="006C556E">
      <w:pPr>
        <w:spacing w:after="0"/>
        <w:rPr>
          <w:rFonts w:cs="Times New Roman"/>
          <w:szCs w:val="24"/>
          <w:lang w:val="sr-Cyrl-CS"/>
        </w:rPr>
      </w:pPr>
      <w:r w:rsidRPr="009F5B52">
        <w:rPr>
          <w:rFonts w:cs="Times New Roman"/>
          <w:szCs w:val="24"/>
          <w:lang w:val="sr-Cyrl-CS"/>
        </w:rPr>
        <w:t xml:space="preserve">Имајући у виду представљени оквир, успостављање Фонда за социјално укључивање захтева </w:t>
      </w:r>
      <w:r w:rsidRPr="009F5B52">
        <w:rPr>
          <w:rFonts w:cs="Times New Roman"/>
          <w:b/>
          <w:szCs w:val="24"/>
          <w:lang w:val="sr-Cyrl-CS"/>
        </w:rPr>
        <w:t xml:space="preserve">ефикасну </w:t>
      </w:r>
      <w:r w:rsidR="00327002" w:rsidRPr="009F5B52">
        <w:rPr>
          <w:rFonts w:cs="Times New Roman"/>
          <w:b/>
          <w:szCs w:val="24"/>
          <w:lang w:val="sr-Cyrl-CS"/>
        </w:rPr>
        <w:t>управљачку структуру</w:t>
      </w:r>
      <w:r w:rsidRPr="009F5B52">
        <w:rPr>
          <w:rFonts w:cs="Times New Roman"/>
          <w:szCs w:val="24"/>
          <w:lang w:val="sr-Cyrl-CS"/>
        </w:rPr>
        <w:t xml:space="preserve"> која ће омогућити адекватно функционисање Фонда. Политике социјалног укључивања прожимају више различитих сектора и обухватају јавне политике у области образовања, запошљавања и социјалне политике. Овде издвајамо и дајемо приоритет наведеним политика</w:t>
      </w:r>
      <w:r w:rsidR="00595F49" w:rsidRPr="009F5B52">
        <w:rPr>
          <w:rFonts w:cs="Times New Roman"/>
          <w:szCs w:val="24"/>
          <w:lang w:val="sr-Cyrl-CS"/>
        </w:rPr>
        <w:t>ма</w:t>
      </w:r>
      <w:r w:rsidRPr="009F5B52">
        <w:rPr>
          <w:rFonts w:cs="Times New Roman"/>
          <w:szCs w:val="24"/>
          <w:lang w:val="sr-Cyrl-CS"/>
        </w:rPr>
        <w:t xml:space="preserve"> у односу на друге области</w:t>
      </w:r>
      <w:r w:rsidR="00595F49" w:rsidRPr="009F5B52">
        <w:rPr>
          <w:rFonts w:cs="Times New Roman"/>
          <w:szCs w:val="24"/>
          <w:lang w:val="sr-Cyrl-CS"/>
        </w:rPr>
        <w:t>,</w:t>
      </w:r>
      <w:r w:rsidRPr="009F5B52">
        <w:rPr>
          <w:rFonts w:cs="Times New Roman"/>
          <w:szCs w:val="24"/>
          <w:lang w:val="sr-Cyrl-CS"/>
        </w:rPr>
        <w:t xml:space="preserve"> из следећег разлога</w:t>
      </w:r>
      <w:r w:rsidR="00124CA4" w:rsidRPr="009F5B52">
        <w:rPr>
          <w:rFonts w:cs="Times New Roman"/>
          <w:szCs w:val="24"/>
          <w:lang w:val="sr-Cyrl-CS"/>
        </w:rPr>
        <w:t xml:space="preserve">: </w:t>
      </w:r>
    </w:p>
    <w:p w:rsidR="00124CA4" w:rsidRPr="009F5B52" w:rsidRDefault="00595F49" w:rsidP="006C556E">
      <w:pPr>
        <w:pStyle w:val="ListParagraph"/>
        <w:numPr>
          <w:ilvl w:val="0"/>
          <w:numId w:val="5"/>
        </w:numPr>
        <w:rPr>
          <w:rFonts w:cs="Times New Roman"/>
          <w:szCs w:val="24"/>
          <w:lang w:val="sr-Cyrl-CS"/>
        </w:rPr>
      </w:pPr>
      <w:r w:rsidRPr="009F5B52">
        <w:rPr>
          <w:rFonts w:cs="Times New Roman"/>
          <w:szCs w:val="24"/>
          <w:lang w:val="sr-Cyrl-CS"/>
        </w:rPr>
        <w:t>с</w:t>
      </w:r>
      <w:r w:rsidR="006C556E" w:rsidRPr="009F5B52">
        <w:rPr>
          <w:rFonts w:cs="Times New Roman"/>
          <w:szCs w:val="24"/>
          <w:lang w:val="sr-Cyrl-CS"/>
        </w:rPr>
        <w:t>истем образовања обезбеђује основне предуслове за интегрисање у друштво</w:t>
      </w:r>
      <w:r w:rsidR="00124CA4" w:rsidRPr="009F5B52">
        <w:rPr>
          <w:rFonts w:cs="Times New Roman"/>
          <w:szCs w:val="24"/>
          <w:lang w:val="sr-Cyrl-CS"/>
        </w:rPr>
        <w:t>;</w:t>
      </w:r>
    </w:p>
    <w:p w:rsidR="00124CA4" w:rsidRPr="009F5B52" w:rsidRDefault="00595F49" w:rsidP="006C556E">
      <w:pPr>
        <w:pStyle w:val="ListParagraph"/>
        <w:numPr>
          <w:ilvl w:val="0"/>
          <w:numId w:val="5"/>
        </w:numPr>
        <w:rPr>
          <w:rFonts w:cs="Times New Roman"/>
          <w:szCs w:val="24"/>
          <w:lang w:val="sr-Cyrl-CS"/>
        </w:rPr>
      </w:pPr>
      <w:r w:rsidRPr="009F5B52">
        <w:rPr>
          <w:rFonts w:cs="Times New Roman"/>
          <w:szCs w:val="24"/>
          <w:lang w:val="sr-Cyrl-CS"/>
        </w:rPr>
        <w:t>з</w:t>
      </w:r>
      <w:r w:rsidR="006C556E" w:rsidRPr="009F5B52">
        <w:rPr>
          <w:rFonts w:cs="Times New Roman"/>
          <w:szCs w:val="24"/>
          <w:lang w:val="sr-Cyrl-CS"/>
        </w:rPr>
        <w:t>апошљавање, односно улазак на тржиште рада</w:t>
      </w:r>
      <w:r w:rsidR="004C653D" w:rsidRPr="009F5B52">
        <w:rPr>
          <w:rFonts w:cs="Times New Roman"/>
          <w:szCs w:val="24"/>
          <w:lang w:val="sr-Cyrl-CS"/>
        </w:rPr>
        <w:t>,</w:t>
      </w:r>
      <w:r w:rsidR="006C556E" w:rsidRPr="009F5B52">
        <w:rPr>
          <w:rFonts w:cs="Times New Roman"/>
          <w:szCs w:val="24"/>
          <w:lang w:val="sr-Cyrl-CS"/>
        </w:rPr>
        <w:t xml:space="preserve"> представља основни канал за интегрисање у друштво, и</w:t>
      </w:r>
      <w:r w:rsidR="00124CA4" w:rsidRPr="009F5B52">
        <w:rPr>
          <w:rFonts w:cs="Times New Roman"/>
          <w:szCs w:val="24"/>
          <w:lang w:val="sr-Cyrl-CS"/>
        </w:rPr>
        <w:t xml:space="preserve"> </w:t>
      </w:r>
    </w:p>
    <w:p w:rsidR="00124CA4" w:rsidRPr="009F5B52" w:rsidRDefault="00595F49" w:rsidP="00624258">
      <w:pPr>
        <w:pStyle w:val="ListParagraph"/>
        <w:numPr>
          <w:ilvl w:val="0"/>
          <w:numId w:val="5"/>
        </w:numPr>
        <w:rPr>
          <w:rFonts w:cs="Times New Roman"/>
          <w:szCs w:val="24"/>
          <w:lang w:val="sr-Cyrl-CS"/>
        </w:rPr>
      </w:pPr>
      <w:r w:rsidRPr="009F5B52">
        <w:rPr>
          <w:rFonts w:cs="Times New Roman"/>
          <w:szCs w:val="24"/>
          <w:lang w:val="sr-Cyrl-CS"/>
        </w:rPr>
        <w:t>п</w:t>
      </w:r>
      <w:r w:rsidR="006C556E" w:rsidRPr="009F5B52">
        <w:rPr>
          <w:rFonts w:cs="Times New Roman"/>
          <w:szCs w:val="24"/>
          <w:lang w:val="sr-Cyrl-CS"/>
        </w:rPr>
        <w:t xml:space="preserve">олитике социјалне заштите </w:t>
      </w:r>
      <w:r w:rsidRPr="009F5B52">
        <w:rPr>
          <w:rFonts w:cs="Times New Roman"/>
          <w:szCs w:val="24"/>
          <w:lang w:val="sr-Cyrl-CS"/>
        </w:rPr>
        <w:t>обезбеђују</w:t>
      </w:r>
      <w:r w:rsidR="006C556E" w:rsidRPr="009F5B52">
        <w:rPr>
          <w:rFonts w:cs="Times New Roman"/>
          <w:szCs w:val="24"/>
          <w:lang w:val="sr-Cyrl-CS"/>
        </w:rPr>
        <w:t xml:space="preserve"> механизме подршке особама које нису ус</w:t>
      </w:r>
      <w:r w:rsidR="003C67D9" w:rsidRPr="009F5B52">
        <w:rPr>
          <w:rFonts w:cs="Times New Roman"/>
          <w:szCs w:val="24"/>
          <w:lang w:val="sr-Cyrl-CS"/>
        </w:rPr>
        <w:t>пеле да се интегришу у шире друштво</w:t>
      </w:r>
      <w:r w:rsidR="00124CA4" w:rsidRPr="009F5B52">
        <w:rPr>
          <w:rFonts w:cs="Times New Roman"/>
          <w:szCs w:val="24"/>
          <w:lang w:val="sr-Cyrl-CS"/>
        </w:rPr>
        <w:t xml:space="preserve">. </w:t>
      </w:r>
    </w:p>
    <w:p w:rsidR="00124CA4" w:rsidRPr="009F5B52" w:rsidRDefault="003C67D9" w:rsidP="00124CA4">
      <w:pPr>
        <w:rPr>
          <w:rFonts w:cs="Times New Roman"/>
          <w:szCs w:val="24"/>
          <w:lang w:val="sr-Cyrl-CS"/>
        </w:rPr>
      </w:pPr>
      <w:r w:rsidRPr="009F5B52">
        <w:rPr>
          <w:rFonts w:cs="Times New Roman"/>
          <w:szCs w:val="24"/>
          <w:lang w:val="sr-Cyrl-CS"/>
        </w:rPr>
        <w:t xml:space="preserve">Политике у другим областима, као што су становање, миграције, људска права, мањинска права и друге, такође су веома важне. Међутим, у контексту проблема социјалне искључености у Републици Србији, најважнија питања су: низак степен образовања, висок степен незапослености, велике разлике између региона, као и </w:t>
      </w:r>
      <w:r w:rsidR="00595F49" w:rsidRPr="009F5B52">
        <w:rPr>
          <w:rFonts w:cs="Times New Roman"/>
          <w:szCs w:val="24"/>
          <w:lang w:val="sr-Cyrl-CS"/>
        </w:rPr>
        <w:t xml:space="preserve">јаз </w:t>
      </w:r>
      <w:r w:rsidRPr="009F5B52">
        <w:rPr>
          <w:rFonts w:cs="Times New Roman"/>
          <w:szCs w:val="24"/>
          <w:lang w:val="sr-Cyrl-CS"/>
        </w:rPr>
        <w:t>између руралног и урбаног становништва, итд</w:t>
      </w:r>
      <w:r w:rsidR="00124CA4" w:rsidRPr="009F5B52">
        <w:rPr>
          <w:rFonts w:cs="Times New Roman"/>
          <w:szCs w:val="24"/>
          <w:lang w:val="sr-Cyrl-CS"/>
        </w:rPr>
        <w:t>.</w:t>
      </w:r>
      <w:r w:rsidR="00124CA4" w:rsidRPr="009F5B52">
        <w:rPr>
          <w:rStyle w:val="FootnoteReference"/>
          <w:rFonts w:cs="Times New Roman"/>
          <w:szCs w:val="24"/>
          <w:lang w:val="sr-Cyrl-CS"/>
        </w:rPr>
        <w:footnoteReference w:id="29"/>
      </w:r>
      <w:r w:rsidR="00124CA4" w:rsidRPr="009F5B52">
        <w:rPr>
          <w:rFonts w:cs="Times New Roman"/>
          <w:szCs w:val="24"/>
          <w:lang w:val="sr-Cyrl-CS"/>
        </w:rPr>
        <w:t xml:space="preserve">. </w:t>
      </w:r>
    </w:p>
    <w:p w:rsidR="00124CA4" w:rsidRPr="009F5B52" w:rsidRDefault="003C67D9" w:rsidP="00124CA4">
      <w:pPr>
        <w:rPr>
          <w:rFonts w:cs="Times New Roman"/>
          <w:szCs w:val="24"/>
          <w:lang w:val="sr-Cyrl-CS"/>
        </w:rPr>
      </w:pPr>
      <w:r w:rsidRPr="009F5B52">
        <w:rPr>
          <w:rFonts w:cs="Times New Roman"/>
          <w:szCs w:val="24"/>
          <w:lang w:val="sr-Cyrl-CS"/>
        </w:rPr>
        <w:t xml:space="preserve">У циљу интегрисања секторских политика, структура управљања Фондом за социјално укључивање мора обухватити високе представнике </w:t>
      </w:r>
      <w:r w:rsidR="00595F49" w:rsidRPr="009F5B52">
        <w:rPr>
          <w:rFonts w:cs="Times New Roman"/>
          <w:szCs w:val="24"/>
          <w:lang w:val="sr-Cyrl-CS"/>
        </w:rPr>
        <w:t>барем</w:t>
      </w:r>
      <w:r w:rsidRPr="009F5B52">
        <w:rPr>
          <w:rFonts w:cs="Times New Roman"/>
          <w:szCs w:val="24"/>
          <w:lang w:val="sr-Cyrl-CS"/>
        </w:rPr>
        <w:t xml:space="preserve"> следећих органа</w:t>
      </w:r>
      <w:r w:rsidR="00124CA4" w:rsidRPr="009F5B52">
        <w:rPr>
          <w:rFonts w:cs="Times New Roman"/>
          <w:szCs w:val="24"/>
          <w:lang w:val="sr-Cyrl-CS"/>
        </w:rPr>
        <w:t xml:space="preserve">: </w:t>
      </w:r>
    </w:p>
    <w:p w:rsidR="00124CA4" w:rsidRPr="009F5B52" w:rsidRDefault="003C67D9" w:rsidP="00624258">
      <w:pPr>
        <w:pStyle w:val="ListParagraph"/>
        <w:numPr>
          <w:ilvl w:val="0"/>
          <w:numId w:val="5"/>
        </w:numPr>
        <w:rPr>
          <w:rFonts w:cs="Times New Roman"/>
          <w:szCs w:val="24"/>
          <w:lang w:val="sr-Cyrl-CS"/>
        </w:rPr>
      </w:pPr>
      <w:r w:rsidRPr="009F5B52">
        <w:rPr>
          <w:rFonts w:cs="Times New Roman"/>
          <w:szCs w:val="24"/>
          <w:lang w:val="sr-Cyrl-CS"/>
        </w:rPr>
        <w:t>Министарства рада и социјалне политике</w:t>
      </w:r>
      <w:r w:rsidR="00124CA4" w:rsidRPr="009F5B52">
        <w:rPr>
          <w:rFonts w:cs="Times New Roman"/>
          <w:szCs w:val="24"/>
          <w:lang w:val="sr-Cyrl-CS"/>
        </w:rPr>
        <w:t xml:space="preserve">, </w:t>
      </w:r>
    </w:p>
    <w:p w:rsidR="003C67D9" w:rsidRPr="009F5B52" w:rsidRDefault="003C67D9" w:rsidP="00624258">
      <w:pPr>
        <w:pStyle w:val="ListParagraph"/>
        <w:numPr>
          <w:ilvl w:val="0"/>
          <w:numId w:val="5"/>
        </w:numPr>
        <w:rPr>
          <w:rFonts w:cs="Times New Roman"/>
          <w:szCs w:val="24"/>
          <w:lang w:val="sr-Cyrl-CS"/>
        </w:rPr>
      </w:pPr>
      <w:r w:rsidRPr="009F5B52">
        <w:rPr>
          <w:rFonts w:cs="Times New Roman"/>
          <w:szCs w:val="24"/>
          <w:lang w:val="sr-Cyrl-CS"/>
        </w:rPr>
        <w:t xml:space="preserve">Министарства </w:t>
      </w:r>
      <w:r w:rsidR="004C653D" w:rsidRPr="009F5B52">
        <w:rPr>
          <w:rFonts w:cs="Times New Roman"/>
          <w:szCs w:val="24"/>
          <w:lang w:val="sr-Cyrl-CS"/>
        </w:rPr>
        <w:t>просвете</w:t>
      </w:r>
      <w:r w:rsidRPr="009F5B52">
        <w:rPr>
          <w:rFonts w:cs="Times New Roman"/>
          <w:szCs w:val="24"/>
          <w:lang w:val="sr-Cyrl-CS"/>
        </w:rPr>
        <w:t xml:space="preserve"> и науке</w:t>
      </w:r>
      <w:r w:rsidR="00124CA4" w:rsidRPr="009F5B52">
        <w:rPr>
          <w:rFonts w:cs="Times New Roman"/>
          <w:szCs w:val="24"/>
          <w:lang w:val="sr-Cyrl-CS"/>
        </w:rPr>
        <w:t>,</w:t>
      </w:r>
    </w:p>
    <w:p w:rsidR="003C67D9" w:rsidRPr="009F5B52" w:rsidRDefault="003C67D9" w:rsidP="00624258">
      <w:pPr>
        <w:pStyle w:val="ListParagraph"/>
        <w:numPr>
          <w:ilvl w:val="0"/>
          <w:numId w:val="5"/>
        </w:numPr>
        <w:rPr>
          <w:rFonts w:cs="Times New Roman"/>
          <w:szCs w:val="24"/>
          <w:lang w:val="sr-Cyrl-CS"/>
        </w:rPr>
      </w:pPr>
      <w:r w:rsidRPr="009F5B52">
        <w:rPr>
          <w:rFonts w:cs="Times New Roman"/>
          <w:szCs w:val="24"/>
          <w:lang w:val="sr-Cyrl-CS"/>
        </w:rPr>
        <w:t xml:space="preserve">Министарства економије и регионалног развоја, </w:t>
      </w:r>
    </w:p>
    <w:p w:rsidR="00E47834" w:rsidRPr="009F5B52" w:rsidRDefault="003C67D9" w:rsidP="003C67D9">
      <w:pPr>
        <w:pStyle w:val="ListParagraph"/>
        <w:numPr>
          <w:ilvl w:val="0"/>
          <w:numId w:val="5"/>
        </w:numPr>
        <w:rPr>
          <w:rFonts w:cs="Times New Roman"/>
          <w:szCs w:val="24"/>
          <w:lang w:val="sr-Cyrl-CS"/>
        </w:rPr>
      </w:pPr>
      <w:r w:rsidRPr="009F5B52">
        <w:rPr>
          <w:rFonts w:cs="Times New Roman"/>
          <w:szCs w:val="24"/>
          <w:lang w:val="sr-Cyrl-CS"/>
        </w:rPr>
        <w:t>Министарства за људска и мањинска права, државн</w:t>
      </w:r>
      <w:r w:rsidR="004C653D" w:rsidRPr="009F5B52">
        <w:rPr>
          <w:rFonts w:cs="Times New Roman"/>
          <w:szCs w:val="24"/>
          <w:lang w:val="sr-Cyrl-CS"/>
        </w:rPr>
        <w:t>у</w:t>
      </w:r>
      <w:r w:rsidRPr="009F5B52">
        <w:rPr>
          <w:rFonts w:cs="Times New Roman"/>
          <w:szCs w:val="24"/>
          <w:lang w:val="sr-Cyrl-CS"/>
        </w:rPr>
        <w:t xml:space="preserve"> управ</w:t>
      </w:r>
      <w:r w:rsidR="004C653D" w:rsidRPr="009F5B52">
        <w:rPr>
          <w:rFonts w:cs="Times New Roman"/>
          <w:szCs w:val="24"/>
          <w:lang w:val="sr-Cyrl-CS"/>
        </w:rPr>
        <w:t>у</w:t>
      </w:r>
      <w:r w:rsidRPr="009F5B52">
        <w:rPr>
          <w:rFonts w:cs="Times New Roman"/>
          <w:szCs w:val="24"/>
          <w:lang w:val="sr-Cyrl-CS"/>
        </w:rPr>
        <w:t xml:space="preserve"> и локалн</w:t>
      </w:r>
      <w:r w:rsidR="004C653D" w:rsidRPr="009F5B52">
        <w:rPr>
          <w:rFonts w:cs="Times New Roman"/>
          <w:szCs w:val="24"/>
          <w:lang w:val="sr-Cyrl-CS"/>
        </w:rPr>
        <w:t>у</w:t>
      </w:r>
      <w:r w:rsidRPr="009F5B52">
        <w:rPr>
          <w:rFonts w:cs="Times New Roman"/>
          <w:szCs w:val="24"/>
          <w:lang w:val="sr-Cyrl-CS"/>
        </w:rPr>
        <w:t xml:space="preserve"> самоуправ</w:t>
      </w:r>
      <w:r w:rsidR="004C653D" w:rsidRPr="009F5B52">
        <w:rPr>
          <w:rFonts w:cs="Times New Roman"/>
          <w:szCs w:val="24"/>
          <w:lang w:val="sr-Cyrl-CS"/>
        </w:rPr>
        <w:t>у</w:t>
      </w:r>
      <w:r w:rsidR="00BC5306" w:rsidRPr="009F5B52">
        <w:rPr>
          <w:rFonts w:cs="Times New Roman"/>
          <w:szCs w:val="24"/>
          <w:lang w:val="sr-Cyrl-CS"/>
        </w:rPr>
        <w:t>,</w:t>
      </w:r>
    </w:p>
    <w:p w:rsidR="00BC5306" w:rsidRPr="009F5B52" w:rsidRDefault="003C67D9" w:rsidP="003C67D9">
      <w:pPr>
        <w:pStyle w:val="ListParagraph"/>
        <w:numPr>
          <w:ilvl w:val="0"/>
          <w:numId w:val="5"/>
        </w:numPr>
        <w:rPr>
          <w:rFonts w:cs="Times New Roman"/>
          <w:szCs w:val="24"/>
          <w:lang w:val="sr-Cyrl-CS"/>
        </w:rPr>
      </w:pPr>
      <w:r w:rsidRPr="009F5B52">
        <w:rPr>
          <w:rFonts w:cs="Times New Roman"/>
          <w:szCs w:val="24"/>
          <w:lang w:val="sr-Cyrl-CS"/>
        </w:rPr>
        <w:t>Министарства здравља</w:t>
      </w:r>
      <w:r w:rsidR="00BC5306" w:rsidRPr="009F5B52">
        <w:rPr>
          <w:rFonts w:cs="Times New Roman"/>
          <w:szCs w:val="24"/>
          <w:lang w:val="sr-Cyrl-CS"/>
        </w:rPr>
        <w:t xml:space="preserve"> и</w:t>
      </w:r>
    </w:p>
    <w:p w:rsidR="00124CA4" w:rsidRPr="009F5B52" w:rsidRDefault="00BC5306" w:rsidP="003C67D9">
      <w:pPr>
        <w:pStyle w:val="ListParagraph"/>
        <w:numPr>
          <w:ilvl w:val="0"/>
          <w:numId w:val="5"/>
        </w:numPr>
        <w:rPr>
          <w:rFonts w:cs="Times New Roman"/>
          <w:szCs w:val="24"/>
          <w:lang w:val="sr-Cyrl-CS"/>
        </w:rPr>
      </w:pPr>
      <w:r w:rsidRPr="009F5B52">
        <w:rPr>
          <w:rFonts w:cs="Times New Roman"/>
          <w:szCs w:val="24"/>
          <w:lang w:val="sr-Cyrl-CS"/>
        </w:rPr>
        <w:t xml:space="preserve">Сталне конференције градова и општина. </w:t>
      </w:r>
      <w:r w:rsidR="00124CA4" w:rsidRPr="009F5B52">
        <w:rPr>
          <w:rFonts w:cs="Times New Roman"/>
          <w:szCs w:val="24"/>
          <w:lang w:val="sr-Cyrl-CS"/>
        </w:rPr>
        <w:t xml:space="preserve"> </w:t>
      </w:r>
    </w:p>
    <w:p w:rsidR="00124CA4" w:rsidRPr="009F5B52" w:rsidRDefault="003C67D9" w:rsidP="003C67D9">
      <w:pPr>
        <w:rPr>
          <w:rFonts w:cs="Times New Roman"/>
          <w:szCs w:val="24"/>
          <w:lang w:val="sr-Cyrl-CS"/>
        </w:rPr>
      </w:pPr>
      <w:r w:rsidRPr="009F5B52">
        <w:rPr>
          <w:rFonts w:cs="Times New Roman"/>
          <w:szCs w:val="24"/>
          <w:lang w:val="sr-Cyrl-CS"/>
        </w:rPr>
        <w:lastRenderedPageBreak/>
        <w:t xml:space="preserve">На овај начин обезбедиће се интегрисање политика у областима образовања, социјалне политике, запошљавања и здравља. Детаљније дефинисање </w:t>
      </w:r>
      <w:r w:rsidR="004C653D" w:rsidRPr="009F5B52">
        <w:rPr>
          <w:rFonts w:cs="Times New Roman"/>
          <w:szCs w:val="24"/>
          <w:lang w:val="sr-Cyrl-CS"/>
        </w:rPr>
        <w:t>организационе структуре, унутрашњих процедура, попуњавања</w:t>
      </w:r>
      <w:r w:rsidRPr="009F5B52">
        <w:rPr>
          <w:rFonts w:cs="Times New Roman"/>
          <w:szCs w:val="24"/>
          <w:lang w:val="sr-Cyrl-CS"/>
        </w:rPr>
        <w:t xml:space="preserve"> </w:t>
      </w:r>
      <w:r w:rsidR="004C653D" w:rsidRPr="009F5B52">
        <w:rPr>
          <w:rFonts w:cs="Times New Roman"/>
          <w:szCs w:val="24"/>
          <w:lang w:val="sr-Cyrl-CS"/>
        </w:rPr>
        <w:t xml:space="preserve">радних места </w:t>
      </w:r>
      <w:r w:rsidRPr="009F5B52">
        <w:rPr>
          <w:rFonts w:cs="Times New Roman"/>
          <w:szCs w:val="24"/>
          <w:lang w:val="sr-Cyrl-CS"/>
        </w:rPr>
        <w:t xml:space="preserve">и других питања захтева </w:t>
      </w:r>
      <w:r w:rsidR="004C653D" w:rsidRPr="009F5B52">
        <w:rPr>
          <w:rFonts w:cs="Times New Roman"/>
          <w:szCs w:val="24"/>
          <w:lang w:val="sr-Cyrl-CS"/>
        </w:rPr>
        <w:t>решавање претходних питања која се тичу</w:t>
      </w:r>
      <w:r w:rsidRPr="009F5B52">
        <w:rPr>
          <w:rFonts w:cs="Times New Roman"/>
          <w:szCs w:val="24"/>
          <w:lang w:val="sr-Cyrl-CS"/>
        </w:rPr>
        <w:t xml:space="preserve"> </w:t>
      </w:r>
      <w:r w:rsidR="004C653D" w:rsidRPr="009F5B52">
        <w:rPr>
          <w:rFonts w:cs="Times New Roman"/>
          <w:szCs w:val="24"/>
          <w:lang w:val="sr-Cyrl-CS"/>
        </w:rPr>
        <w:t>поменутих аспеката</w:t>
      </w:r>
      <w:r w:rsidRPr="009F5B52">
        <w:rPr>
          <w:rFonts w:cs="Times New Roman"/>
          <w:szCs w:val="24"/>
          <w:lang w:val="sr-Cyrl-CS"/>
        </w:rPr>
        <w:t xml:space="preserve"> рад</w:t>
      </w:r>
      <w:r w:rsidR="004C653D" w:rsidRPr="009F5B52">
        <w:rPr>
          <w:rFonts w:cs="Times New Roman"/>
          <w:szCs w:val="24"/>
          <w:lang w:val="sr-Cyrl-CS"/>
        </w:rPr>
        <w:t>а</w:t>
      </w:r>
      <w:r w:rsidRPr="009F5B52">
        <w:rPr>
          <w:rFonts w:cs="Times New Roman"/>
          <w:szCs w:val="24"/>
          <w:lang w:val="sr-Cyrl-CS"/>
        </w:rPr>
        <w:t xml:space="preserve"> будућег Фонда за социјално укључивање. </w:t>
      </w:r>
    </w:p>
    <w:p w:rsidR="00870BCA" w:rsidRPr="009F5B52" w:rsidRDefault="008D62BD" w:rsidP="00D2338B">
      <w:pPr>
        <w:pStyle w:val="Heading2"/>
        <w:rPr>
          <w:rStyle w:val="IntenseReference"/>
          <w:b/>
          <w:bCs/>
          <w:smallCaps w:val="0"/>
          <w:color w:val="4F81BD" w:themeColor="accent1"/>
          <w:spacing w:val="0"/>
          <w:u w:val="none"/>
          <w:lang w:val="sr-Cyrl-CS"/>
        </w:rPr>
      </w:pPr>
      <w:bookmarkStart w:id="59" w:name="_Toc323810586"/>
      <w:bookmarkStart w:id="60" w:name="_Toc330562314"/>
      <w:r w:rsidRPr="009F5B52">
        <w:rPr>
          <w:rStyle w:val="IntenseReference"/>
          <w:b/>
          <w:bCs/>
          <w:smallCaps w:val="0"/>
          <w:color w:val="4F81BD" w:themeColor="accent1"/>
          <w:spacing w:val="0"/>
          <w:u w:val="none"/>
          <w:lang w:val="sr-Cyrl-CS"/>
        </w:rPr>
        <w:t>3</w:t>
      </w:r>
      <w:r w:rsidR="00D2338B" w:rsidRPr="009F5B52">
        <w:rPr>
          <w:rStyle w:val="IntenseReference"/>
          <w:b/>
          <w:bCs/>
          <w:smallCaps w:val="0"/>
          <w:color w:val="4F81BD" w:themeColor="accent1"/>
          <w:spacing w:val="0"/>
          <w:u w:val="none"/>
          <w:lang w:val="sr-Cyrl-CS"/>
        </w:rPr>
        <w:t xml:space="preserve">.2. </w:t>
      </w:r>
      <w:r w:rsidR="003C67D9" w:rsidRPr="009F5B52">
        <w:rPr>
          <w:rStyle w:val="IntenseReference"/>
          <w:b/>
          <w:bCs/>
          <w:smallCaps w:val="0"/>
          <w:color w:val="4F81BD" w:themeColor="accent1"/>
          <w:spacing w:val="0"/>
          <w:u w:val="none"/>
          <w:lang w:val="sr-Cyrl-CS"/>
        </w:rPr>
        <w:t xml:space="preserve">Могући правни основ </w:t>
      </w:r>
      <w:r w:rsidR="00BC5306" w:rsidRPr="009F5B52">
        <w:rPr>
          <w:rStyle w:val="IntenseReference"/>
          <w:b/>
          <w:bCs/>
          <w:smallCaps w:val="0"/>
          <w:color w:val="4F81BD" w:themeColor="accent1"/>
          <w:spacing w:val="0"/>
          <w:u w:val="none"/>
          <w:lang w:val="sr-Cyrl-CS"/>
        </w:rPr>
        <w:t xml:space="preserve">за успостављање </w:t>
      </w:r>
      <w:r w:rsidR="003C67D9" w:rsidRPr="009F5B52">
        <w:rPr>
          <w:rStyle w:val="IntenseReference"/>
          <w:b/>
          <w:bCs/>
          <w:smallCaps w:val="0"/>
          <w:color w:val="4F81BD" w:themeColor="accent1"/>
          <w:spacing w:val="0"/>
          <w:u w:val="none"/>
          <w:lang w:val="sr-Cyrl-CS"/>
        </w:rPr>
        <w:t>Фонда за социјално укључивање</w:t>
      </w:r>
      <w:bookmarkEnd w:id="59"/>
      <w:bookmarkEnd w:id="60"/>
      <w:r w:rsidR="00870BCA" w:rsidRPr="009F5B52">
        <w:rPr>
          <w:rStyle w:val="IntenseReference"/>
          <w:b/>
          <w:bCs/>
          <w:smallCaps w:val="0"/>
          <w:color w:val="4F81BD" w:themeColor="accent1"/>
          <w:spacing w:val="0"/>
          <w:u w:val="none"/>
          <w:lang w:val="sr-Cyrl-CS"/>
        </w:rPr>
        <w:t xml:space="preserve"> </w:t>
      </w:r>
    </w:p>
    <w:p w:rsidR="000626E3" w:rsidRPr="009F5B52" w:rsidRDefault="000626E3" w:rsidP="00870BCA">
      <w:pPr>
        <w:rPr>
          <w:rFonts w:cs="Times New Roman"/>
          <w:szCs w:val="24"/>
          <w:lang w:val="sr-Cyrl-CS"/>
        </w:rPr>
      </w:pPr>
      <w:r w:rsidRPr="009F5B52">
        <w:rPr>
          <w:rFonts w:cs="Times New Roman"/>
          <w:szCs w:val="24"/>
          <w:lang w:val="sr-Cyrl-CS"/>
        </w:rPr>
        <w:t>Како би мо</w:t>
      </w:r>
      <w:r w:rsidR="007A2D2F" w:rsidRPr="009F5B52">
        <w:rPr>
          <w:rFonts w:cs="Times New Roman"/>
          <w:szCs w:val="24"/>
          <w:lang w:val="sr-Cyrl-CS"/>
        </w:rPr>
        <w:t>г</w:t>
      </w:r>
      <w:r w:rsidRPr="009F5B52">
        <w:rPr>
          <w:rFonts w:cs="Times New Roman"/>
          <w:szCs w:val="24"/>
          <w:lang w:val="sr-Cyrl-CS"/>
        </w:rPr>
        <w:t>ао да врши функцију у</w:t>
      </w:r>
      <w:r w:rsidR="00BC5306" w:rsidRPr="009F5B52">
        <w:rPr>
          <w:rFonts w:cs="Times New Roman"/>
          <w:szCs w:val="24"/>
          <w:lang w:val="sr-Cyrl-CS"/>
        </w:rPr>
        <w:t xml:space="preserve">прављања средствима из буџета и, потенцијално, </w:t>
      </w:r>
      <w:r w:rsidRPr="009F5B52">
        <w:rPr>
          <w:rFonts w:cs="Times New Roman"/>
          <w:szCs w:val="24"/>
          <w:lang w:val="sr-Cyrl-CS"/>
        </w:rPr>
        <w:t xml:space="preserve">фондова ЕУ, као и функцију </w:t>
      </w:r>
      <w:r w:rsidR="004C653D" w:rsidRPr="009F5B52">
        <w:rPr>
          <w:rFonts w:cs="Times New Roman"/>
          <w:szCs w:val="24"/>
          <w:lang w:val="sr-Cyrl-CS"/>
        </w:rPr>
        <w:t>додељивања</w:t>
      </w:r>
      <w:r w:rsidRPr="009F5B52">
        <w:rPr>
          <w:rFonts w:cs="Times New Roman"/>
          <w:szCs w:val="24"/>
          <w:lang w:val="sr-Cyrl-CS"/>
        </w:rPr>
        <w:t xml:space="preserve"> бесповратни</w:t>
      </w:r>
      <w:r w:rsidR="004C653D" w:rsidRPr="009F5B52">
        <w:rPr>
          <w:rFonts w:cs="Times New Roman"/>
          <w:szCs w:val="24"/>
          <w:lang w:val="sr-Cyrl-CS"/>
        </w:rPr>
        <w:t>х</w:t>
      </w:r>
      <w:r w:rsidRPr="009F5B52">
        <w:rPr>
          <w:rFonts w:cs="Times New Roman"/>
          <w:szCs w:val="24"/>
          <w:lang w:val="sr-Cyrl-CS"/>
        </w:rPr>
        <w:t xml:space="preserve"> средс</w:t>
      </w:r>
      <w:r w:rsidR="00595F49" w:rsidRPr="009F5B52">
        <w:rPr>
          <w:rFonts w:cs="Times New Roman"/>
          <w:szCs w:val="24"/>
          <w:lang w:val="sr-Cyrl-CS"/>
        </w:rPr>
        <w:t>т</w:t>
      </w:r>
      <w:r w:rsidR="004C653D" w:rsidRPr="009F5B52">
        <w:rPr>
          <w:rFonts w:cs="Times New Roman"/>
          <w:szCs w:val="24"/>
          <w:lang w:val="sr-Cyrl-CS"/>
        </w:rPr>
        <w:t>а</w:t>
      </w:r>
      <w:r w:rsidRPr="009F5B52">
        <w:rPr>
          <w:rFonts w:cs="Times New Roman"/>
          <w:szCs w:val="24"/>
          <w:lang w:val="sr-Cyrl-CS"/>
        </w:rPr>
        <w:t xml:space="preserve">ва, Фонд за социјално укључивање мора имати </w:t>
      </w:r>
      <w:r w:rsidRPr="009F5B52">
        <w:rPr>
          <w:rFonts w:cs="Times New Roman"/>
          <w:b/>
          <w:szCs w:val="24"/>
          <w:lang w:val="sr-Cyrl-CS"/>
        </w:rPr>
        <w:t>статус правног лица</w:t>
      </w:r>
      <w:r w:rsidRPr="009F5B52">
        <w:rPr>
          <w:rFonts w:cs="Times New Roman"/>
          <w:szCs w:val="24"/>
          <w:lang w:val="sr-Cyrl-CS"/>
        </w:rPr>
        <w:t xml:space="preserve"> и </w:t>
      </w:r>
      <w:r w:rsidR="00595F49" w:rsidRPr="009F5B52">
        <w:rPr>
          <w:rFonts w:cs="Times New Roman"/>
          <w:szCs w:val="24"/>
          <w:lang w:val="sr-Cyrl-CS"/>
        </w:rPr>
        <w:t>остваривати</w:t>
      </w:r>
      <w:r w:rsidRPr="009F5B52">
        <w:rPr>
          <w:rFonts w:cs="Times New Roman"/>
          <w:szCs w:val="24"/>
          <w:lang w:val="sr-Cyrl-CS"/>
        </w:rPr>
        <w:t xml:space="preserve"> </w:t>
      </w:r>
      <w:r w:rsidRPr="009F5B52">
        <w:rPr>
          <w:rFonts w:cs="Times New Roman"/>
          <w:b/>
          <w:szCs w:val="24"/>
          <w:lang w:val="sr-Cyrl-CS"/>
        </w:rPr>
        <w:t xml:space="preserve">блиску </w:t>
      </w:r>
      <w:r w:rsidR="00595F49" w:rsidRPr="009F5B52">
        <w:rPr>
          <w:rFonts w:cs="Times New Roman"/>
          <w:b/>
          <w:szCs w:val="24"/>
          <w:lang w:val="sr-Cyrl-CS"/>
        </w:rPr>
        <w:t>сарадњу</w:t>
      </w:r>
      <w:r w:rsidRPr="009F5B52">
        <w:rPr>
          <w:rFonts w:cs="Times New Roman"/>
          <w:b/>
          <w:szCs w:val="24"/>
          <w:lang w:val="sr-Cyrl-CS"/>
        </w:rPr>
        <w:t xml:space="preserve"> са релевантним заинтересованим странама </w:t>
      </w:r>
      <w:r w:rsidR="00595F49" w:rsidRPr="009F5B52">
        <w:rPr>
          <w:rFonts w:cs="Times New Roman"/>
          <w:szCs w:val="24"/>
          <w:lang w:val="sr-Cyrl-CS"/>
        </w:rPr>
        <w:t>(министарствима</w:t>
      </w:r>
      <w:r w:rsidRPr="009F5B52">
        <w:rPr>
          <w:rFonts w:cs="Times New Roman"/>
          <w:szCs w:val="24"/>
          <w:lang w:val="sr-Cyrl-CS"/>
        </w:rPr>
        <w:t>, организациј</w:t>
      </w:r>
      <w:r w:rsidR="00595F49" w:rsidRPr="009F5B52">
        <w:rPr>
          <w:rFonts w:cs="Times New Roman"/>
          <w:szCs w:val="24"/>
          <w:lang w:val="sr-Cyrl-CS"/>
        </w:rPr>
        <w:t>ама</w:t>
      </w:r>
      <w:r w:rsidRPr="009F5B52">
        <w:rPr>
          <w:rFonts w:cs="Times New Roman"/>
          <w:szCs w:val="24"/>
          <w:lang w:val="sr-Cyrl-CS"/>
        </w:rPr>
        <w:t xml:space="preserve"> цивилног друштва, итд). </w:t>
      </w:r>
    </w:p>
    <w:p w:rsidR="005F1A49" w:rsidRPr="009F5B52" w:rsidRDefault="00BC5306" w:rsidP="005F1A49">
      <w:pPr>
        <w:rPr>
          <w:rFonts w:cs="Times New Roman"/>
          <w:szCs w:val="24"/>
          <w:lang w:val="sr-Cyrl-CS"/>
        </w:rPr>
      </w:pPr>
      <w:r w:rsidRPr="009F5B52">
        <w:rPr>
          <w:rFonts w:cs="Times New Roman"/>
          <w:szCs w:val="24"/>
          <w:lang w:val="sr-Cyrl-CS"/>
        </w:rPr>
        <w:t>Овај</w:t>
      </w:r>
      <w:r w:rsidR="000626E3" w:rsidRPr="009F5B52">
        <w:rPr>
          <w:rFonts w:cs="Times New Roman"/>
          <w:szCs w:val="24"/>
          <w:lang w:val="sr-Cyrl-CS"/>
        </w:rPr>
        <w:t xml:space="preserve"> приступ одабран је на основу потребе за флексибилним системом и </w:t>
      </w:r>
      <w:r w:rsidR="00595F49" w:rsidRPr="009F5B52">
        <w:rPr>
          <w:rFonts w:cs="Times New Roman"/>
          <w:szCs w:val="24"/>
          <w:lang w:val="sr-Cyrl-CS"/>
        </w:rPr>
        <w:t>карактеристикама</w:t>
      </w:r>
      <w:r w:rsidR="000626E3" w:rsidRPr="009F5B52">
        <w:rPr>
          <w:rFonts w:cs="Times New Roman"/>
          <w:szCs w:val="24"/>
          <w:lang w:val="sr-Cyrl-CS"/>
        </w:rPr>
        <w:t xml:space="preserve"> </w:t>
      </w:r>
      <w:r w:rsidR="00595F49" w:rsidRPr="009F5B52">
        <w:rPr>
          <w:rFonts w:cs="Times New Roman"/>
          <w:szCs w:val="24"/>
          <w:lang w:val="sr-Cyrl-CS"/>
        </w:rPr>
        <w:t>система управљања</w:t>
      </w:r>
      <w:r w:rsidR="000626E3" w:rsidRPr="009F5B52">
        <w:rPr>
          <w:rFonts w:cs="Times New Roman"/>
          <w:szCs w:val="24"/>
          <w:lang w:val="sr-Cyrl-CS"/>
        </w:rPr>
        <w:t xml:space="preserve"> фондовима ЕУ</w:t>
      </w:r>
      <w:r w:rsidR="005F1A49" w:rsidRPr="009F5B52">
        <w:rPr>
          <w:rFonts w:cs="Times New Roman"/>
          <w:szCs w:val="24"/>
          <w:lang w:val="sr-Cyrl-CS"/>
        </w:rPr>
        <w:t>:</w:t>
      </w:r>
    </w:p>
    <w:p w:rsidR="005F1A49" w:rsidRPr="009F5B52" w:rsidRDefault="000626E3" w:rsidP="00624258">
      <w:pPr>
        <w:pStyle w:val="ListParagraph"/>
        <w:numPr>
          <w:ilvl w:val="0"/>
          <w:numId w:val="6"/>
        </w:numPr>
        <w:rPr>
          <w:rFonts w:cs="Times New Roman"/>
          <w:szCs w:val="24"/>
          <w:lang w:val="sr-Cyrl-CS"/>
        </w:rPr>
      </w:pPr>
      <w:r w:rsidRPr="009F5B52">
        <w:rPr>
          <w:rFonts w:cs="Times New Roman"/>
          <w:b/>
          <w:szCs w:val="24"/>
          <w:lang w:val="sr-Cyrl-CS"/>
        </w:rPr>
        <w:t xml:space="preserve">Фонд треба да поседује одвојен рачун </w:t>
      </w:r>
      <w:r w:rsidRPr="009F5B52">
        <w:rPr>
          <w:rFonts w:cs="Times New Roman"/>
          <w:szCs w:val="24"/>
          <w:lang w:val="sr-Cyrl-CS"/>
        </w:rPr>
        <w:t>– овим се омогућава увид у ток средстава</w:t>
      </w:r>
      <w:r w:rsidR="00F0193B" w:rsidRPr="009F5B52">
        <w:rPr>
          <w:rFonts w:cs="Times New Roman"/>
          <w:szCs w:val="24"/>
          <w:lang w:val="sr-Cyrl-CS"/>
        </w:rPr>
        <w:t>,</w:t>
      </w:r>
    </w:p>
    <w:p w:rsidR="005F1A49" w:rsidRPr="009F5B52" w:rsidRDefault="000626E3" w:rsidP="000626E3">
      <w:pPr>
        <w:pStyle w:val="ListParagraph"/>
        <w:numPr>
          <w:ilvl w:val="0"/>
          <w:numId w:val="6"/>
        </w:numPr>
        <w:rPr>
          <w:rFonts w:cs="Times New Roman"/>
          <w:szCs w:val="24"/>
          <w:lang w:val="sr-Cyrl-CS"/>
        </w:rPr>
      </w:pPr>
      <w:r w:rsidRPr="009F5B52">
        <w:rPr>
          <w:rFonts w:cs="Times New Roman"/>
          <w:b/>
          <w:szCs w:val="24"/>
          <w:lang w:val="sr-Cyrl-CS"/>
        </w:rPr>
        <w:t>Фонд се оснива у сврху кофинансирања помоћи ЕУ</w:t>
      </w:r>
      <w:r w:rsidR="005F1A49" w:rsidRPr="009F5B52">
        <w:rPr>
          <w:rFonts w:cs="Times New Roman"/>
          <w:szCs w:val="24"/>
          <w:lang w:val="sr-Cyrl-CS"/>
        </w:rPr>
        <w:t xml:space="preserve"> </w:t>
      </w:r>
      <w:r w:rsidR="00C3520D" w:rsidRPr="009F5B52">
        <w:rPr>
          <w:rFonts w:cs="Times New Roman"/>
          <w:szCs w:val="24"/>
          <w:lang w:val="sr-Cyrl-CS"/>
        </w:rPr>
        <w:t xml:space="preserve">– </w:t>
      </w:r>
      <w:r w:rsidRPr="009F5B52">
        <w:rPr>
          <w:rFonts w:cs="Times New Roman"/>
          <w:szCs w:val="24"/>
          <w:lang w:val="sr-Cyrl-CS"/>
        </w:rPr>
        <w:t xml:space="preserve">Фонд се не </w:t>
      </w:r>
      <w:r w:rsidR="004C653D" w:rsidRPr="009F5B52">
        <w:rPr>
          <w:rFonts w:cs="Times New Roman"/>
          <w:szCs w:val="24"/>
          <w:lang w:val="sr-Cyrl-CS"/>
        </w:rPr>
        <w:t>односи на само</w:t>
      </w:r>
      <w:r w:rsidRPr="009F5B52">
        <w:rPr>
          <w:rFonts w:cs="Times New Roman"/>
          <w:szCs w:val="24"/>
          <w:lang w:val="sr-Cyrl-CS"/>
        </w:rPr>
        <w:t xml:space="preserve"> јед</w:t>
      </w:r>
      <w:r w:rsidR="004C653D" w:rsidRPr="009F5B52">
        <w:rPr>
          <w:rFonts w:cs="Times New Roman"/>
          <w:szCs w:val="24"/>
          <w:lang w:val="sr-Cyrl-CS"/>
        </w:rPr>
        <w:t>а</w:t>
      </w:r>
      <w:r w:rsidRPr="009F5B52">
        <w:rPr>
          <w:rFonts w:cs="Times New Roman"/>
          <w:szCs w:val="24"/>
          <w:lang w:val="sr-Cyrl-CS"/>
        </w:rPr>
        <w:t>н пројек</w:t>
      </w:r>
      <w:r w:rsidR="004C653D" w:rsidRPr="009F5B52">
        <w:rPr>
          <w:rFonts w:cs="Times New Roman"/>
          <w:szCs w:val="24"/>
          <w:lang w:val="sr-Cyrl-CS"/>
        </w:rPr>
        <w:t>а</w:t>
      </w:r>
      <w:r w:rsidRPr="009F5B52">
        <w:rPr>
          <w:rFonts w:cs="Times New Roman"/>
          <w:szCs w:val="24"/>
          <w:lang w:val="sr-Cyrl-CS"/>
        </w:rPr>
        <w:t xml:space="preserve">т, што је случај у тренутном систему који је утврђен </w:t>
      </w:r>
      <w:r w:rsidR="000D5251" w:rsidRPr="009F5B52">
        <w:rPr>
          <w:rFonts w:cs="Times New Roman"/>
          <w:szCs w:val="24"/>
          <w:lang w:val="sr-Cyrl-CS"/>
        </w:rPr>
        <w:t>упутством за припрему</w:t>
      </w:r>
      <w:r w:rsidRPr="009F5B52">
        <w:rPr>
          <w:rFonts w:cs="Times New Roman"/>
          <w:szCs w:val="24"/>
          <w:lang w:val="sr-Cyrl-CS"/>
        </w:rPr>
        <w:t xml:space="preserve"> буџета, </w:t>
      </w:r>
    </w:p>
    <w:p w:rsidR="005F1A49" w:rsidRPr="009F5B52" w:rsidRDefault="000626E3" w:rsidP="00624258">
      <w:pPr>
        <w:pStyle w:val="ListParagraph"/>
        <w:numPr>
          <w:ilvl w:val="0"/>
          <w:numId w:val="6"/>
        </w:numPr>
        <w:rPr>
          <w:rFonts w:cs="Times New Roman"/>
          <w:szCs w:val="24"/>
          <w:lang w:val="sr-Cyrl-CS"/>
        </w:rPr>
      </w:pPr>
      <w:r w:rsidRPr="009F5B52">
        <w:rPr>
          <w:b/>
          <w:lang w:val="sr-Cyrl-CS"/>
        </w:rPr>
        <w:t xml:space="preserve">ресорна министарства се задужују </w:t>
      </w:r>
      <w:r w:rsidR="007A2D2F" w:rsidRPr="009F5B52">
        <w:rPr>
          <w:b/>
          <w:lang w:val="sr-Cyrl-CS"/>
        </w:rPr>
        <w:t>да управљају</w:t>
      </w:r>
      <w:r w:rsidRPr="009F5B52">
        <w:rPr>
          <w:b/>
          <w:lang w:val="sr-Cyrl-CS"/>
        </w:rPr>
        <w:t xml:space="preserve"> радом Фонда кроз управни одбор</w:t>
      </w:r>
      <w:r w:rsidR="00FA2F9B" w:rsidRPr="009F5B52">
        <w:rPr>
          <w:lang w:val="sr-Cyrl-CS"/>
        </w:rPr>
        <w:t xml:space="preserve"> </w:t>
      </w:r>
      <w:r w:rsidR="00C3520D" w:rsidRPr="009F5B52">
        <w:rPr>
          <w:rFonts w:cs="Times New Roman"/>
          <w:szCs w:val="24"/>
          <w:lang w:val="sr-Cyrl-CS"/>
        </w:rPr>
        <w:t xml:space="preserve">– </w:t>
      </w:r>
      <w:r w:rsidR="007A2D2F" w:rsidRPr="009F5B52">
        <w:rPr>
          <w:rFonts w:cs="Times New Roman"/>
          <w:szCs w:val="24"/>
          <w:lang w:val="sr-Cyrl-CS"/>
        </w:rPr>
        <w:t xml:space="preserve">на овај начин </w:t>
      </w:r>
      <w:r w:rsidR="00595F49" w:rsidRPr="009F5B52">
        <w:rPr>
          <w:rFonts w:cs="Times New Roman"/>
          <w:szCs w:val="24"/>
          <w:lang w:val="sr-Cyrl-CS"/>
        </w:rPr>
        <w:t>омогућава се</w:t>
      </w:r>
      <w:r w:rsidR="007A2D2F" w:rsidRPr="009F5B52">
        <w:rPr>
          <w:rFonts w:cs="Times New Roman"/>
          <w:szCs w:val="24"/>
          <w:lang w:val="sr-Cyrl-CS"/>
        </w:rPr>
        <w:t xml:space="preserve"> јасно дефинисање процедура у складу са прописима ЕУ</w:t>
      </w:r>
      <w:r w:rsidR="00D964DB" w:rsidRPr="009F5B52">
        <w:rPr>
          <w:rFonts w:cs="Times New Roman"/>
          <w:szCs w:val="24"/>
          <w:lang w:val="sr-Cyrl-CS"/>
        </w:rPr>
        <w:t>,</w:t>
      </w:r>
    </w:p>
    <w:p w:rsidR="005F1A49" w:rsidRPr="009F5B52" w:rsidRDefault="007A2D2F" w:rsidP="00624258">
      <w:pPr>
        <w:pStyle w:val="ListParagraph"/>
        <w:numPr>
          <w:ilvl w:val="0"/>
          <w:numId w:val="6"/>
        </w:numPr>
        <w:rPr>
          <w:rFonts w:cs="Times New Roman"/>
          <w:szCs w:val="24"/>
          <w:lang w:val="sr-Cyrl-CS"/>
        </w:rPr>
      </w:pPr>
      <w:r w:rsidRPr="009F5B52">
        <w:rPr>
          <w:rFonts w:cs="Times New Roman"/>
          <w:b/>
          <w:szCs w:val="24"/>
          <w:lang w:val="sr-Cyrl-CS"/>
        </w:rPr>
        <w:t>Фонд се оснива посебним законом</w:t>
      </w:r>
      <w:r w:rsidR="00C3520D" w:rsidRPr="009F5B52">
        <w:rPr>
          <w:rFonts w:cs="Times New Roman"/>
          <w:szCs w:val="24"/>
          <w:lang w:val="sr-Cyrl-CS"/>
        </w:rPr>
        <w:t xml:space="preserve"> </w:t>
      </w:r>
      <w:r w:rsidR="00CE5C37" w:rsidRPr="009F5B52">
        <w:rPr>
          <w:rFonts w:cs="Times New Roman"/>
          <w:szCs w:val="24"/>
          <w:lang w:val="sr-Cyrl-CS"/>
        </w:rPr>
        <w:t>–</w:t>
      </w:r>
      <w:r w:rsidR="00C3520D" w:rsidRPr="009F5B52">
        <w:rPr>
          <w:rFonts w:cs="Times New Roman"/>
          <w:szCs w:val="24"/>
          <w:lang w:val="sr-Cyrl-CS"/>
        </w:rPr>
        <w:t xml:space="preserve"> </w:t>
      </w:r>
      <w:r w:rsidRPr="009F5B52">
        <w:rPr>
          <w:rFonts w:cs="Times New Roman"/>
          <w:szCs w:val="24"/>
          <w:lang w:val="sr-Cyrl-CS"/>
        </w:rPr>
        <w:t xml:space="preserve">на овај начин обезбеђује се флексибилност неопходна за прецизно </w:t>
      </w:r>
      <w:r w:rsidR="000D5251" w:rsidRPr="009F5B52">
        <w:rPr>
          <w:rFonts w:cs="Times New Roman"/>
          <w:szCs w:val="24"/>
          <w:lang w:val="sr-Cyrl-CS"/>
        </w:rPr>
        <w:t>подешавање</w:t>
      </w:r>
      <w:r w:rsidRPr="009F5B52">
        <w:rPr>
          <w:rFonts w:cs="Times New Roman"/>
          <w:szCs w:val="24"/>
          <w:lang w:val="sr-Cyrl-CS"/>
        </w:rPr>
        <w:t xml:space="preserve"> </w:t>
      </w:r>
      <w:r w:rsidR="000D5251" w:rsidRPr="009F5B52">
        <w:rPr>
          <w:rFonts w:cs="Times New Roman"/>
          <w:szCs w:val="24"/>
          <w:lang w:val="sr-Cyrl-CS"/>
        </w:rPr>
        <w:t>децентрализованог</w:t>
      </w:r>
      <w:r w:rsidR="00BC5306" w:rsidRPr="009F5B52">
        <w:rPr>
          <w:rFonts w:cs="Times New Roman"/>
          <w:szCs w:val="24"/>
          <w:lang w:val="sr-Cyrl-CS"/>
        </w:rPr>
        <w:t xml:space="preserve"> </w:t>
      </w:r>
      <w:r w:rsidR="000D5251" w:rsidRPr="009F5B52">
        <w:rPr>
          <w:rFonts w:cs="Times New Roman"/>
          <w:szCs w:val="24"/>
          <w:lang w:val="sr-Cyrl-CS"/>
        </w:rPr>
        <w:t>управљања</w:t>
      </w:r>
      <w:r w:rsidRPr="009F5B52">
        <w:rPr>
          <w:rFonts w:cs="Times New Roman"/>
          <w:szCs w:val="24"/>
          <w:lang w:val="sr-Cyrl-CS"/>
        </w:rPr>
        <w:t xml:space="preserve"> </w:t>
      </w:r>
      <w:r w:rsidR="00595F49" w:rsidRPr="009F5B52">
        <w:rPr>
          <w:rFonts w:cs="Times New Roman"/>
          <w:szCs w:val="24"/>
          <w:lang w:val="sr-Cyrl-CS"/>
        </w:rPr>
        <w:t>фондовима</w:t>
      </w:r>
      <w:r w:rsidRPr="009F5B52">
        <w:rPr>
          <w:rFonts w:cs="Times New Roman"/>
          <w:szCs w:val="24"/>
          <w:lang w:val="sr-Cyrl-CS"/>
        </w:rPr>
        <w:t xml:space="preserve"> ЕУ</w:t>
      </w:r>
      <w:r w:rsidR="00D964DB" w:rsidRPr="009F5B52">
        <w:rPr>
          <w:rFonts w:cs="Times New Roman"/>
          <w:szCs w:val="24"/>
          <w:lang w:val="sr-Cyrl-CS"/>
        </w:rPr>
        <w:t>,</w:t>
      </w:r>
    </w:p>
    <w:p w:rsidR="005F1A49" w:rsidRPr="009F5B52" w:rsidRDefault="007A2D2F" w:rsidP="00624258">
      <w:pPr>
        <w:pStyle w:val="ListParagraph"/>
        <w:numPr>
          <w:ilvl w:val="0"/>
          <w:numId w:val="6"/>
        </w:numPr>
        <w:rPr>
          <w:rFonts w:cs="Times New Roman"/>
          <w:szCs w:val="24"/>
          <w:lang w:val="sr-Cyrl-CS"/>
        </w:rPr>
      </w:pPr>
      <w:r w:rsidRPr="009F5B52">
        <w:rPr>
          <w:rFonts w:cs="Times New Roman"/>
          <w:b/>
          <w:szCs w:val="24"/>
          <w:lang w:val="sr-Cyrl-CS"/>
        </w:rPr>
        <w:t>на крају текуће године непотрошена средства на рачуну Фонда преносе се на следећу годину</w:t>
      </w:r>
      <w:r w:rsidR="00C3520D" w:rsidRPr="009F5B52">
        <w:rPr>
          <w:rFonts w:cs="Times New Roman"/>
          <w:szCs w:val="24"/>
          <w:lang w:val="sr-Cyrl-CS"/>
        </w:rPr>
        <w:t xml:space="preserve"> </w:t>
      </w:r>
      <w:r w:rsidR="00CE5C37" w:rsidRPr="009F5B52">
        <w:rPr>
          <w:rFonts w:cs="Times New Roman"/>
          <w:szCs w:val="24"/>
          <w:lang w:val="sr-Cyrl-CS"/>
        </w:rPr>
        <w:t>–</w:t>
      </w:r>
      <w:r w:rsidR="00C3520D" w:rsidRPr="009F5B52">
        <w:rPr>
          <w:rFonts w:cs="Times New Roman"/>
          <w:szCs w:val="24"/>
          <w:lang w:val="sr-Cyrl-CS"/>
        </w:rPr>
        <w:t xml:space="preserve"> </w:t>
      </w:r>
      <w:r w:rsidRPr="009F5B52">
        <w:rPr>
          <w:rFonts w:cs="Times New Roman"/>
          <w:szCs w:val="24"/>
          <w:lang w:val="sr-Cyrl-CS"/>
        </w:rPr>
        <w:t>и на овај начин обезбеђује се флексибилност финансирања пројеката и омогућава брзо реаговање на потенцијалне промене у спровођењу пројеката.</w:t>
      </w:r>
    </w:p>
    <w:p w:rsidR="00C14BBC" w:rsidRPr="009F5B52" w:rsidRDefault="007A2D2F" w:rsidP="00C103EB">
      <w:pPr>
        <w:rPr>
          <w:rFonts w:cs="Times New Roman"/>
          <w:szCs w:val="24"/>
          <w:lang w:val="sr-Cyrl-CS"/>
        </w:rPr>
      </w:pPr>
      <w:r w:rsidRPr="009F5B52">
        <w:rPr>
          <w:rFonts w:cs="Times New Roman"/>
          <w:szCs w:val="24"/>
          <w:lang w:val="sr-Cyrl-CS"/>
        </w:rPr>
        <w:t xml:space="preserve">Имајући наведено у виду, најадекватније институционално решење за успостављање будућег Фонда за социјално укључивање јесте оснивање </w:t>
      </w:r>
      <w:r w:rsidR="000D5251" w:rsidRPr="009F5B52">
        <w:rPr>
          <w:rFonts w:cs="Times New Roman"/>
          <w:szCs w:val="24"/>
          <w:lang w:val="sr-Cyrl-CS"/>
        </w:rPr>
        <w:t>посебне организације</w:t>
      </w:r>
      <w:r w:rsidRPr="009F5B52">
        <w:rPr>
          <w:rFonts w:cs="Times New Roman"/>
          <w:szCs w:val="24"/>
          <w:lang w:val="sr-Cyrl-CS"/>
        </w:rPr>
        <w:t xml:space="preserve"> са јасним правним основом. Како би се искористили постојећи ресурси, </w:t>
      </w:r>
      <w:r w:rsidR="00BC5306" w:rsidRPr="009F5B52">
        <w:rPr>
          <w:rFonts w:cs="Times New Roman"/>
          <w:szCs w:val="24"/>
          <w:lang w:val="sr-Cyrl-CS"/>
        </w:rPr>
        <w:t xml:space="preserve">основно начело за успостављање </w:t>
      </w:r>
      <w:r w:rsidRPr="009F5B52">
        <w:rPr>
          <w:rFonts w:cs="Times New Roman"/>
          <w:szCs w:val="24"/>
          <w:lang w:val="sr-Cyrl-CS"/>
        </w:rPr>
        <w:t>Фонд</w:t>
      </w:r>
      <w:r w:rsidR="00BC5306" w:rsidRPr="009F5B52">
        <w:rPr>
          <w:rFonts w:cs="Times New Roman"/>
          <w:szCs w:val="24"/>
          <w:lang w:val="sr-Cyrl-CS"/>
        </w:rPr>
        <w:t xml:space="preserve">а треба да буде обухватање постојећих структура (нпр. буџетских фондова), под једном снажном и добро позиционираном кровном институцијом, чиме би се </w:t>
      </w:r>
      <w:r w:rsidRPr="009F5B52">
        <w:rPr>
          <w:rFonts w:cs="Times New Roman"/>
          <w:szCs w:val="24"/>
          <w:lang w:val="sr-Cyrl-CS"/>
        </w:rPr>
        <w:t>преуз</w:t>
      </w:r>
      <w:r w:rsidR="00BC5306" w:rsidRPr="009F5B52">
        <w:rPr>
          <w:rFonts w:cs="Times New Roman"/>
          <w:szCs w:val="24"/>
          <w:lang w:val="sr-Cyrl-CS"/>
        </w:rPr>
        <w:t>ела</w:t>
      </w:r>
      <w:r w:rsidRPr="009F5B52">
        <w:rPr>
          <w:rFonts w:cs="Times New Roman"/>
          <w:szCs w:val="24"/>
          <w:lang w:val="sr-Cyrl-CS"/>
        </w:rPr>
        <w:t xml:space="preserve"> запослена лица из постојећих структура. </w:t>
      </w:r>
    </w:p>
    <w:p w:rsidR="007A2D2F" w:rsidRPr="009F5B52" w:rsidRDefault="007A2D2F" w:rsidP="00C103EB">
      <w:pPr>
        <w:rPr>
          <w:rFonts w:cs="Times New Roman"/>
          <w:szCs w:val="24"/>
          <w:lang w:val="sr-Cyrl-CS"/>
        </w:rPr>
      </w:pPr>
    </w:p>
    <w:p w:rsidR="000F16AE" w:rsidRPr="009F5B52" w:rsidRDefault="000F16AE" w:rsidP="00C103EB">
      <w:pPr>
        <w:rPr>
          <w:rFonts w:cs="Times New Roman"/>
          <w:szCs w:val="24"/>
          <w:lang w:val="sr-Cyrl-CS"/>
        </w:rPr>
      </w:pPr>
    </w:p>
    <w:p w:rsidR="000F16AE" w:rsidRPr="009F5B52" w:rsidRDefault="000F16AE" w:rsidP="00C103EB">
      <w:pPr>
        <w:rPr>
          <w:rFonts w:cs="Times New Roman"/>
          <w:szCs w:val="24"/>
          <w:lang w:val="sr-Cyrl-CS"/>
        </w:rPr>
      </w:pPr>
    </w:p>
    <w:p w:rsidR="00BC5306" w:rsidRPr="009F5B52" w:rsidRDefault="00BC5306" w:rsidP="00C103EB">
      <w:pPr>
        <w:rPr>
          <w:rFonts w:cs="Times New Roman"/>
          <w:szCs w:val="24"/>
          <w:lang w:val="sr-Cyrl-CS"/>
        </w:rPr>
      </w:pPr>
    </w:p>
    <w:p w:rsidR="00BC5306" w:rsidRPr="009F5B52" w:rsidRDefault="00BC5306" w:rsidP="00C103EB">
      <w:pPr>
        <w:rPr>
          <w:rFonts w:cs="Times New Roman"/>
          <w:szCs w:val="24"/>
          <w:lang w:val="sr-Cyrl-CS"/>
        </w:rPr>
      </w:pPr>
    </w:p>
    <w:p w:rsidR="007A2D2F" w:rsidRPr="009F5B52" w:rsidRDefault="007A2D2F" w:rsidP="00C103EB">
      <w:pPr>
        <w:rPr>
          <w:rFonts w:cs="Times New Roman"/>
          <w:szCs w:val="24"/>
          <w:lang w:val="sr-Cyrl-CS"/>
        </w:rPr>
      </w:pPr>
    </w:p>
    <w:p w:rsidR="00BC5306" w:rsidRPr="009F5B52" w:rsidRDefault="000F16AE" w:rsidP="007A2D2F">
      <w:pPr>
        <w:rPr>
          <w:rFonts w:cs="Times New Roman"/>
          <w:szCs w:val="24"/>
          <w:lang w:val="sr-Cyrl-CS"/>
        </w:rPr>
      </w:pPr>
      <w:r w:rsidRPr="009F5B52">
        <w:rPr>
          <w:rFonts w:cs="Times New Roman"/>
          <w:noProof/>
          <w:szCs w:val="24"/>
          <w:lang w:val="sr-Cyrl-RS" w:eastAsia="sr-Cyrl-RS"/>
        </w:rPr>
        <mc:AlternateContent>
          <mc:Choice Requires="wps">
            <w:drawing>
              <wp:anchor distT="0" distB="0" distL="114300" distR="114300" simplePos="0" relativeHeight="251684864" behindDoc="0" locked="0" layoutInCell="1" allowOverlap="1" wp14:anchorId="66A3F6BD" wp14:editId="3B3D9118">
                <wp:simplePos x="0" y="0"/>
                <wp:positionH relativeFrom="column">
                  <wp:posOffset>-41910</wp:posOffset>
                </wp:positionH>
                <wp:positionV relativeFrom="paragraph">
                  <wp:posOffset>-602615</wp:posOffset>
                </wp:positionV>
                <wp:extent cx="5868035" cy="1636395"/>
                <wp:effectExtent l="0" t="0" r="18415" b="20955"/>
                <wp:wrapNone/>
                <wp:docPr id="2"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636395"/>
                        </a:xfrm>
                        <a:prstGeom prst="rect">
                          <a:avLst/>
                        </a:prstGeom>
                        <a:solidFill>
                          <a:schemeClr val="bg1">
                            <a:lumMod val="8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172313" w:rsidRPr="00C329B8" w:rsidRDefault="00172313" w:rsidP="005A5809">
                            <w:pPr>
                              <w:ind w:left="360"/>
                              <w:rPr>
                                <w:b/>
                                <w:i/>
                                <w:lang w:val="sr-Cyrl-CS"/>
                              </w:rPr>
                            </w:pPr>
                            <w:r w:rsidRPr="000D5251">
                              <w:rPr>
                                <w:rFonts w:cs="Times New Roman"/>
                                <w:b/>
                                <w:i/>
                                <w:szCs w:val="24"/>
                                <w:lang w:val="sr-Cyrl-CS"/>
                              </w:rPr>
                              <w:t xml:space="preserve">Како би могао да врши функцију управљања средствима из </w:t>
                            </w:r>
                            <w:r>
                              <w:rPr>
                                <w:rFonts w:cs="Times New Roman"/>
                                <w:b/>
                                <w:i/>
                                <w:szCs w:val="24"/>
                                <w:lang w:val="sr-Cyrl-CS"/>
                              </w:rPr>
                              <w:t xml:space="preserve">националног </w:t>
                            </w:r>
                            <w:r w:rsidRPr="000D5251">
                              <w:rPr>
                                <w:rFonts w:cs="Times New Roman"/>
                                <w:b/>
                                <w:i/>
                                <w:szCs w:val="24"/>
                                <w:lang w:val="sr-Cyrl-CS"/>
                              </w:rPr>
                              <w:t>буџета и</w:t>
                            </w:r>
                            <w:r>
                              <w:rPr>
                                <w:rFonts w:cs="Times New Roman"/>
                                <w:b/>
                                <w:i/>
                                <w:szCs w:val="24"/>
                                <w:lang w:val="sr-Cyrl-CS"/>
                              </w:rPr>
                              <w:t>, потенцијално,</w:t>
                            </w:r>
                            <w:r w:rsidRPr="000D5251">
                              <w:rPr>
                                <w:rFonts w:cs="Times New Roman"/>
                                <w:b/>
                                <w:i/>
                                <w:szCs w:val="24"/>
                                <w:lang w:val="sr-Cyrl-CS"/>
                              </w:rPr>
                              <w:t xml:space="preserve"> фондова ЕУ, као и функцију </w:t>
                            </w:r>
                            <w:r>
                              <w:rPr>
                                <w:rFonts w:cs="Times New Roman"/>
                                <w:b/>
                                <w:i/>
                                <w:szCs w:val="24"/>
                                <w:lang w:val="sr-Cyrl-CS"/>
                              </w:rPr>
                              <w:t>додељивања</w:t>
                            </w:r>
                            <w:r w:rsidRPr="000D5251">
                              <w:rPr>
                                <w:rFonts w:cs="Times New Roman"/>
                                <w:b/>
                                <w:i/>
                                <w:szCs w:val="24"/>
                                <w:lang w:val="sr-Cyrl-CS"/>
                              </w:rPr>
                              <w:t xml:space="preserve"> бесповратни</w:t>
                            </w:r>
                            <w:r>
                              <w:rPr>
                                <w:rFonts w:cs="Times New Roman"/>
                                <w:b/>
                                <w:i/>
                                <w:szCs w:val="24"/>
                                <w:lang w:val="sr-Cyrl-CS"/>
                              </w:rPr>
                              <w:t>х</w:t>
                            </w:r>
                            <w:r w:rsidRPr="000D5251">
                              <w:rPr>
                                <w:rFonts w:cs="Times New Roman"/>
                                <w:b/>
                                <w:i/>
                                <w:szCs w:val="24"/>
                                <w:lang w:val="sr-Cyrl-CS"/>
                              </w:rPr>
                              <w:t xml:space="preserve"> средст</w:t>
                            </w:r>
                            <w:r>
                              <w:rPr>
                                <w:rFonts w:cs="Times New Roman"/>
                                <w:b/>
                                <w:i/>
                                <w:szCs w:val="24"/>
                                <w:lang w:val="sr-Cyrl-CS"/>
                              </w:rPr>
                              <w:t>а</w:t>
                            </w:r>
                            <w:r w:rsidRPr="000D5251">
                              <w:rPr>
                                <w:rFonts w:cs="Times New Roman"/>
                                <w:b/>
                                <w:i/>
                                <w:szCs w:val="24"/>
                                <w:lang w:val="sr-Cyrl-CS"/>
                              </w:rPr>
                              <w:t>ва, Фонд за социјално укључивање мора имати статус правног лица и остваривати блиску сарадњу са релевантним заинтересованим странама (министарствима, организацијама цивилног друштва, итд).</w:t>
                            </w:r>
                            <w:r>
                              <w:rPr>
                                <w:rFonts w:cs="Times New Roman"/>
                                <w:b/>
                                <w:i/>
                                <w:szCs w:val="24"/>
                                <w:lang w:val="sr-Cyrl-CS"/>
                              </w:rPr>
                              <w:t xml:space="preserve"> </w:t>
                            </w:r>
                            <w:r w:rsidRPr="00C329B8">
                              <w:rPr>
                                <w:b/>
                                <w:i/>
                                <w:lang w:val="sr-Cyrl-CS"/>
                              </w:rPr>
                              <w:t xml:space="preserve">Са циљем смањивања административног оптерећења, Фонд може да преузме лица запослена у постојећим структурама, укључујући и друге активне фондове.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ounded Rectangle 14" o:spid="_x0000_s1033" style="position:absolute;left:0;text-align:left;margin-left:-3.3pt;margin-top:-47.45pt;width:462.05pt;height:12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" fillcolor="#d8d8d8 [2732]" strokecolor="black [3213]" strokeweight="1pt">
                <v:shadow color="black" opacity="24903f" origin=",.5" offset="0,.55556mm"/>
                <v:path arrowok="t"/>
                <v:textbox>
                  <w:txbxContent>
                    <w:p w:rsidR="00172313" w:rsidRPr="00C329B8" w:rsidRDefault="00172313" w:rsidP="005A5809">
                      <w:pPr>
                        <w:ind w:left="360"/>
                        <w:rPr>
                          <w:b/>
                          <w:i/>
                          <w:lang w:val="sr-Cyrl-CS"/>
                        </w:rPr>
                      </w:pPr>
                      <w:r w:rsidRPr="000D5251">
                        <w:rPr>
                          <w:rFonts w:cs="Times New Roman"/>
                          <w:b/>
                          <w:i/>
                          <w:szCs w:val="24"/>
                          <w:lang w:val="sr-Cyrl-CS"/>
                        </w:rPr>
                        <w:t xml:space="preserve">Како би могао да врши функцију управљања средствима из </w:t>
                      </w:r>
                      <w:r>
                        <w:rPr>
                          <w:rFonts w:cs="Times New Roman"/>
                          <w:b/>
                          <w:i/>
                          <w:szCs w:val="24"/>
                          <w:lang w:val="sr-Cyrl-CS"/>
                        </w:rPr>
                        <w:t xml:space="preserve">националног </w:t>
                      </w:r>
                      <w:r w:rsidRPr="000D5251">
                        <w:rPr>
                          <w:rFonts w:cs="Times New Roman"/>
                          <w:b/>
                          <w:i/>
                          <w:szCs w:val="24"/>
                          <w:lang w:val="sr-Cyrl-CS"/>
                        </w:rPr>
                        <w:t>буџета и</w:t>
                      </w:r>
                      <w:r>
                        <w:rPr>
                          <w:rFonts w:cs="Times New Roman"/>
                          <w:b/>
                          <w:i/>
                          <w:szCs w:val="24"/>
                          <w:lang w:val="sr-Cyrl-CS"/>
                        </w:rPr>
                        <w:t>, потенцијално,</w:t>
                      </w:r>
                      <w:r w:rsidRPr="000D5251">
                        <w:rPr>
                          <w:rFonts w:cs="Times New Roman"/>
                          <w:b/>
                          <w:i/>
                          <w:szCs w:val="24"/>
                          <w:lang w:val="sr-Cyrl-CS"/>
                        </w:rPr>
                        <w:t xml:space="preserve"> фондова ЕУ, као и функцију </w:t>
                      </w:r>
                      <w:r>
                        <w:rPr>
                          <w:rFonts w:cs="Times New Roman"/>
                          <w:b/>
                          <w:i/>
                          <w:szCs w:val="24"/>
                          <w:lang w:val="sr-Cyrl-CS"/>
                        </w:rPr>
                        <w:t>додељивања</w:t>
                      </w:r>
                      <w:r w:rsidRPr="000D5251">
                        <w:rPr>
                          <w:rFonts w:cs="Times New Roman"/>
                          <w:b/>
                          <w:i/>
                          <w:szCs w:val="24"/>
                          <w:lang w:val="sr-Cyrl-CS"/>
                        </w:rPr>
                        <w:t xml:space="preserve"> бесповратни</w:t>
                      </w:r>
                      <w:r>
                        <w:rPr>
                          <w:rFonts w:cs="Times New Roman"/>
                          <w:b/>
                          <w:i/>
                          <w:szCs w:val="24"/>
                          <w:lang w:val="sr-Cyrl-CS"/>
                        </w:rPr>
                        <w:t>х</w:t>
                      </w:r>
                      <w:r w:rsidRPr="000D5251">
                        <w:rPr>
                          <w:rFonts w:cs="Times New Roman"/>
                          <w:b/>
                          <w:i/>
                          <w:szCs w:val="24"/>
                          <w:lang w:val="sr-Cyrl-CS"/>
                        </w:rPr>
                        <w:t xml:space="preserve"> средст</w:t>
                      </w:r>
                      <w:r>
                        <w:rPr>
                          <w:rFonts w:cs="Times New Roman"/>
                          <w:b/>
                          <w:i/>
                          <w:szCs w:val="24"/>
                          <w:lang w:val="sr-Cyrl-CS"/>
                        </w:rPr>
                        <w:t>а</w:t>
                      </w:r>
                      <w:r w:rsidRPr="000D5251">
                        <w:rPr>
                          <w:rFonts w:cs="Times New Roman"/>
                          <w:b/>
                          <w:i/>
                          <w:szCs w:val="24"/>
                          <w:lang w:val="sr-Cyrl-CS"/>
                        </w:rPr>
                        <w:t>ва, Фонд за социјално укључивање мора имати статус правног лица и остваривати блиску сарадњу са релевантним заинтересованим странама (министарствима, организацијама цивилног друштва, итд).</w:t>
                      </w:r>
                      <w:r>
                        <w:rPr>
                          <w:rFonts w:cs="Times New Roman"/>
                          <w:b/>
                          <w:i/>
                          <w:szCs w:val="24"/>
                          <w:lang w:val="sr-Cyrl-CS"/>
                        </w:rPr>
                        <w:t xml:space="preserve"> </w:t>
                      </w:r>
                      <w:r w:rsidRPr="00C329B8">
                        <w:rPr>
                          <w:b/>
                          <w:i/>
                          <w:lang w:val="sr-Cyrl-CS"/>
                        </w:rPr>
                        <w:t xml:space="preserve">Са циљем смањивања административног оптерећења, Фонд може да преузме лица запослена у постојећим структурама, укључујући и друге активне фондове. </w:t>
                      </w:r>
                    </w:p>
                  </w:txbxContent>
                </v:textbox>
              </v:rect>
            </w:pict>
          </mc:Fallback>
        </mc:AlternateContent>
      </w:r>
    </w:p>
    <w:p w:rsidR="000F16AE" w:rsidRPr="009F5B52" w:rsidRDefault="000F16AE" w:rsidP="007A2D2F">
      <w:pPr>
        <w:rPr>
          <w:rFonts w:cs="Times New Roman"/>
          <w:szCs w:val="24"/>
          <w:lang w:val="sr-Cyrl-CS"/>
        </w:rPr>
      </w:pPr>
    </w:p>
    <w:p w:rsidR="000F16AE" w:rsidRPr="009F5B52" w:rsidRDefault="000F16AE" w:rsidP="007A2D2F">
      <w:pPr>
        <w:rPr>
          <w:rFonts w:cs="Times New Roman"/>
          <w:szCs w:val="24"/>
          <w:lang w:val="sr-Cyrl-CS"/>
        </w:rPr>
      </w:pPr>
    </w:p>
    <w:p w:rsidR="00BC5306" w:rsidRPr="009F5B52" w:rsidRDefault="00BC5306" w:rsidP="007A2D2F">
      <w:pPr>
        <w:rPr>
          <w:rFonts w:cs="Times New Roman"/>
          <w:szCs w:val="24"/>
          <w:lang w:val="sr-Cyrl-CS"/>
        </w:rPr>
      </w:pPr>
    </w:p>
    <w:p w:rsidR="005909A6" w:rsidRPr="009F5B52" w:rsidRDefault="007A2D2F" w:rsidP="007A2D2F">
      <w:pPr>
        <w:rPr>
          <w:rFonts w:cs="Times New Roman"/>
          <w:szCs w:val="24"/>
          <w:lang w:val="sr-Cyrl-CS"/>
        </w:rPr>
      </w:pPr>
      <w:r w:rsidRPr="009F5B52">
        <w:rPr>
          <w:rFonts w:cs="Times New Roman"/>
          <w:szCs w:val="24"/>
          <w:lang w:val="sr-Cyrl-CS"/>
        </w:rPr>
        <w:t>Постоје три правне могућности за успостављање будућег Фонда за социјално укључивање</w:t>
      </w:r>
      <w:r w:rsidR="00E51A6E" w:rsidRPr="009F5B52">
        <w:rPr>
          <w:rFonts w:cs="Times New Roman"/>
          <w:szCs w:val="24"/>
          <w:lang w:val="sr-Cyrl-CS"/>
        </w:rPr>
        <w:t xml:space="preserve">: </w:t>
      </w:r>
    </w:p>
    <w:p w:rsidR="005909A6" w:rsidRPr="009F5B52" w:rsidRDefault="00E51A6E" w:rsidP="003F343E">
      <w:pPr>
        <w:ind w:left="720"/>
        <w:rPr>
          <w:rFonts w:cs="Times New Roman"/>
          <w:szCs w:val="24"/>
          <w:lang w:val="sr-Cyrl-CS"/>
        </w:rPr>
      </w:pPr>
      <w:r w:rsidRPr="009F5B52">
        <w:rPr>
          <w:rFonts w:cs="Times New Roman"/>
          <w:szCs w:val="24"/>
          <w:lang w:val="sr-Cyrl-CS"/>
        </w:rPr>
        <w:t xml:space="preserve">(1) </w:t>
      </w:r>
      <w:r w:rsidR="00B860E2" w:rsidRPr="009F5B52">
        <w:rPr>
          <w:rFonts w:cs="Times New Roman"/>
          <w:szCs w:val="24"/>
          <w:lang w:val="sr-Cyrl-CS"/>
        </w:rPr>
        <w:t>доношење измена и допуна ресорног закона</w:t>
      </w:r>
      <w:r w:rsidRPr="009F5B52">
        <w:rPr>
          <w:rFonts w:cs="Times New Roman"/>
          <w:szCs w:val="24"/>
          <w:lang w:val="sr-Cyrl-CS"/>
        </w:rPr>
        <w:t xml:space="preserve">, </w:t>
      </w:r>
    </w:p>
    <w:p w:rsidR="005909A6" w:rsidRPr="009F5B52" w:rsidRDefault="00E51A6E" w:rsidP="003F343E">
      <w:pPr>
        <w:ind w:left="720"/>
        <w:rPr>
          <w:rFonts w:cs="Times New Roman"/>
          <w:szCs w:val="24"/>
          <w:lang w:val="sr-Cyrl-CS"/>
        </w:rPr>
      </w:pPr>
      <w:r w:rsidRPr="009F5B52">
        <w:rPr>
          <w:rFonts w:cs="Times New Roman"/>
          <w:szCs w:val="24"/>
          <w:lang w:val="sr-Cyrl-CS"/>
        </w:rPr>
        <w:t xml:space="preserve">(2) </w:t>
      </w:r>
      <w:r w:rsidR="00B860E2" w:rsidRPr="009F5B52">
        <w:rPr>
          <w:rFonts w:cs="Times New Roman"/>
          <w:szCs w:val="24"/>
          <w:lang w:val="sr-Cyrl-CS"/>
        </w:rPr>
        <w:t>доношење посебног закона о Фонду за социјално укључивање, и</w:t>
      </w:r>
      <w:r w:rsidR="007D76A7" w:rsidRPr="009F5B52">
        <w:rPr>
          <w:rFonts w:cs="Times New Roman"/>
          <w:szCs w:val="24"/>
          <w:lang w:val="sr-Cyrl-CS"/>
        </w:rPr>
        <w:t xml:space="preserve"> </w:t>
      </w:r>
    </w:p>
    <w:p w:rsidR="005909A6" w:rsidRPr="009F5B52" w:rsidRDefault="005909A6" w:rsidP="003F343E">
      <w:pPr>
        <w:ind w:left="720"/>
        <w:rPr>
          <w:rFonts w:cs="Times New Roman"/>
          <w:szCs w:val="24"/>
          <w:lang w:val="sr-Cyrl-CS"/>
        </w:rPr>
      </w:pPr>
      <w:r w:rsidRPr="009F5B52">
        <w:rPr>
          <w:rFonts w:cs="Times New Roman"/>
          <w:szCs w:val="24"/>
          <w:lang w:val="sr-Cyrl-CS"/>
        </w:rPr>
        <w:t xml:space="preserve">(3) </w:t>
      </w:r>
      <w:r w:rsidR="00B860E2" w:rsidRPr="009F5B52">
        <w:rPr>
          <w:rFonts w:cs="Times New Roman"/>
          <w:szCs w:val="24"/>
          <w:lang w:val="sr-Cyrl-CS"/>
        </w:rPr>
        <w:t>доношење измена и допуна Закона о јавним агенцијама, којим би Фонд за социјално укључивање био успостављен као јавна агенција.</w:t>
      </w:r>
      <w:r w:rsidR="00E51A6E" w:rsidRPr="009F5B52">
        <w:rPr>
          <w:rFonts w:cs="Times New Roman"/>
          <w:szCs w:val="24"/>
          <w:lang w:val="sr-Cyrl-CS"/>
        </w:rPr>
        <w:t xml:space="preserve"> </w:t>
      </w:r>
    </w:p>
    <w:p w:rsidR="00E51A6E" w:rsidRPr="009F5B52" w:rsidRDefault="008F3818" w:rsidP="00B860E2">
      <w:pPr>
        <w:rPr>
          <w:rFonts w:cs="Times New Roman"/>
          <w:szCs w:val="24"/>
          <w:lang w:val="sr-Cyrl-CS"/>
        </w:rPr>
      </w:pPr>
      <w:r w:rsidRPr="009F5B52">
        <w:rPr>
          <w:rFonts w:cs="Times New Roman"/>
          <w:szCs w:val="24"/>
          <w:lang w:val="sr-Cyrl-CS"/>
        </w:rPr>
        <w:t>Овом</w:t>
      </w:r>
      <w:r w:rsidR="00B860E2" w:rsidRPr="009F5B52">
        <w:rPr>
          <w:rFonts w:cs="Times New Roman"/>
          <w:szCs w:val="24"/>
          <w:lang w:val="sr-Cyrl-CS"/>
        </w:rPr>
        <w:t xml:space="preserve"> анализом укратко су представљени аргументи у корист и против сваког од наведених решења, са аспекта следећих кључних питања: административних и политичких трошкова, управљачке структуре и вишесекторских питања.</w:t>
      </w:r>
      <w:r w:rsidR="00E51A6E" w:rsidRPr="009F5B52">
        <w:rPr>
          <w:rFonts w:cs="Times New Roman"/>
          <w:szCs w:val="24"/>
          <w:lang w:val="sr-Cyrl-CS"/>
        </w:rPr>
        <w:t xml:space="preserve"> </w:t>
      </w:r>
    </w:p>
    <w:p w:rsidR="00E51A6E" w:rsidRPr="009F5B52" w:rsidRDefault="00B860E2" w:rsidP="00E51A6E">
      <w:pPr>
        <w:rPr>
          <w:rFonts w:cs="Times New Roman"/>
          <w:b/>
          <w:szCs w:val="24"/>
          <w:lang w:val="sr-Cyrl-CS"/>
        </w:rPr>
      </w:pPr>
      <w:r w:rsidRPr="009F5B52">
        <w:rPr>
          <w:rFonts w:cs="Times New Roman"/>
          <w:b/>
          <w:szCs w:val="24"/>
          <w:lang w:val="sr-Cyrl-CS"/>
        </w:rPr>
        <w:t>Опција</w:t>
      </w:r>
      <w:r w:rsidR="00E51A6E" w:rsidRPr="009F5B52">
        <w:rPr>
          <w:rFonts w:cs="Times New Roman"/>
          <w:b/>
          <w:szCs w:val="24"/>
          <w:lang w:val="sr-Cyrl-CS"/>
        </w:rPr>
        <w:t xml:space="preserve"> 1. </w:t>
      </w:r>
      <w:r w:rsidRPr="009F5B52">
        <w:rPr>
          <w:rFonts w:cs="Times New Roman"/>
          <w:b/>
          <w:szCs w:val="24"/>
          <w:lang w:val="sr-Cyrl-CS"/>
        </w:rPr>
        <w:t>Успостављање Фонда за социјално укључивање кроз доношење измена и допуна ресорног закона</w:t>
      </w:r>
      <w:r w:rsidR="00E51A6E" w:rsidRPr="009F5B52">
        <w:rPr>
          <w:rFonts w:cs="Times New Roman"/>
          <w:b/>
          <w:szCs w:val="24"/>
          <w:lang w:val="sr-Cyrl-CS"/>
        </w:rPr>
        <w:t xml:space="preserve"> (</w:t>
      </w:r>
      <w:r w:rsidRPr="009F5B52">
        <w:rPr>
          <w:rFonts w:cs="Times New Roman"/>
          <w:b/>
          <w:szCs w:val="24"/>
          <w:lang w:val="sr-Cyrl-CS"/>
        </w:rPr>
        <w:t>нпр</w:t>
      </w:r>
      <w:r w:rsidR="00E51A6E" w:rsidRPr="009F5B52">
        <w:rPr>
          <w:rFonts w:cs="Times New Roman"/>
          <w:b/>
          <w:szCs w:val="24"/>
          <w:lang w:val="sr-Cyrl-CS"/>
        </w:rPr>
        <w:t xml:space="preserve">. </w:t>
      </w:r>
      <w:r w:rsidRPr="009F5B52">
        <w:rPr>
          <w:rFonts w:cs="Times New Roman"/>
          <w:b/>
          <w:szCs w:val="24"/>
          <w:lang w:val="sr-Cyrl-CS"/>
        </w:rPr>
        <w:t>Закона о социјалној заштити</w:t>
      </w:r>
      <w:r w:rsidR="00E51A6E" w:rsidRPr="009F5B52">
        <w:rPr>
          <w:rFonts w:cs="Times New Roman"/>
          <w:b/>
          <w:szCs w:val="24"/>
          <w:lang w:val="sr-Cyrl-CS"/>
        </w:rPr>
        <w:t xml:space="preserve">). </w:t>
      </w:r>
    </w:p>
    <w:tbl>
      <w:tblPr>
        <w:tblStyle w:val="TableGrid"/>
        <w:tblW w:w="9480" w:type="dxa"/>
        <w:tblLook w:val="04A0" w:firstRow="1" w:lastRow="0" w:firstColumn="1" w:lastColumn="0" w:noHBand="0" w:noVBand="1"/>
      </w:tblPr>
      <w:tblGrid>
        <w:gridCol w:w="4709"/>
        <w:gridCol w:w="4771"/>
      </w:tblGrid>
      <w:tr w:rsidR="00B26241" w:rsidRPr="009F5B52" w:rsidTr="00597853">
        <w:tc>
          <w:tcPr>
            <w:tcW w:w="4709" w:type="dxa"/>
            <w:hideMark/>
          </w:tcPr>
          <w:p w:rsidR="00E51A6E" w:rsidRPr="009F5B52" w:rsidRDefault="00B860E2" w:rsidP="003F343E">
            <w:pPr>
              <w:spacing w:before="0" w:after="200" w:line="276" w:lineRule="auto"/>
              <w:jc w:val="center"/>
              <w:rPr>
                <w:rFonts w:cs="Times New Roman"/>
                <w:b/>
                <w:szCs w:val="24"/>
                <w:lang w:val="sr-Cyrl-CS"/>
              </w:rPr>
            </w:pPr>
            <w:r w:rsidRPr="009F5B52">
              <w:rPr>
                <w:rFonts w:cs="Times New Roman"/>
                <w:b/>
                <w:szCs w:val="24"/>
                <w:lang w:val="sr-Cyrl-CS"/>
              </w:rPr>
              <w:t xml:space="preserve">Аргументи у корист Опције 1 </w:t>
            </w:r>
          </w:p>
        </w:tc>
        <w:tc>
          <w:tcPr>
            <w:tcW w:w="4771" w:type="dxa"/>
            <w:hideMark/>
          </w:tcPr>
          <w:p w:rsidR="00E51A6E" w:rsidRPr="009F5B52" w:rsidRDefault="00B860E2" w:rsidP="003F343E">
            <w:pPr>
              <w:spacing w:before="0" w:after="200" w:line="276" w:lineRule="auto"/>
              <w:jc w:val="center"/>
              <w:rPr>
                <w:rFonts w:cs="Times New Roman"/>
                <w:b/>
                <w:szCs w:val="24"/>
                <w:lang w:val="sr-Cyrl-CS"/>
              </w:rPr>
            </w:pPr>
            <w:r w:rsidRPr="009F5B52">
              <w:rPr>
                <w:rFonts w:cs="Times New Roman"/>
                <w:b/>
                <w:szCs w:val="24"/>
                <w:lang w:val="sr-Cyrl-CS"/>
              </w:rPr>
              <w:t>Аргументи против Опције 1</w:t>
            </w:r>
          </w:p>
        </w:tc>
      </w:tr>
      <w:tr w:rsidR="00B26241" w:rsidRPr="008365F6" w:rsidTr="00597853">
        <w:trPr>
          <w:trHeight w:val="547"/>
        </w:trPr>
        <w:tc>
          <w:tcPr>
            <w:tcW w:w="4709" w:type="dxa"/>
            <w:hideMark/>
          </w:tcPr>
          <w:p w:rsidR="00E51A6E" w:rsidRPr="009F5B52" w:rsidRDefault="00B860E2" w:rsidP="003F343E">
            <w:pPr>
              <w:spacing w:before="0"/>
              <w:jc w:val="center"/>
              <w:rPr>
                <w:rFonts w:cs="Times New Roman"/>
                <w:szCs w:val="24"/>
                <w:lang w:val="sr-Cyrl-CS"/>
              </w:rPr>
            </w:pPr>
            <w:r w:rsidRPr="009F5B52">
              <w:rPr>
                <w:rFonts w:cs="Times New Roman"/>
                <w:szCs w:val="24"/>
                <w:lang w:val="sr-Cyrl-CS"/>
              </w:rPr>
              <w:t>Релативно једноставан и брз административни поступак</w:t>
            </w:r>
          </w:p>
        </w:tc>
        <w:tc>
          <w:tcPr>
            <w:tcW w:w="4771" w:type="dxa"/>
            <w:hideMark/>
          </w:tcPr>
          <w:p w:rsidR="00E51A6E" w:rsidRPr="009F5B52" w:rsidRDefault="00B860E2" w:rsidP="003F343E">
            <w:pPr>
              <w:spacing w:before="0"/>
              <w:jc w:val="center"/>
              <w:rPr>
                <w:rFonts w:cs="Times New Roman"/>
                <w:szCs w:val="24"/>
                <w:lang w:val="sr-Cyrl-CS"/>
              </w:rPr>
            </w:pPr>
            <w:r w:rsidRPr="009F5B52">
              <w:rPr>
                <w:rFonts w:cs="Times New Roman"/>
                <w:szCs w:val="24"/>
                <w:lang w:val="sr-Cyrl-CS"/>
              </w:rPr>
              <w:t xml:space="preserve">Припадност и зависност од једног ресора </w:t>
            </w:r>
          </w:p>
        </w:tc>
      </w:tr>
      <w:tr w:rsidR="00B26241" w:rsidRPr="008365F6" w:rsidTr="00597853">
        <w:tc>
          <w:tcPr>
            <w:tcW w:w="4709" w:type="dxa"/>
            <w:hideMark/>
          </w:tcPr>
          <w:p w:rsidR="00E51A6E" w:rsidRPr="009F5B52" w:rsidRDefault="00B860E2" w:rsidP="003F343E">
            <w:pPr>
              <w:spacing w:before="0"/>
              <w:jc w:val="center"/>
              <w:rPr>
                <w:rFonts w:cs="Times New Roman"/>
                <w:szCs w:val="24"/>
                <w:lang w:val="sr-Cyrl-CS"/>
              </w:rPr>
            </w:pPr>
            <w:r w:rsidRPr="009F5B52">
              <w:rPr>
                <w:rFonts w:cs="Times New Roman"/>
                <w:szCs w:val="24"/>
                <w:lang w:val="sr-Cyrl-CS"/>
              </w:rPr>
              <w:t>Политички једноставно решење јер Фонд остаје у надлежности једног министарства</w:t>
            </w:r>
          </w:p>
        </w:tc>
        <w:tc>
          <w:tcPr>
            <w:tcW w:w="4771" w:type="dxa"/>
            <w:hideMark/>
          </w:tcPr>
          <w:p w:rsidR="00E51A6E" w:rsidRPr="009F5B52" w:rsidRDefault="00B860E2" w:rsidP="003F343E">
            <w:pPr>
              <w:spacing w:before="0"/>
              <w:jc w:val="center"/>
              <w:rPr>
                <w:rFonts w:cs="Times New Roman"/>
                <w:szCs w:val="24"/>
                <w:lang w:val="sr-Cyrl-CS"/>
              </w:rPr>
            </w:pPr>
            <w:r w:rsidRPr="009F5B52">
              <w:rPr>
                <w:rFonts w:cs="Times New Roman"/>
                <w:szCs w:val="24"/>
                <w:lang w:val="sr-Cyrl-CS"/>
              </w:rPr>
              <w:t>Неадекватна управљачка структура, јер је Фонд одговоран једном министарству</w:t>
            </w:r>
          </w:p>
        </w:tc>
      </w:tr>
      <w:tr w:rsidR="00B26241" w:rsidRPr="008365F6" w:rsidTr="00597853">
        <w:tc>
          <w:tcPr>
            <w:tcW w:w="4709" w:type="dxa"/>
            <w:hideMark/>
          </w:tcPr>
          <w:p w:rsidR="00E51A6E" w:rsidRPr="009F5B52" w:rsidRDefault="00E51A6E" w:rsidP="003F343E">
            <w:pPr>
              <w:spacing w:before="0"/>
              <w:jc w:val="center"/>
              <w:rPr>
                <w:rFonts w:cs="Times New Roman"/>
                <w:szCs w:val="24"/>
                <w:lang w:val="sr-Cyrl-CS"/>
              </w:rPr>
            </w:pPr>
          </w:p>
        </w:tc>
        <w:tc>
          <w:tcPr>
            <w:tcW w:w="4771" w:type="dxa"/>
            <w:hideMark/>
          </w:tcPr>
          <w:p w:rsidR="00D222FC" w:rsidRPr="009F5B52" w:rsidRDefault="00FC72E9" w:rsidP="003F343E">
            <w:pPr>
              <w:spacing w:before="0"/>
              <w:jc w:val="center"/>
              <w:rPr>
                <w:rFonts w:cs="Times New Roman"/>
                <w:szCs w:val="24"/>
                <w:lang w:val="sr-Cyrl-CS"/>
              </w:rPr>
            </w:pPr>
            <w:r w:rsidRPr="009F5B52">
              <w:rPr>
                <w:rFonts w:cs="Times New Roman"/>
                <w:szCs w:val="24"/>
                <w:lang w:val="sr-Cyrl-CS"/>
              </w:rPr>
              <w:t xml:space="preserve">Неизвесна могућност рада изван ресорних </w:t>
            </w:r>
            <w:r w:rsidR="00D222FC" w:rsidRPr="009F5B52">
              <w:rPr>
                <w:rFonts w:cs="Times New Roman"/>
                <w:szCs w:val="24"/>
                <w:lang w:val="sr-Cyrl-CS"/>
              </w:rPr>
              <w:t>оквира и бављења међуресорним питањима</w:t>
            </w:r>
          </w:p>
          <w:p w:rsidR="00E51A6E" w:rsidRPr="009F5B52" w:rsidRDefault="00E51A6E" w:rsidP="003F343E">
            <w:pPr>
              <w:spacing w:before="0"/>
              <w:jc w:val="center"/>
              <w:rPr>
                <w:rFonts w:cs="Times New Roman"/>
                <w:szCs w:val="24"/>
                <w:lang w:val="sr-Cyrl-CS"/>
              </w:rPr>
            </w:pPr>
          </w:p>
        </w:tc>
      </w:tr>
    </w:tbl>
    <w:p w:rsidR="004C1053" w:rsidRPr="009F5B52" w:rsidRDefault="004C1053" w:rsidP="00E51A6E">
      <w:pPr>
        <w:rPr>
          <w:rFonts w:cs="Times New Roman"/>
          <w:szCs w:val="24"/>
          <w:lang w:val="sr-Cyrl-CS"/>
        </w:rPr>
      </w:pPr>
    </w:p>
    <w:p w:rsidR="00E51A6E" w:rsidRPr="009F5B52" w:rsidRDefault="00270E7C" w:rsidP="00E51A6E">
      <w:pPr>
        <w:rPr>
          <w:rFonts w:cs="Times New Roman"/>
          <w:b/>
          <w:szCs w:val="24"/>
          <w:lang w:val="sr-Cyrl-CS"/>
        </w:rPr>
      </w:pPr>
      <w:r w:rsidRPr="009F5B52">
        <w:rPr>
          <w:rFonts w:cs="Times New Roman"/>
          <w:b/>
          <w:szCs w:val="24"/>
          <w:lang w:val="sr-Cyrl-CS"/>
        </w:rPr>
        <w:t>Опција</w:t>
      </w:r>
      <w:r w:rsidR="00E51A6E" w:rsidRPr="009F5B52">
        <w:rPr>
          <w:rFonts w:cs="Times New Roman"/>
          <w:b/>
          <w:szCs w:val="24"/>
          <w:lang w:val="sr-Cyrl-CS"/>
        </w:rPr>
        <w:t xml:space="preserve"> 2. </w:t>
      </w:r>
      <w:r w:rsidRPr="009F5B52">
        <w:rPr>
          <w:rFonts w:cs="Times New Roman"/>
          <w:b/>
          <w:szCs w:val="24"/>
          <w:lang w:val="sr-Cyrl-CS"/>
        </w:rPr>
        <w:t>Успостављање Фонда за социјално укључивање кроз доношење посебног закона</w:t>
      </w:r>
      <w:r w:rsidR="00E51A6E" w:rsidRPr="009F5B52">
        <w:rPr>
          <w:rFonts w:cs="Times New Roman"/>
          <w:b/>
          <w:szCs w:val="24"/>
          <w:lang w:val="sr-Cyrl-CS"/>
        </w:rPr>
        <w:t xml:space="preserve">. </w:t>
      </w:r>
    </w:p>
    <w:tbl>
      <w:tblPr>
        <w:tblStyle w:val="TableGrid"/>
        <w:tblW w:w="9480" w:type="dxa"/>
        <w:tblLook w:val="04A0" w:firstRow="1" w:lastRow="0" w:firstColumn="1" w:lastColumn="0" w:noHBand="0" w:noVBand="1"/>
      </w:tblPr>
      <w:tblGrid>
        <w:gridCol w:w="4709"/>
        <w:gridCol w:w="4771"/>
      </w:tblGrid>
      <w:tr w:rsidR="00270E7C" w:rsidRPr="009F5B52" w:rsidTr="00597853">
        <w:tc>
          <w:tcPr>
            <w:tcW w:w="4709" w:type="dxa"/>
            <w:hideMark/>
          </w:tcPr>
          <w:p w:rsidR="00270E7C" w:rsidRPr="009F5B52" w:rsidRDefault="00270E7C" w:rsidP="003F343E">
            <w:pPr>
              <w:spacing w:before="0" w:after="200" w:line="276" w:lineRule="auto"/>
              <w:jc w:val="center"/>
              <w:rPr>
                <w:rFonts w:cs="Times New Roman"/>
                <w:b/>
                <w:szCs w:val="24"/>
                <w:lang w:val="sr-Cyrl-CS"/>
              </w:rPr>
            </w:pPr>
            <w:r w:rsidRPr="009F5B52">
              <w:rPr>
                <w:rFonts w:cs="Times New Roman"/>
                <w:b/>
                <w:szCs w:val="24"/>
                <w:lang w:val="sr-Cyrl-CS"/>
              </w:rPr>
              <w:t xml:space="preserve">Аргументи у корист Опције 2 </w:t>
            </w:r>
          </w:p>
        </w:tc>
        <w:tc>
          <w:tcPr>
            <w:tcW w:w="4771" w:type="dxa"/>
            <w:hideMark/>
          </w:tcPr>
          <w:p w:rsidR="00270E7C" w:rsidRPr="009F5B52" w:rsidRDefault="00270E7C" w:rsidP="003F343E">
            <w:pPr>
              <w:spacing w:before="0" w:after="200" w:line="276" w:lineRule="auto"/>
              <w:jc w:val="center"/>
              <w:rPr>
                <w:rFonts w:cs="Times New Roman"/>
                <w:b/>
                <w:szCs w:val="24"/>
                <w:lang w:val="sr-Cyrl-CS"/>
              </w:rPr>
            </w:pPr>
            <w:r w:rsidRPr="009F5B52">
              <w:rPr>
                <w:rFonts w:cs="Times New Roman"/>
                <w:b/>
                <w:szCs w:val="24"/>
                <w:lang w:val="sr-Cyrl-CS"/>
              </w:rPr>
              <w:t>Аргументи против Опције 2</w:t>
            </w:r>
          </w:p>
        </w:tc>
      </w:tr>
      <w:tr w:rsidR="00B26241" w:rsidRPr="008365F6" w:rsidTr="00597853">
        <w:trPr>
          <w:trHeight w:val="457"/>
        </w:trPr>
        <w:tc>
          <w:tcPr>
            <w:tcW w:w="4709" w:type="dxa"/>
            <w:hideMark/>
          </w:tcPr>
          <w:p w:rsidR="00E51A6E" w:rsidRPr="009F5B52" w:rsidRDefault="00270E7C" w:rsidP="003F343E">
            <w:pPr>
              <w:spacing w:before="0"/>
              <w:jc w:val="center"/>
              <w:rPr>
                <w:rFonts w:cs="Times New Roman"/>
                <w:szCs w:val="24"/>
                <w:lang w:val="sr-Cyrl-CS"/>
              </w:rPr>
            </w:pPr>
            <w:r w:rsidRPr="009F5B52">
              <w:rPr>
                <w:rFonts w:cs="Times New Roman"/>
                <w:szCs w:val="24"/>
                <w:lang w:val="sr-Cyrl-CS"/>
              </w:rPr>
              <w:t>Снажан правни основ</w:t>
            </w:r>
          </w:p>
        </w:tc>
        <w:tc>
          <w:tcPr>
            <w:tcW w:w="4771" w:type="dxa"/>
            <w:hideMark/>
          </w:tcPr>
          <w:p w:rsidR="00E51A6E" w:rsidRPr="009F5B52" w:rsidRDefault="00270E7C" w:rsidP="003F343E">
            <w:pPr>
              <w:spacing w:before="0"/>
              <w:jc w:val="center"/>
              <w:rPr>
                <w:rFonts w:cs="Times New Roman"/>
                <w:szCs w:val="24"/>
                <w:lang w:val="sr-Cyrl-CS"/>
              </w:rPr>
            </w:pPr>
            <w:r w:rsidRPr="009F5B52">
              <w:rPr>
                <w:rFonts w:cs="Times New Roman"/>
                <w:szCs w:val="24"/>
                <w:lang w:val="sr-Cyrl-CS"/>
              </w:rPr>
              <w:t>Дугачак и захтеван административни поступак</w:t>
            </w:r>
            <w:r w:rsidR="00E51A6E" w:rsidRPr="009F5B52">
              <w:rPr>
                <w:rFonts w:cs="Times New Roman"/>
                <w:szCs w:val="24"/>
                <w:lang w:val="sr-Cyrl-CS"/>
              </w:rPr>
              <w:t xml:space="preserve"> </w:t>
            </w:r>
          </w:p>
        </w:tc>
      </w:tr>
      <w:tr w:rsidR="00B26241" w:rsidRPr="008365F6" w:rsidTr="00597853">
        <w:tc>
          <w:tcPr>
            <w:tcW w:w="4709" w:type="dxa"/>
            <w:hideMark/>
          </w:tcPr>
          <w:p w:rsidR="00E51A6E" w:rsidRPr="009F5B52" w:rsidRDefault="00270E7C" w:rsidP="003F343E">
            <w:pPr>
              <w:spacing w:before="0"/>
              <w:jc w:val="center"/>
              <w:rPr>
                <w:rFonts w:cs="Times New Roman"/>
                <w:szCs w:val="24"/>
                <w:lang w:val="sr-Cyrl-CS"/>
              </w:rPr>
            </w:pPr>
            <w:r w:rsidRPr="009F5B52">
              <w:rPr>
                <w:rFonts w:cs="Times New Roman"/>
                <w:szCs w:val="24"/>
                <w:lang w:val="sr-Cyrl-CS"/>
              </w:rPr>
              <w:t>Могућност успостављања адекватне управљачке структуре</w:t>
            </w:r>
          </w:p>
        </w:tc>
        <w:tc>
          <w:tcPr>
            <w:tcW w:w="4771" w:type="dxa"/>
            <w:hideMark/>
          </w:tcPr>
          <w:p w:rsidR="00E51A6E" w:rsidRPr="009F5B52" w:rsidRDefault="00270E7C" w:rsidP="003F343E">
            <w:pPr>
              <w:spacing w:before="0"/>
              <w:jc w:val="center"/>
              <w:rPr>
                <w:rFonts w:cs="Times New Roman"/>
                <w:szCs w:val="24"/>
                <w:lang w:val="sr-Cyrl-CS"/>
              </w:rPr>
            </w:pPr>
            <w:r w:rsidRPr="009F5B52">
              <w:rPr>
                <w:rFonts w:cs="Times New Roman"/>
                <w:szCs w:val="24"/>
                <w:lang w:val="sr-Cyrl-CS"/>
              </w:rPr>
              <w:t>Политички скупо решење јер</w:t>
            </w:r>
            <w:r w:rsidR="00E51A6E" w:rsidRPr="009F5B52">
              <w:rPr>
                <w:rFonts w:cs="Times New Roman"/>
                <w:szCs w:val="24"/>
                <w:lang w:val="sr-Cyrl-CS"/>
              </w:rPr>
              <w:t xml:space="preserve"> </w:t>
            </w:r>
            <w:r w:rsidRPr="009F5B52">
              <w:rPr>
                <w:rFonts w:cs="Times New Roman"/>
                <w:szCs w:val="24"/>
                <w:lang w:val="sr-Cyrl-CS"/>
              </w:rPr>
              <w:t>захтева координирање на нивоу различитих сектора у фази успостављања Фонда</w:t>
            </w:r>
          </w:p>
        </w:tc>
      </w:tr>
      <w:tr w:rsidR="00B26241" w:rsidRPr="008365F6" w:rsidTr="00597853">
        <w:tc>
          <w:tcPr>
            <w:tcW w:w="4709" w:type="dxa"/>
            <w:hideMark/>
          </w:tcPr>
          <w:p w:rsidR="00E51A6E" w:rsidRPr="009F5B52" w:rsidRDefault="00270E7C" w:rsidP="003F343E">
            <w:pPr>
              <w:spacing w:before="0"/>
              <w:jc w:val="center"/>
              <w:rPr>
                <w:rFonts w:cs="Times New Roman"/>
                <w:szCs w:val="24"/>
                <w:lang w:val="sr-Cyrl-CS"/>
              </w:rPr>
            </w:pPr>
            <w:r w:rsidRPr="009F5B52">
              <w:rPr>
                <w:rFonts w:cs="Times New Roman"/>
                <w:szCs w:val="24"/>
                <w:lang w:val="sr-Cyrl-CS"/>
              </w:rPr>
              <w:t xml:space="preserve">Бољи изгледи за бављење међуресорним </w:t>
            </w:r>
            <w:r w:rsidRPr="009F5B52">
              <w:rPr>
                <w:rFonts w:cs="Times New Roman"/>
                <w:szCs w:val="24"/>
                <w:lang w:val="sr-Cyrl-CS"/>
              </w:rPr>
              <w:lastRenderedPageBreak/>
              <w:t>питањима након оснивања Фонда</w:t>
            </w:r>
          </w:p>
        </w:tc>
        <w:tc>
          <w:tcPr>
            <w:tcW w:w="4771" w:type="dxa"/>
            <w:hideMark/>
          </w:tcPr>
          <w:p w:rsidR="00E51A6E" w:rsidRPr="009F5B52" w:rsidRDefault="00E51A6E" w:rsidP="003F343E">
            <w:pPr>
              <w:spacing w:before="0"/>
              <w:jc w:val="center"/>
              <w:rPr>
                <w:rFonts w:cs="Times New Roman"/>
                <w:szCs w:val="24"/>
                <w:lang w:val="sr-Cyrl-CS"/>
              </w:rPr>
            </w:pPr>
          </w:p>
        </w:tc>
      </w:tr>
    </w:tbl>
    <w:p w:rsidR="00E51A6E" w:rsidRPr="009F5B52" w:rsidRDefault="00E51A6E" w:rsidP="00E51A6E">
      <w:pPr>
        <w:rPr>
          <w:rFonts w:cs="Times New Roman"/>
          <w:szCs w:val="24"/>
          <w:lang w:val="sr-Cyrl-CS"/>
        </w:rPr>
      </w:pPr>
    </w:p>
    <w:p w:rsidR="00E51A6E" w:rsidRPr="009F5B52" w:rsidRDefault="00270E7C" w:rsidP="00E51A6E">
      <w:pPr>
        <w:rPr>
          <w:rFonts w:cs="Times New Roman"/>
          <w:b/>
          <w:szCs w:val="24"/>
          <w:lang w:val="sr-Cyrl-CS"/>
        </w:rPr>
      </w:pPr>
      <w:r w:rsidRPr="009F5B52">
        <w:rPr>
          <w:rFonts w:cs="Times New Roman"/>
          <w:b/>
          <w:szCs w:val="24"/>
          <w:lang w:val="sr-Cyrl-CS"/>
        </w:rPr>
        <w:t>Опција</w:t>
      </w:r>
      <w:r w:rsidR="00E51A6E" w:rsidRPr="009F5B52">
        <w:rPr>
          <w:rFonts w:cs="Times New Roman"/>
          <w:b/>
          <w:szCs w:val="24"/>
          <w:lang w:val="sr-Cyrl-CS"/>
        </w:rPr>
        <w:t xml:space="preserve"> 3. </w:t>
      </w:r>
      <w:r w:rsidRPr="009F5B52">
        <w:rPr>
          <w:rFonts w:cs="Times New Roman"/>
          <w:b/>
          <w:szCs w:val="24"/>
          <w:lang w:val="sr-Cyrl-CS"/>
        </w:rPr>
        <w:t>Успостављање Фонда за социјално укључивање као јавне агенције доношењем измена и допуна Закона о јавним агенцијама</w:t>
      </w:r>
      <w:r w:rsidR="00E51A6E" w:rsidRPr="009F5B52">
        <w:rPr>
          <w:rFonts w:cs="Times New Roman"/>
          <w:b/>
          <w:szCs w:val="24"/>
          <w:lang w:val="sr-Cyrl-CS"/>
        </w:rPr>
        <w:t xml:space="preserve"> </w:t>
      </w:r>
    </w:p>
    <w:tbl>
      <w:tblPr>
        <w:tblStyle w:val="TableGrid"/>
        <w:tblW w:w="9480" w:type="dxa"/>
        <w:tblLook w:val="04A0" w:firstRow="1" w:lastRow="0" w:firstColumn="1" w:lastColumn="0" w:noHBand="0" w:noVBand="1"/>
      </w:tblPr>
      <w:tblGrid>
        <w:gridCol w:w="4709"/>
        <w:gridCol w:w="4771"/>
      </w:tblGrid>
      <w:tr w:rsidR="00270E7C" w:rsidRPr="009F5B52" w:rsidTr="00597853">
        <w:tc>
          <w:tcPr>
            <w:tcW w:w="4709" w:type="dxa"/>
            <w:hideMark/>
          </w:tcPr>
          <w:p w:rsidR="00270E7C" w:rsidRPr="009F5B52" w:rsidRDefault="00270E7C" w:rsidP="003F343E">
            <w:pPr>
              <w:spacing w:before="0" w:after="200" w:line="276" w:lineRule="auto"/>
              <w:jc w:val="center"/>
              <w:rPr>
                <w:rFonts w:cs="Times New Roman"/>
                <w:b/>
                <w:szCs w:val="24"/>
                <w:lang w:val="sr-Cyrl-CS"/>
              </w:rPr>
            </w:pPr>
            <w:r w:rsidRPr="009F5B52">
              <w:rPr>
                <w:rFonts w:cs="Times New Roman"/>
                <w:b/>
                <w:szCs w:val="24"/>
                <w:lang w:val="sr-Cyrl-CS"/>
              </w:rPr>
              <w:t xml:space="preserve">Аргументи у корист </w:t>
            </w:r>
            <w:r w:rsidR="008174AD" w:rsidRPr="009F5B52">
              <w:rPr>
                <w:rFonts w:cs="Times New Roman"/>
                <w:b/>
                <w:szCs w:val="24"/>
                <w:lang w:val="sr-Cyrl-CS"/>
              </w:rPr>
              <w:t>Опције 3</w:t>
            </w:r>
            <w:r w:rsidRPr="009F5B52">
              <w:rPr>
                <w:rFonts w:cs="Times New Roman"/>
                <w:b/>
                <w:szCs w:val="24"/>
                <w:lang w:val="sr-Cyrl-CS"/>
              </w:rPr>
              <w:t xml:space="preserve"> </w:t>
            </w:r>
          </w:p>
        </w:tc>
        <w:tc>
          <w:tcPr>
            <w:tcW w:w="4771" w:type="dxa"/>
            <w:hideMark/>
          </w:tcPr>
          <w:p w:rsidR="00270E7C" w:rsidRPr="009F5B52" w:rsidRDefault="008174AD" w:rsidP="003F343E">
            <w:pPr>
              <w:spacing w:before="0" w:after="200" w:line="276" w:lineRule="auto"/>
              <w:jc w:val="center"/>
              <w:rPr>
                <w:rFonts w:cs="Times New Roman"/>
                <w:b/>
                <w:szCs w:val="24"/>
                <w:lang w:val="sr-Cyrl-CS"/>
              </w:rPr>
            </w:pPr>
            <w:r w:rsidRPr="009F5B52">
              <w:rPr>
                <w:rFonts w:cs="Times New Roman"/>
                <w:b/>
                <w:szCs w:val="24"/>
                <w:lang w:val="sr-Cyrl-CS"/>
              </w:rPr>
              <w:t>Аргументи против Опције 3</w:t>
            </w:r>
          </w:p>
        </w:tc>
      </w:tr>
      <w:tr w:rsidR="00B26241" w:rsidRPr="008365F6" w:rsidTr="00597853">
        <w:tc>
          <w:tcPr>
            <w:tcW w:w="4709" w:type="dxa"/>
            <w:hideMark/>
          </w:tcPr>
          <w:p w:rsidR="00E51A6E" w:rsidRPr="009F5B52" w:rsidRDefault="00270E7C" w:rsidP="003F343E">
            <w:pPr>
              <w:spacing w:before="0"/>
              <w:jc w:val="center"/>
              <w:rPr>
                <w:rFonts w:cs="Times New Roman"/>
                <w:szCs w:val="24"/>
                <w:lang w:val="sr-Cyrl-CS"/>
              </w:rPr>
            </w:pPr>
            <w:r w:rsidRPr="009F5B52">
              <w:rPr>
                <w:rFonts w:cs="Times New Roman"/>
                <w:szCs w:val="24"/>
                <w:lang w:val="sr-Cyrl-CS"/>
              </w:rPr>
              <w:t>Могућност успостављања адекватне управљачке структуре</w:t>
            </w:r>
          </w:p>
        </w:tc>
        <w:tc>
          <w:tcPr>
            <w:tcW w:w="4771" w:type="dxa"/>
            <w:hideMark/>
          </w:tcPr>
          <w:p w:rsidR="00E51A6E" w:rsidRPr="009F5B52" w:rsidRDefault="00270E7C" w:rsidP="003F343E">
            <w:pPr>
              <w:spacing w:before="0"/>
              <w:jc w:val="center"/>
              <w:rPr>
                <w:rFonts w:cs="Times New Roman"/>
                <w:szCs w:val="24"/>
                <w:lang w:val="sr-Cyrl-CS"/>
              </w:rPr>
            </w:pPr>
            <w:r w:rsidRPr="009F5B52">
              <w:rPr>
                <w:rFonts w:cs="Times New Roman"/>
                <w:szCs w:val="24"/>
                <w:lang w:val="sr-Cyrl-CS"/>
              </w:rPr>
              <w:t>Дугачак административни поступак и могући високи политички трошкови у тренутним околностима</w:t>
            </w:r>
          </w:p>
        </w:tc>
      </w:tr>
      <w:tr w:rsidR="00B26241" w:rsidRPr="009F5B52" w:rsidTr="00597853">
        <w:tc>
          <w:tcPr>
            <w:tcW w:w="4709" w:type="dxa"/>
            <w:hideMark/>
          </w:tcPr>
          <w:p w:rsidR="00E51A6E" w:rsidRPr="009F5B52" w:rsidRDefault="00E51A6E" w:rsidP="003F343E">
            <w:pPr>
              <w:spacing w:before="0"/>
              <w:jc w:val="center"/>
              <w:rPr>
                <w:rFonts w:cs="Times New Roman"/>
                <w:szCs w:val="24"/>
                <w:lang w:val="sr-Cyrl-CS"/>
              </w:rPr>
            </w:pPr>
          </w:p>
        </w:tc>
        <w:tc>
          <w:tcPr>
            <w:tcW w:w="4771" w:type="dxa"/>
            <w:hideMark/>
          </w:tcPr>
          <w:p w:rsidR="00E51A6E" w:rsidRPr="009F5B52" w:rsidRDefault="00270E7C" w:rsidP="003F343E">
            <w:pPr>
              <w:spacing w:before="0"/>
              <w:jc w:val="center"/>
              <w:rPr>
                <w:rFonts w:cs="Times New Roman"/>
                <w:szCs w:val="24"/>
                <w:lang w:val="sr-Cyrl-CS"/>
              </w:rPr>
            </w:pPr>
            <w:r w:rsidRPr="009F5B52">
              <w:rPr>
                <w:rFonts w:cs="Times New Roman"/>
                <w:szCs w:val="24"/>
                <w:lang w:val="sr-Cyrl-CS"/>
              </w:rPr>
              <w:t>Слаб правни основ</w:t>
            </w:r>
          </w:p>
        </w:tc>
      </w:tr>
      <w:tr w:rsidR="00B26241" w:rsidRPr="008365F6" w:rsidTr="00597853">
        <w:tc>
          <w:tcPr>
            <w:tcW w:w="4709" w:type="dxa"/>
            <w:hideMark/>
          </w:tcPr>
          <w:p w:rsidR="00E51A6E" w:rsidRPr="009F5B52" w:rsidRDefault="00E51A6E" w:rsidP="003F343E">
            <w:pPr>
              <w:spacing w:before="0"/>
              <w:jc w:val="center"/>
              <w:rPr>
                <w:rFonts w:cs="Times New Roman"/>
                <w:szCs w:val="24"/>
                <w:lang w:val="sr-Cyrl-CS"/>
              </w:rPr>
            </w:pPr>
          </w:p>
        </w:tc>
        <w:tc>
          <w:tcPr>
            <w:tcW w:w="4771" w:type="dxa"/>
            <w:hideMark/>
          </w:tcPr>
          <w:p w:rsidR="00E51A6E" w:rsidRPr="009F5B52" w:rsidRDefault="00270E7C" w:rsidP="003F343E">
            <w:pPr>
              <w:spacing w:before="0"/>
              <w:jc w:val="center"/>
              <w:rPr>
                <w:rFonts w:cs="Times New Roman"/>
                <w:szCs w:val="24"/>
                <w:lang w:val="sr-Cyrl-CS"/>
              </w:rPr>
            </w:pPr>
            <w:r w:rsidRPr="009F5B52">
              <w:rPr>
                <w:rFonts w:cs="Times New Roman"/>
                <w:szCs w:val="24"/>
                <w:lang w:val="sr-Cyrl-CS"/>
              </w:rPr>
              <w:t>Неизвесна могућност рада изван ресорних оквира и бављења међуресорним питањима</w:t>
            </w:r>
          </w:p>
        </w:tc>
      </w:tr>
    </w:tbl>
    <w:p w:rsidR="00EF1E67" w:rsidRPr="009F5B52" w:rsidRDefault="008D62BD" w:rsidP="00EF1E67">
      <w:pPr>
        <w:pStyle w:val="Heading2"/>
        <w:rPr>
          <w:lang w:val="sr-Cyrl-CS"/>
        </w:rPr>
      </w:pPr>
      <w:bookmarkStart w:id="61" w:name="_Toc330562315"/>
      <w:r w:rsidRPr="009F5B52">
        <w:rPr>
          <w:lang w:val="sr-Cyrl-CS"/>
        </w:rPr>
        <w:t>3</w:t>
      </w:r>
      <w:r w:rsidR="008F3818" w:rsidRPr="009F5B52">
        <w:rPr>
          <w:lang w:val="sr-Cyrl-CS"/>
        </w:rPr>
        <w:t>.3. Опције и п</w:t>
      </w:r>
      <w:r w:rsidR="00270E7C" w:rsidRPr="009F5B52">
        <w:rPr>
          <w:lang w:val="sr-Cyrl-CS"/>
        </w:rPr>
        <w:t xml:space="preserve">репоруке </w:t>
      </w:r>
      <w:r w:rsidR="008F3818" w:rsidRPr="009F5B52">
        <w:rPr>
          <w:lang w:val="sr-Cyrl-CS"/>
        </w:rPr>
        <w:t>у погледу</w:t>
      </w:r>
      <w:r w:rsidR="00270E7C" w:rsidRPr="009F5B52">
        <w:rPr>
          <w:lang w:val="sr-Cyrl-CS"/>
        </w:rPr>
        <w:t xml:space="preserve"> кључни</w:t>
      </w:r>
      <w:r w:rsidR="008F3818" w:rsidRPr="009F5B52">
        <w:rPr>
          <w:lang w:val="sr-Cyrl-CS"/>
        </w:rPr>
        <w:t>х</w:t>
      </w:r>
      <w:r w:rsidR="00270E7C" w:rsidRPr="009F5B52">
        <w:rPr>
          <w:lang w:val="sr-Cyrl-CS"/>
        </w:rPr>
        <w:t xml:space="preserve"> функција Фонда за социјално укључивање</w:t>
      </w:r>
      <w:bookmarkEnd w:id="61"/>
    </w:p>
    <w:p w:rsidR="00741707" w:rsidRPr="009F5B52" w:rsidRDefault="008F3818" w:rsidP="00741707">
      <w:pPr>
        <w:rPr>
          <w:rFonts w:cs="Times New Roman"/>
          <w:szCs w:val="24"/>
          <w:lang w:val="sr-Cyrl-CS"/>
        </w:rPr>
      </w:pPr>
      <w:r w:rsidRPr="009F5B52">
        <w:rPr>
          <w:rFonts w:cs="Times New Roman"/>
          <w:b/>
          <w:szCs w:val="24"/>
          <w:lang w:val="sr-Cyrl-CS"/>
        </w:rPr>
        <w:t xml:space="preserve">С обзиром да ће </w:t>
      </w:r>
      <w:r w:rsidR="00741707" w:rsidRPr="009F5B52">
        <w:rPr>
          <w:rFonts w:cs="Times New Roman"/>
          <w:b/>
          <w:szCs w:val="24"/>
          <w:lang w:val="sr-Cyrl-CS"/>
        </w:rPr>
        <w:t>Влада Републике Србије морати да покрене питање координирања јавних политика у области социјалног укључивања</w:t>
      </w:r>
      <w:r w:rsidRPr="009F5B52">
        <w:rPr>
          <w:rFonts w:cs="Times New Roman"/>
          <w:b/>
          <w:szCs w:val="24"/>
          <w:lang w:val="sr-Cyrl-CS"/>
        </w:rPr>
        <w:t>,</w:t>
      </w:r>
      <w:r w:rsidR="00741707" w:rsidRPr="009F5B52">
        <w:rPr>
          <w:rFonts w:cs="Times New Roman"/>
          <w:b/>
          <w:szCs w:val="24"/>
          <w:lang w:val="sr-Cyrl-CS"/>
        </w:rPr>
        <w:t xml:space="preserve"> </w:t>
      </w:r>
      <w:r w:rsidRPr="009F5B52">
        <w:rPr>
          <w:rFonts w:cs="Times New Roman"/>
          <w:szCs w:val="24"/>
          <w:lang w:val="sr-Cyrl-CS"/>
        </w:rPr>
        <w:t>о</w:t>
      </w:r>
      <w:r w:rsidR="00741707" w:rsidRPr="009F5B52">
        <w:rPr>
          <w:rFonts w:cs="Times New Roman"/>
          <w:szCs w:val="24"/>
          <w:lang w:val="sr-Cyrl-CS"/>
        </w:rPr>
        <w:t>вде су дат</w:t>
      </w:r>
      <w:r w:rsidRPr="009F5B52">
        <w:rPr>
          <w:rFonts w:cs="Times New Roman"/>
          <w:szCs w:val="24"/>
          <w:lang w:val="sr-Cyrl-CS"/>
        </w:rPr>
        <w:t>а два решења у погледу кључних</w:t>
      </w:r>
      <w:r w:rsidR="00741707" w:rsidRPr="009F5B52">
        <w:rPr>
          <w:rFonts w:cs="Times New Roman"/>
          <w:szCs w:val="24"/>
          <w:lang w:val="sr-Cyrl-CS"/>
        </w:rPr>
        <w:t xml:space="preserve"> </w:t>
      </w:r>
      <w:r w:rsidRPr="009F5B52">
        <w:rPr>
          <w:rFonts w:cs="Times New Roman"/>
          <w:szCs w:val="24"/>
          <w:lang w:val="sr-Cyrl-CS"/>
        </w:rPr>
        <w:t xml:space="preserve">функција Фонда за социјално укључивање, као и </w:t>
      </w:r>
      <w:r w:rsidR="00741707" w:rsidRPr="009F5B52">
        <w:rPr>
          <w:rFonts w:cs="Times New Roman"/>
          <w:szCs w:val="24"/>
          <w:lang w:val="sr-Cyrl-CS"/>
        </w:rPr>
        <w:t xml:space="preserve">аргументи у корист и против </w:t>
      </w:r>
      <w:r w:rsidRPr="009F5B52">
        <w:rPr>
          <w:rFonts w:cs="Times New Roman"/>
          <w:szCs w:val="24"/>
          <w:lang w:val="sr-Cyrl-CS"/>
        </w:rPr>
        <w:t>њих</w:t>
      </w:r>
      <w:r w:rsidR="00741707" w:rsidRPr="009F5B52">
        <w:rPr>
          <w:rFonts w:cs="Times New Roman"/>
          <w:szCs w:val="24"/>
          <w:lang w:val="sr-Cyrl-CS"/>
        </w:rPr>
        <w:t>:</w:t>
      </w:r>
    </w:p>
    <w:p w:rsidR="00741707" w:rsidRPr="009F5B52" w:rsidRDefault="00741707" w:rsidP="00741707">
      <w:pPr>
        <w:pStyle w:val="ListParagraph"/>
        <w:numPr>
          <w:ilvl w:val="0"/>
          <w:numId w:val="10"/>
        </w:numPr>
        <w:rPr>
          <w:rFonts w:cs="Times New Roman"/>
          <w:b/>
          <w:szCs w:val="24"/>
          <w:lang w:val="sr-Cyrl-CS"/>
        </w:rPr>
      </w:pPr>
      <w:r w:rsidRPr="009F5B52">
        <w:rPr>
          <w:rFonts w:cs="Times New Roman"/>
          <w:b/>
          <w:szCs w:val="24"/>
          <w:u w:val="single"/>
          <w:lang w:val="sr-Cyrl-CS"/>
        </w:rPr>
        <w:t>Додела функције координирања јавних политика Фонду за социјално укључивање и коришћење новог механизма за превазилажење јаза у координацији јавних политика</w:t>
      </w:r>
      <w:r w:rsidRPr="009F5B52">
        <w:rPr>
          <w:rFonts w:cs="Times New Roman"/>
          <w:b/>
          <w:szCs w:val="24"/>
          <w:lang w:val="sr-Cyrl-CS"/>
        </w:rPr>
        <w:t xml:space="preserve">. </w:t>
      </w:r>
    </w:p>
    <w:p w:rsidR="00741707" w:rsidRPr="009F5B52" w:rsidRDefault="00741707" w:rsidP="00741707">
      <w:pPr>
        <w:rPr>
          <w:rFonts w:cs="Times New Roman"/>
          <w:szCs w:val="24"/>
          <w:lang w:val="sr-Cyrl-CS"/>
        </w:rPr>
      </w:pPr>
      <w:r w:rsidRPr="009F5B52">
        <w:rPr>
          <w:rFonts w:cs="Times New Roman"/>
          <w:szCs w:val="24"/>
          <w:lang w:val="sr-Cyrl-CS"/>
        </w:rPr>
        <w:t xml:space="preserve">Основне предности овог решења су краткорочне, док су негативне нешто дугорочније. </w:t>
      </w:r>
    </w:p>
    <w:tbl>
      <w:tblPr>
        <w:tblStyle w:val="TableGrid"/>
        <w:tblW w:w="5000" w:type="pct"/>
        <w:tblLook w:val="04A0" w:firstRow="1" w:lastRow="0" w:firstColumn="1" w:lastColumn="0" w:noHBand="0" w:noVBand="1"/>
      </w:tblPr>
      <w:tblGrid>
        <w:gridCol w:w="4621"/>
        <w:gridCol w:w="4622"/>
      </w:tblGrid>
      <w:tr w:rsidR="00741707" w:rsidRPr="009F5B52" w:rsidTr="00741707">
        <w:tc>
          <w:tcPr>
            <w:tcW w:w="2500" w:type="pct"/>
          </w:tcPr>
          <w:p w:rsidR="00741707" w:rsidRPr="009F5B52" w:rsidRDefault="00741707" w:rsidP="00741707">
            <w:pPr>
              <w:pStyle w:val="ListParagraph"/>
              <w:spacing w:before="0"/>
              <w:ind w:left="0"/>
              <w:jc w:val="center"/>
              <w:rPr>
                <w:rFonts w:cs="Times New Roman"/>
                <w:b/>
                <w:szCs w:val="24"/>
                <w:lang w:val="sr-Cyrl-CS"/>
              </w:rPr>
            </w:pPr>
            <w:r w:rsidRPr="009F5B52">
              <w:rPr>
                <w:rFonts w:cs="Times New Roman"/>
                <w:b/>
                <w:szCs w:val="24"/>
                <w:lang w:val="sr-Cyrl-CS"/>
              </w:rPr>
              <w:t>Аргументи у корист предлога</w:t>
            </w:r>
          </w:p>
          <w:p w:rsidR="00741707" w:rsidRPr="009F5B52" w:rsidRDefault="00741707" w:rsidP="00741707">
            <w:pPr>
              <w:pStyle w:val="ListParagraph"/>
              <w:spacing w:before="0"/>
              <w:ind w:left="0"/>
              <w:jc w:val="center"/>
              <w:rPr>
                <w:rFonts w:cs="Times New Roman"/>
                <w:b/>
                <w:szCs w:val="24"/>
                <w:lang w:val="sr-Cyrl-CS"/>
              </w:rPr>
            </w:pPr>
          </w:p>
        </w:tc>
        <w:tc>
          <w:tcPr>
            <w:tcW w:w="2500" w:type="pct"/>
          </w:tcPr>
          <w:p w:rsidR="00741707" w:rsidRPr="009F5B52" w:rsidRDefault="00741707" w:rsidP="00741707">
            <w:pPr>
              <w:pStyle w:val="ListParagraph"/>
              <w:spacing w:before="0"/>
              <w:ind w:left="0"/>
              <w:jc w:val="center"/>
              <w:rPr>
                <w:rFonts w:cs="Times New Roman"/>
                <w:b/>
                <w:szCs w:val="24"/>
                <w:lang w:val="sr-Cyrl-CS"/>
              </w:rPr>
            </w:pPr>
            <w:r w:rsidRPr="009F5B52">
              <w:rPr>
                <w:rFonts w:cs="Times New Roman"/>
                <w:b/>
                <w:szCs w:val="24"/>
                <w:lang w:val="sr-Cyrl-CS"/>
              </w:rPr>
              <w:t>Аргументи против предлога</w:t>
            </w:r>
          </w:p>
        </w:tc>
      </w:tr>
      <w:tr w:rsidR="00741707" w:rsidRPr="008365F6" w:rsidTr="00741707">
        <w:tc>
          <w:tcPr>
            <w:tcW w:w="2500" w:type="pct"/>
          </w:tcPr>
          <w:p w:rsidR="00741707" w:rsidRPr="009F5B52" w:rsidRDefault="00741707" w:rsidP="00741707">
            <w:pPr>
              <w:rPr>
                <w:rFonts w:cs="Times New Roman"/>
                <w:szCs w:val="24"/>
                <w:lang w:val="sr-Cyrl-CS"/>
              </w:rPr>
            </w:pPr>
            <w:r w:rsidRPr="009F5B52">
              <w:rPr>
                <w:rFonts w:cs="Times New Roman"/>
                <w:szCs w:val="24"/>
                <w:lang w:val="sr-Cyrl-CS"/>
              </w:rPr>
              <w:t xml:space="preserve">Једноставна реализација у погледу руковођења, администрације и политика </w:t>
            </w:r>
          </w:p>
        </w:tc>
        <w:tc>
          <w:tcPr>
            <w:tcW w:w="2500" w:type="pct"/>
          </w:tcPr>
          <w:p w:rsidR="00741707" w:rsidRPr="009F5B52" w:rsidRDefault="00741707" w:rsidP="00741707">
            <w:pPr>
              <w:pStyle w:val="ListParagraph"/>
              <w:spacing w:before="0"/>
              <w:ind w:left="0"/>
              <w:rPr>
                <w:rFonts w:cs="Times New Roman"/>
                <w:szCs w:val="24"/>
                <w:lang w:val="sr-Cyrl-CS"/>
              </w:rPr>
            </w:pPr>
            <w:r w:rsidRPr="009F5B52">
              <w:rPr>
                <w:rFonts w:cs="Times New Roman"/>
                <w:szCs w:val="24"/>
                <w:lang w:val="sr-Cyrl-CS"/>
              </w:rPr>
              <w:t>Дугорочна неодрживост због недостатка подстицаја за координацију на нивоу министарстава и посебних организација</w:t>
            </w:r>
          </w:p>
        </w:tc>
      </w:tr>
      <w:tr w:rsidR="00741707" w:rsidRPr="008365F6" w:rsidTr="00741707">
        <w:tc>
          <w:tcPr>
            <w:tcW w:w="2500" w:type="pct"/>
          </w:tcPr>
          <w:p w:rsidR="00741707" w:rsidRPr="009F5B52" w:rsidRDefault="00741707" w:rsidP="00741707">
            <w:pPr>
              <w:pStyle w:val="ListParagraph"/>
              <w:spacing w:before="0"/>
              <w:ind w:left="0"/>
              <w:rPr>
                <w:rFonts w:cs="Times New Roman"/>
                <w:szCs w:val="24"/>
                <w:lang w:val="sr-Cyrl-CS"/>
              </w:rPr>
            </w:pPr>
            <w:r w:rsidRPr="009F5B52">
              <w:rPr>
                <w:rFonts w:cs="Times New Roman"/>
                <w:szCs w:val="24"/>
                <w:lang w:val="sr-Cyrl-CS"/>
              </w:rPr>
              <w:t xml:space="preserve">Једноставно повезивање финансирања пројеката на локалном нивоу са политикама и обрнуто </w:t>
            </w:r>
          </w:p>
        </w:tc>
        <w:tc>
          <w:tcPr>
            <w:tcW w:w="2500" w:type="pct"/>
          </w:tcPr>
          <w:p w:rsidR="00741707" w:rsidRPr="009F5B52" w:rsidRDefault="00741707" w:rsidP="00741707">
            <w:pPr>
              <w:pStyle w:val="ListParagraph"/>
              <w:spacing w:before="0"/>
              <w:ind w:left="0"/>
              <w:rPr>
                <w:rFonts w:cs="Times New Roman"/>
                <w:szCs w:val="24"/>
                <w:lang w:val="sr-Cyrl-CS"/>
              </w:rPr>
            </w:pPr>
            <w:r w:rsidRPr="009F5B52">
              <w:rPr>
                <w:rFonts w:cs="Times New Roman"/>
                <w:szCs w:val="24"/>
                <w:lang w:val="sr-Cyrl-CS"/>
              </w:rPr>
              <w:t>Опасност од креирања великог министарства за социјално укључивање</w:t>
            </w:r>
            <w:r w:rsidRPr="009F5B52">
              <w:rPr>
                <w:rStyle w:val="FootnoteReference"/>
                <w:rFonts w:cs="Times New Roman"/>
                <w:szCs w:val="24"/>
                <w:lang w:val="sr-Cyrl-CS"/>
              </w:rPr>
              <w:footnoteReference w:id="30"/>
            </w:r>
            <w:r w:rsidRPr="009F5B52">
              <w:rPr>
                <w:rFonts w:cs="Times New Roman"/>
                <w:szCs w:val="24"/>
                <w:lang w:val="sr-Cyrl-CS"/>
              </w:rPr>
              <w:t xml:space="preserve"> које би се тешко уклопило у структуру Владе и остварило сарадњу са другим министарствима </w:t>
            </w:r>
          </w:p>
        </w:tc>
      </w:tr>
      <w:tr w:rsidR="00741707" w:rsidRPr="008365F6" w:rsidTr="00741707">
        <w:tc>
          <w:tcPr>
            <w:tcW w:w="2500" w:type="pct"/>
          </w:tcPr>
          <w:p w:rsidR="00741707" w:rsidRPr="009F5B52" w:rsidRDefault="00741707" w:rsidP="00741707">
            <w:pPr>
              <w:pStyle w:val="ListParagraph"/>
              <w:spacing w:before="0"/>
              <w:ind w:left="0"/>
              <w:rPr>
                <w:rFonts w:cs="Times New Roman"/>
                <w:szCs w:val="24"/>
                <w:lang w:val="sr-Cyrl-CS"/>
              </w:rPr>
            </w:pPr>
          </w:p>
        </w:tc>
        <w:tc>
          <w:tcPr>
            <w:tcW w:w="2500" w:type="pct"/>
          </w:tcPr>
          <w:p w:rsidR="00741707" w:rsidRPr="009F5B52" w:rsidRDefault="00741707" w:rsidP="00741707">
            <w:pPr>
              <w:pStyle w:val="ListParagraph"/>
              <w:spacing w:before="0"/>
              <w:ind w:left="0"/>
              <w:rPr>
                <w:rFonts w:cs="Times New Roman"/>
                <w:szCs w:val="24"/>
                <w:lang w:val="sr-Cyrl-CS"/>
              </w:rPr>
            </w:pPr>
            <w:r w:rsidRPr="009F5B52">
              <w:rPr>
                <w:rFonts w:cs="Times New Roman"/>
                <w:szCs w:val="24"/>
                <w:lang w:val="sr-Cyrl-CS"/>
              </w:rPr>
              <w:t xml:space="preserve">Обједињавање различитих мисија у једној организацији захтева ресурсе: финансијске, људске, временске, итд. </w:t>
            </w:r>
          </w:p>
        </w:tc>
      </w:tr>
    </w:tbl>
    <w:p w:rsidR="00741707" w:rsidRPr="009F5B52" w:rsidRDefault="00741707" w:rsidP="00741707">
      <w:pPr>
        <w:pStyle w:val="ListParagraph"/>
        <w:spacing w:before="0" w:after="0" w:line="240" w:lineRule="auto"/>
        <w:rPr>
          <w:rFonts w:cs="Times New Roman"/>
          <w:szCs w:val="24"/>
          <w:lang w:val="sr-Cyrl-CS"/>
        </w:rPr>
      </w:pPr>
    </w:p>
    <w:p w:rsidR="00741707" w:rsidRPr="009F5B52" w:rsidRDefault="00741707" w:rsidP="00741707">
      <w:pPr>
        <w:pStyle w:val="ListParagraph"/>
        <w:numPr>
          <w:ilvl w:val="0"/>
          <w:numId w:val="10"/>
        </w:numPr>
        <w:spacing w:before="0" w:after="0" w:line="240" w:lineRule="auto"/>
        <w:rPr>
          <w:rFonts w:cs="Times New Roman"/>
          <w:b/>
          <w:szCs w:val="24"/>
          <w:lang w:val="sr-Cyrl-CS"/>
        </w:rPr>
      </w:pPr>
      <w:r w:rsidRPr="009F5B52">
        <w:rPr>
          <w:rFonts w:cs="Times New Roman"/>
          <w:b/>
          <w:szCs w:val="24"/>
          <w:u w:val="single"/>
          <w:lang w:val="sr-Cyrl-CS"/>
        </w:rPr>
        <w:t>Инсистирање на оснаживању функције координације јавних политика на централном нивоу, док додела средстава остаје кључна функција Фонда за социјално укључивање</w:t>
      </w:r>
      <w:r w:rsidRPr="009F5B52">
        <w:rPr>
          <w:rFonts w:cs="Times New Roman"/>
          <w:b/>
          <w:szCs w:val="24"/>
          <w:lang w:val="sr-Cyrl-CS"/>
        </w:rPr>
        <w:t>.</w:t>
      </w:r>
    </w:p>
    <w:p w:rsidR="00741707" w:rsidRPr="009F5B52" w:rsidRDefault="00741707" w:rsidP="00741707">
      <w:pPr>
        <w:pStyle w:val="ListParagraph"/>
        <w:spacing w:before="0" w:after="0" w:line="240" w:lineRule="auto"/>
        <w:rPr>
          <w:rFonts w:cs="Times New Roman"/>
          <w:szCs w:val="24"/>
          <w:lang w:val="sr-Cyrl-CS"/>
        </w:rPr>
      </w:pPr>
    </w:p>
    <w:tbl>
      <w:tblPr>
        <w:tblStyle w:val="TableGrid"/>
        <w:tblW w:w="9288" w:type="dxa"/>
        <w:tblLook w:val="04A0" w:firstRow="1" w:lastRow="0" w:firstColumn="1" w:lastColumn="0" w:noHBand="0" w:noVBand="1"/>
      </w:tblPr>
      <w:tblGrid>
        <w:gridCol w:w="4608"/>
        <w:gridCol w:w="4680"/>
      </w:tblGrid>
      <w:tr w:rsidR="00741707" w:rsidRPr="009F5B52" w:rsidTr="00741707">
        <w:tc>
          <w:tcPr>
            <w:tcW w:w="4608" w:type="dxa"/>
          </w:tcPr>
          <w:p w:rsidR="00741707" w:rsidRPr="009F5B52" w:rsidRDefault="00741707" w:rsidP="00741707">
            <w:pPr>
              <w:pStyle w:val="ListParagraph"/>
              <w:spacing w:before="0"/>
              <w:ind w:left="0"/>
              <w:jc w:val="center"/>
              <w:rPr>
                <w:rFonts w:cs="Times New Roman"/>
                <w:b/>
                <w:szCs w:val="24"/>
                <w:lang w:val="sr-Cyrl-CS"/>
              </w:rPr>
            </w:pPr>
            <w:r w:rsidRPr="009F5B52">
              <w:rPr>
                <w:rFonts w:cs="Times New Roman"/>
                <w:b/>
                <w:szCs w:val="24"/>
                <w:lang w:val="sr-Cyrl-CS"/>
              </w:rPr>
              <w:t>Аргументи у корист предлога</w:t>
            </w:r>
          </w:p>
          <w:p w:rsidR="00741707" w:rsidRPr="009F5B52" w:rsidRDefault="00741707" w:rsidP="00741707">
            <w:pPr>
              <w:pStyle w:val="ListParagraph"/>
              <w:spacing w:before="0"/>
              <w:ind w:left="0"/>
              <w:jc w:val="center"/>
              <w:rPr>
                <w:rFonts w:cs="Times New Roman"/>
                <w:b/>
                <w:szCs w:val="24"/>
                <w:lang w:val="sr-Cyrl-CS"/>
              </w:rPr>
            </w:pPr>
          </w:p>
        </w:tc>
        <w:tc>
          <w:tcPr>
            <w:tcW w:w="4680" w:type="dxa"/>
          </w:tcPr>
          <w:p w:rsidR="00741707" w:rsidRPr="009F5B52" w:rsidRDefault="00741707" w:rsidP="00741707">
            <w:pPr>
              <w:pStyle w:val="ListParagraph"/>
              <w:spacing w:before="0"/>
              <w:ind w:left="0"/>
              <w:jc w:val="center"/>
              <w:rPr>
                <w:rFonts w:cs="Times New Roman"/>
                <w:b/>
                <w:szCs w:val="24"/>
                <w:lang w:val="sr-Cyrl-CS"/>
              </w:rPr>
            </w:pPr>
            <w:r w:rsidRPr="009F5B52">
              <w:rPr>
                <w:rFonts w:cs="Times New Roman"/>
                <w:b/>
                <w:szCs w:val="24"/>
                <w:lang w:val="sr-Cyrl-CS"/>
              </w:rPr>
              <w:t>Аргументи против предлога</w:t>
            </w:r>
          </w:p>
        </w:tc>
      </w:tr>
      <w:tr w:rsidR="00741707" w:rsidRPr="008365F6" w:rsidTr="00741707">
        <w:tc>
          <w:tcPr>
            <w:tcW w:w="4608" w:type="dxa"/>
          </w:tcPr>
          <w:p w:rsidR="00741707" w:rsidRPr="009F5B52" w:rsidRDefault="00741707" w:rsidP="00741707">
            <w:pPr>
              <w:rPr>
                <w:rFonts w:cs="Times New Roman"/>
                <w:szCs w:val="24"/>
                <w:lang w:val="sr-Cyrl-CS"/>
              </w:rPr>
            </w:pPr>
            <w:r w:rsidRPr="009F5B52">
              <w:rPr>
                <w:rFonts w:cs="Times New Roman"/>
                <w:szCs w:val="24"/>
                <w:lang w:val="sr-Cyrl-CS"/>
              </w:rPr>
              <w:t>Одрживо решење на дужи рок, које подразумева креирање ефикасне и делотворне структуре на нивоу Владе која повезује различита министарства, финансијске механизме и службе у центру Владе</w:t>
            </w:r>
          </w:p>
        </w:tc>
        <w:tc>
          <w:tcPr>
            <w:tcW w:w="4680" w:type="dxa"/>
          </w:tcPr>
          <w:p w:rsidR="00741707" w:rsidRPr="009F5B52" w:rsidRDefault="00741707" w:rsidP="00741707">
            <w:pPr>
              <w:pStyle w:val="ListParagraph"/>
              <w:spacing w:before="0"/>
              <w:ind w:left="0"/>
              <w:rPr>
                <w:rFonts w:cs="Times New Roman"/>
                <w:szCs w:val="24"/>
                <w:lang w:val="sr-Cyrl-CS"/>
              </w:rPr>
            </w:pPr>
            <w:r w:rsidRPr="009F5B52">
              <w:rPr>
                <w:rFonts w:cs="Times New Roman"/>
                <w:szCs w:val="24"/>
                <w:lang w:val="sr-Cyrl-CS"/>
              </w:rPr>
              <w:t>Захтевно у погледу временских ресурса и обима рада</w:t>
            </w:r>
          </w:p>
        </w:tc>
      </w:tr>
      <w:tr w:rsidR="00741707" w:rsidRPr="009F5B52" w:rsidTr="00741707">
        <w:tc>
          <w:tcPr>
            <w:tcW w:w="4608" w:type="dxa"/>
          </w:tcPr>
          <w:p w:rsidR="00741707" w:rsidRPr="009F5B52" w:rsidRDefault="00741707" w:rsidP="00741707">
            <w:pPr>
              <w:pStyle w:val="ListParagraph"/>
              <w:spacing w:before="0"/>
              <w:ind w:left="0"/>
              <w:rPr>
                <w:rFonts w:cs="Times New Roman"/>
                <w:szCs w:val="24"/>
                <w:lang w:val="sr-Cyrl-CS"/>
              </w:rPr>
            </w:pPr>
            <w:r w:rsidRPr="009F5B52">
              <w:rPr>
                <w:rFonts w:cs="Times New Roman"/>
                <w:szCs w:val="24"/>
                <w:lang w:val="sr-Cyrl-CS"/>
              </w:rPr>
              <w:t xml:space="preserve">Свако тело задржава фокус и једноставну мисију </w:t>
            </w:r>
          </w:p>
        </w:tc>
        <w:tc>
          <w:tcPr>
            <w:tcW w:w="4680" w:type="dxa"/>
          </w:tcPr>
          <w:p w:rsidR="00741707" w:rsidRPr="009F5B52" w:rsidRDefault="00741707" w:rsidP="00741707">
            <w:pPr>
              <w:pStyle w:val="ListParagraph"/>
              <w:spacing w:before="0"/>
              <w:ind w:left="0"/>
              <w:rPr>
                <w:rFonts w:cs="Times New Roman"/>
                <w:szCs w:val="24"/>
                <w:lang w:val="sr-Cyrl-CS"/>
              </w:rPr>
            </w:pPr>
            <w:r w:rsidRPr="009F5B52">
              <w:rPr>
                <w:rFonts w:cs="Times New Roman"/>
                <w:szCs w:val="24"/>
                <w:lang w:val="sr-Cyrl-CS"/>
              </w:rPr>
              <w:t xml:space="preserve">Захтева политичке одлуке </w:t>
            </w:r>
          </w:p>
        </w:tc>
      </w:tr>
      <w:tr w:rsidR="00741707" w:rsidRPr="008365F6" w:rsidTr="00741707">
        <w:tc>
          <w:tcPr>
            <w:tcW w:w="4608" w:type="dxa"/>
          </w:tcPr>
          <w:p w:rsidR="00741707" w:rsidRPr="009F5B52" w:rsidRDefault="00741707" w:rsidP="00741707">
            <w:pPr>
              <w:pStyle w:val="ListParagraph"/>
              <w:spacing w:before="0"/>
              <w:ind w:left="0"/>
              <w:rPr>
                <w:rFonts w:cs="Times New Roman"/>
                <w:szCs w:val="24"/>
                <w:lang w:val="sr-Cyrl-CS"/>
              </w:rPr>
            </w:pPr>
          </w:p>
        </w:tc>
        <w:tc>
          <w:tcPr>
            <w:tcW w:w="4680" w:type="dxa"/>
          </w:tcPr>
          <w:p w:rsidR="00741707" w:rsidRPr="009F5B52" w:rsidRDefault="00741707" w:rsidP="00741707">
            <w:pPr>
              <w:pStyle w:val="ListParagraph"/>
              <w:spacing w:before="0"/>
              <w:ind w:left="0"/>
              <w:rPr>
                <w:rFonts w:cs="Times New Roman"/>
                <w:szCs w:val="24"/>
                <w:lang w:val="sr-Cyrl-CS"/>
              </w:rPr>
            </w:pPr>
            <w:r w:rsidRPr="009F5B52">
              <w:rPr>
                <w:rFonts w:cs="Times New Roman"/>
                <w:szCs w:val="24"/>
                <w:lang w:val="sr-Cyrl-CS"/>
              </w:rPr>
              <w:t>Захтева јасну поделу надлежности и линије координације</w:t>
            </w:r>
          </w:p>
        </w:tc>
      </w:tr>
    </w:tbl>
    <w:p w:rsidR="00741707" w:rsidRPr="009F5B52" w:rsidRDefault="00741707" w:rsidP="00EF1E67">
      <w:pPr>
        <w:rPr>
          <w:lang w:val="sr-Cyrl-CS"/>
        </w:rPr>
      </w:pPr>
    </w:p>
    <w:p w:rsidR="00EF1E67" w:rsidRPr="009F5B52" w:rsidRDefault="00270E7C" w:rsidP="00EF1E67">
      <w:pPr>
        <w:rPr>
          <w:lang w:val="sr-Cyrl-CS"/>
        </w:rPr>
      </w:pPr>
      <w:r w:rsidRPr="009F5B52">
        <w:rPr>
          <w:lang w:val="sr-Cyrl-CS"/>
        </w:rPr>
        <w:t xml:space="preserve">На основу </w:t>
      </w:r>
      <w:r w:rsidR="008F3818" w:rsidRPr="009F5B52">
        <w:rPr>
          <w:lang w:val="sr-Cyrl-CS"/>
        </w:rPr>
        <w:t xml:space="preserve">претходно анализираних искустава у Србији, регулаторног оквира на националном и нивоу ЕУ, </w:t>
      </w:r>
      <w:r w:rsidRPr="009F5B52">
        <w:rPr>
          <w:lang w:val="sr-Cyrl-CS"/>
        </w:rPr>
        <w:t xml:space="preserve">овде је дат предлог </w:t>
      </w:r>
      <w:r w:rsidR="00F3651E" w:rsidRPr="009F5B52">
        <w:rPr>
          <w:lang w:val="sr-Cyrl-CS"/>
        </w:rPr>
        <w:t xml:space="preserve">неких </w:t>
      </w:r>
      <w:r w:rsidRPr="009F5B52">
        <w:rPr>
          <w:lang w:val="sr-Cyrl-CS"/>
        </w:rPr>
        <w:t xml:space="preserve">основних функција које Фонд за социјално укључивање треба да </w:t>
      </w:r>
      <w:r w:rsidR="00F3651E" w:rsidRPr="009F5B52">
        <w:rPr>
          <w:lang w:val="sr-Cyrl-CS"/>
        </w:rPr>
        <w:t>врши</w:t>
      </w:r>
      <w:r w:rsidR="00EF1E67" w:rsidRPr="009F5B52">
        <w:rPr>
          <w:lang w:val="sr-Cyrl-CS"/>
        </w:rPr>
        <w:t>:</w:t>
      </w:r>
    </w:p>
    <w:p w:rsidR="00EF1E67" w:rsidRPr="009F5B52" w:rsidRDefault="00270E7C" w:rsidP="00270E7C">
      <w:pPr>
        <w:pStyle w:val="ListParagraph"/>
        <w:numPr>
          <w:ilvl w:val="0"/>
          <w:numId w:val="30"/>
        </w:numPr>
        <w:rPr>
          <w:szCs w:val="24"/>
          <w:lang w:val="sr-Cyrl-CS"/>
        </w:rPr>
      </w:pPr>
      <w:r w:rsidRPr="009F5B52">
        <w:rPr>
          <w:szCs w:val="24"/>
          <w:lang w:val="sr-Cyrl-CS"/>
        </w:rPr>
        <w:t>верификовање тендерске документације/смерница за реализацију позива за достављање предлога пројеката које достављају ресорна министарства</w:t>
      </w:r>
      <w:r w:rsidR="00E77F1F" w:rsidRPr="009F5B52">
        <w:rPr>
          <w:szCs w:val="24"/>
          <w:lang w:val="sr-Cyrl-CS"/>
        </w:rPr>
        <w:t xml:space="preserve"> надлежна за социјално укључивање</w:t>
      </w:r>
      <w:r w:rsidRPr="009F5B52">
        <w:rPr>
          <w:szCs w:val="24"/>
          <w:lang w:val="sr-Cyrl-CS"/>
        </w:rPr>
        <w:t xml:space="preserve">, као и припрема целокупних </w:t>
      </w:r>
      <w:r w:rsidRPr="009F5B52">
        <w:rPr>
          <w:b/>
          <w:szCs w:val="24"/>
          <w:lang w:val="sr-Cyrl-CS"/>
        </w:rPr>
        <w:t>тендерских досијеа/</w:t>
      </w:r>
      <w:r w:rsidR="008174AD" w:rsidRPr="009F5B52">
        <w:rPr>
          <w:b/>
          <w:szCs w:val="24"/>
          <w:lang w:val="sr-Cyrl-CS"/>
        </w:rPr>
        <w:t xml:space="preserve"> образаца за пријаву пројеката</w:t>
      </w:r>
      <w:r w:rsidR="00EF1E67" w:rsidRPr="009F5B52">
        <w:rPr>
          <w:szCs w:val="24"/>
          <w:lang w:val="sr-Cyrl-CS"/>
        </w:rPr>
        <w:t>;</w:t>
      </w:r>
    </w:p>
    <w:p w:rsidR="00EF1E67" w:rsidRPr="009F5B52" w:rsidRDefault="00270E7C" w:rsidP="00EF1E67">
      <w:pPr>
        <w:pStyle w:val="ListParagraph"/>
        <w:numPr>
          <w:ilvl w:val="0"/>
          <w:numId w:val="30"/>
        </w:numPr>
        <w:rPr>
          <w:szCs w:val="24"/>
          <w:lang w:val="sr-Cyrl-CS"/>
        </w:rPr>
      </w:pPr>
      <w:r w:rsidRPr="009F5B52">
        <w:rPr>
          <w:szCs w:val="24"/>
          <w:lang w:val="sr-Cyrl-CS"/>
        </w:rPr>
        <w:t xml:space="preserve">припрема </w:t>
      </w:r>
      <w:r w:rsidR="00EF1E67" w:rsidRPr="009F5B52">
        <w:rPr>
          <w:szCs w:val="24"/>
          <w:lang w:val="sr-Cyrl-CS"/>
        </w:rPr>
        <w:t xml:space="preserve"> </w:t>
      </w:r>
      <w:r w:rsidRPr="009F5B52">
        <w:rPr>
          <w:szCs w:val="24"/>
          <w:lang w:val="sr-Cyrl-CS"/>
        </w:rPr>
        <w:t xml:space="preserve">поступака </w:t>
      </w:r>
      <w:r w:rsidR="008174AD" w:rsidRPr="009F5B52">
        <w:rPr>
          <w:b/>
          <w:szCs w:val="24"/>
          <w:lang w:val="sr-Cyrl-CS"/>
        </w:rPr>
        <w:t>јавних набавки</w:t>
      </w:r>
      <w:r w:rsidR="008174AD" w:rsidRPr="009F5B52">
        <w:rPr>
          <w:szCs w:val="24"/>
          <w:lang w:val="sr-Cyrl-CS"/>
        </w:rPr>
        <w:t xml:space="preserve"> </w:t>
      </w:r>
      <w:r w:rsidRPr="009F5B52">
        <w:rPr>
          <w:szCs w:val="24"/>
          <w:lang w:val="sr-Cyrl-CS"/>
        </w:rPr>
        <w:t xml:space="preserve">и </w:t>
      </w:r>
      <w:r w:rsidRPr="009F5B52">
        <w:rPr>
          <w:b/>
          <w:szCs w:val="24"/>
          <w:lang w:val="sr-Cyrl-CS"/>
        </w:rPr>
        <w:t>поступака за доделу уговора</w:t>
      </w:r>
      <w:r w:rsidR="00EF1E67" w:rsidRPr="009F5B52">
        <w:rPr>
          <w:szCs w:val="24"/>
          <w:lang w:val="sr-Cyrl-CS"/>
        </w:rPr>
        <w:t>;</w:t>
      </w:r>
    </w:p>
    <w:p w:rsidR="00EF1E67" w:rsidRPr="009F5B52" w:rsidRDefault="00DC1DC7" w:rsidP="00DC1DC7">
      <w:pPr>
        <w:pStyle w:val="ListParagraph"/>
        <w:numPr>
          <w:ilvl w:val="0"/>
          <w:numId w:val="30"/>
        </w:numPr>
        <w:rPr>
          <w:szCs w:val="24"/>
          <w:lang w:val="sr-Cyrl-CS"/>
        </w:rPr>
      </w:pPr>
      <w:r w:rsidRPr="009F5B52">
        <w:rPr>
          <w:szCs w:val="24"/>
          <w:lang w:val="sr-Cyrl-CS"/>
        </w:rPr>
        <w:t xml:space="preserve">улога </w:t>
      </w:r>
      <w:r w:rsidR="008174AD" w:rsidRPr="009F5B52">
        <w:rPr>
          <w:b/>
          <w:szCs w:val="24"/>
          <w:lang w:val="sr-Cyrl-CS"/>
        </w:rPr>
        <w:t xml:space="preserve">тела за уговарање </w:t>
      </w:r>
      <w:r w:rsidRPr="009F5B52">
        <w:rPr>
          <w:szCs w:val="24"/>
          <w:lang w:val="sr-Cyrl-CS"/>
        </w:rPr>
        <w:t>и надзор над спровођењем уговора (укључујући исплаћивање и повраћај новца</w:t>
      </w:r>
      <w:r w:rsidR="00EF1E67" w:rsidRPr="009F5B52">
        <w:rPr>
          <w:szCs w:val="24"/>
          <w:lang w:val="sr-Cyrl-CS"/>
        </w:rPr>
        <w:t>);</w:t>
      </w:r>
    </w:p>
    <w:p w:rsidR="00EF1E67" w:rsidRPr="009F5B52" w:rsidRDefault="00DC1DC7" w:rsidP="00DC1DC7">
      <w:pPr>
        <w:pStyle w:val="ListParagraph"/>
        <w:numPr>
          <w:ilvl w:val="0"/>
          <w:numId w:val="30"/>
        </w:numPr>
        <w:rPr>
          <w:szCs w:val="24"/>
          <w:lang w:val="sr-Cyrl-CS"/>
        </w:rPr>
      </w:pPr>
      <w:r w:rsidRPr="009F5B52">
        <w:rPr>
          <w:szCs w:val="24"/>
          <w:lang w:val="sr-Cyrl-CS"/>
        </w:rPr>
        <w:t xml:space="preserve">спровођење </w:t>
      </w:r>
      <w:r w:rsidRPr="009F5B52">
        <w:rPr>
          <w:b/>
          <w:szCs w:val="24"/>
          <w:lang w:val="sr-Cyrl-CS"/>
        </w:rPr>
        <w:t>верификације</w:t>
      </w:r>
      <w:r w:rsidRPr="009F5B52">
        <w:rPr>
          <w:szCs w:val="24"/>
          <w:lang w:val="sr-Cyrl-CS"/>
        </w:rPr>
        <w:t xml:space="preserve"> како би се осигурало да су пријављени трошкови реализовани у складу са важећим </w:t>
      </w:r>
      <w:r w:rsidR="00595F49" w:rsidRPr="009F5B52">
        <w:rPr>
          <w:szCs w:val="24"/>
          <w:lang w:val="sr-Cyrl-CS"/>
        </w:rPr>
        <w:t>прописима</w:t>
      </w:r>
      <w:r w:rsidRPr="009F5B52">
        <w:rPr>
          <w:szCs w:val="24"/>
          <w:lang w:val="sr-Cyrl-CS"/>
        </w:rPr>
        <w:t>, да су производи и услуге реализовани у складу са одобреном одлуком и да су налози крајњег корисника за уплату исправни. Ова врста верификације обухвата административне, финансијске, техничке</w:t>
      </w:r>
      <w:r w:rsidR="008174AD" w:rsidRPr="009F5B52">
        <w:rPr>
          <w:szCs w:val="24"/>
          <w:lang w:val="sr-Cyrl-CS"/>
        </w:rPr>
        <w:t>,</w:t>
      </w:r>
      <w:r w:rsidRPr="009F5B52">
        <w:rPr>
          <w:szCs w:val="24"/>
          <w:lang w:val="sr-Cyrl-CS"/>
        </w:rPr>
        <w:t xml:space="preserve"> физичке </w:t>
      </w:r>
      <w:r w:rsidR="008174AD" w:rsidRPr="009F5B52">
        <w:rPr>
          <w:szCs w:val="24"/>
          <w:lang w:val="sr-Cyrl-CS"/>
        </w:rPr>
        <w:t xml:space="preserve">и функционалне </w:t>
      </w:r>
      <w:r w:rsidRPr="009F5B52">
        <w:rPr>
          <w:szCs w:val="24"/>
          <w:lang w:val="sr-Cyrl-CS"/>
        </w:rPr>
        <w:t xml:space="preserve">аспекте </w:t>
      </w:r>
      <w:r w:rsidR="008174AD" w:rsidRPr="009F5B52">
        <w:rPr>
          <w:szCs w:val="24"/>
          <w:lang w:val="sr-Cyrl-CS"/>
        </w:rPr>
        <w:t>операција</w:t>
      </w:r>
      <w:r w:rsidRPr="009F5B52">
        <w:rPr>
          <w:szCs w:val="24"/>
          <w:lang w:val="sr-Cyrl-CS"/>
        </w:rPr>
        <w:t>, према потреби</w:t>
      </w:r>
      <w:r w:rsidR="00EF1E67" w:rsidRPr="009F5B52">
        <w:rPr>
          <w:szCs w:val="24"/>
          <w:lang w:val="sr-Cyrl-CS"/>
        </w:rPr>
        <w:t>;</w:t>
      </w:r>
    </w:p>
    <w:p w:rsidR="00EF1E67" w:rsidRPr="009F5B52" w:rsidRDefault="00DC1DC7" w:rsidP="00EF1E67">
      <w:pPr>
        <w:pStyle w:val="ListParagraph"/>
        <w:numPr>
          <w:ilvl w:val="0"/>
          <w:numId w:val="30"/>
        </w:numPr>
        <w:rPr>
          <w:szCs w:val="24"/>
          <w:lang w:val="sr-Cyrl-CS"/>
        </w:rPr>
      </w:pPr>
      <w:r w:rsidRPr="009F5B52">
        <w:rPr>
          <w:szCs w:val="24"/>
          <w:lang w:val="sr-Cyrl-CS"/>
        </w:rPr>
        <w:t xml:space="preserve">улога </w:t>
      </w:r>
      <w:r w:rsidRPr="009F5B52">
        <w:rPr>
          <w:b/>
          <w:szCs w:val="24"/>
          <w:lang w:val="sr-Cyrl-CS"/>
        </w:rPr>
        <w:t>праћења</w:t>
      </w:r>
      <w:r w:rsidR="00E77F1F" w:rsidRPr="009F5B52">
        <w:rPr>
          <w:b/>
          <w:szCs w:val="24"/>
          <w:lang w:val="sr-Cyrl-CS"/>
        </w:rPr>
        <w:t xml:space="preserve"> и оцене</w:t>
      </w:r>
      <w:r w:rsidRPr="009F5B52">
        <w:rPr>
          <w:szCs w:val="24"/>
          <w:lang w:val="sr-Cyrl-CS"/>
        </w:rPr>
        <w:t>, кроз подршку изради докумената о напретку у реализацији релевантних мера које су дефинисане на нивоу јавних политика</w:t>
      </w:r>
      <w:r w:rsidR="00EF1E67" w:rsidRPr="009F5B52">
        <w:rPr>
          <w:szCs w:val="24"/>
          <w:lang w:val="sr-Cyrl-CS"/>
        </w:rPr>
        <w:t xml:space="preserve">; </w:t>
      </w:r>
    </w:p>
    <w:p w:rsidR="00EF1E67" w:rsidRPr="009F5B52" w:rsidRDefault="00DC1DC7" w:rsidP="00EF1E67">
      <w:pPr>
        <w:pStyle w:val="ListParagraph"/>
        <w:numPr>
          <w:ilvl w:val="0"/>
          <w:numId w:val="30"/>
        </w:numPr>
        <w:rPr>
          <w:szCs w:val="24"/>
          <w:lang w:val="sr-Cyrl-CS"/>
        </w:rPr>
      </w:pPr>
      <w:r w:rsidRPr="009F5B52">
        <w:rPr>
          <w:szCs w:val="24"/>
          <w:lang w:val="sr-Cyrl-CS"/>
        </w:rPr>
        <w:t xml:space="preserve">чување документације и осигуравање доступности свих релевантних информација са циљем реализације </w:t>
      </w:r>
      <w:r w:rsidRPr="009F5B52">
        <w:rPr>
          <w:b/>
          <w:szCs w:val="24"/>
          <w:lang w:val="sr-Cyrl-CS"/>
        </w:rPr>
        <w:t xml:space="preserve">ревизорског </w:t>
      </w:r>
      <w:r w:rsidR="008174AD" w:rsidRPr="009F5B52">
        <w:rPr>
          <w:b/>
          <w:szCs w:val="24"/>
          <w:lang w:val="sr-Cyrl-CS"/>
        </w:rPr>
        <w:t>трага</w:t>
      </w:r>
      <w:r w:rsidR="00EF1E67" w:rsidRPr="009F5B52">
        <w:rPr>
          <w:szCs w:val="24"/>
          <w:lang w:val="sr-Cyrl-CS"/>
        </w:rPr>
        <w:t>;</w:t>
      </w:r>
    </w:p>
    <w:p w:rsidR="00EF1E67" w:rsidRPr="009F5B52" w:rsidRDefault="00DC1DC7" w:rsidP="00EF1E67">
      <w:pPr>
        <w:pStyle w:val="ListParagraph"/>
        <w:numPr>
          <w:ilvl w:val="0"/>
          <w:numId w:val="30"/>
        </w:numPr>
        <w:rPr>
          <w:szCs w:val="24"/>
          <w:lang w:val="sr-Cyrl-CS"/>
        </w:rPr>
      </w:pPr>
      <w:r w:rsidRPr="009F5B52">
        <w:rPr>
          <w:b/>
          <w:szCs w:val="24"/>
          <w:lang w:val="sr-Cyrl-CS"/>
        </w:rPr>
        <w:t>извештавање о неправилностима</w:t>
      </w:r>
      <w:r w:rsidR="00E77F1F" w:rsidRPr="009F5B52">
        <w:rPr>
          <w:b/>
          <w:szCs w:val="24"/>
          <w:lang w:val="sr-Cyrl-CS"/>
        </w:rPr>
        <w:t>;</w:t>
      </w:r>
    </w:p>
    <w:p w:rsidR="00E77F1F" w:rsidRPr="009F5B52" w:rsidRDefault="00E77F1F" w:rsidP="00EF1E67">
      <w:pPr>
        <w:pStyle w:val="ListParagraph"/>
        <w:numPr>
          <w:ilvl w:val="0"/>
          <w:numId w:val="30"/>
        </w:numPr>
        <w:rPr>
          <w:szCs w:val="24"/>
          <w:lang w:val="sr-Cyrl-CS"/>
        </w:rPr>
      </w:pPr>
      <w:r w:rsidRPr="009F5B52">
        <w:rPr>
          <w:b/>
          <w:szCs w:val="24"/>
          <w:lang w:val="sr-Cyrl-CS"/>
        </w:rPr>
        <w:lastRenderedPageBreak/>
        <w:t xml:space="preserve">вршење функције ресурсног центра </w:t>
      </w:r>
      <w:r w:rsidR="00710DA3" w:rsidRPr="009F5B52">
        <w:rPr>
          <w:b/>
          <w:szCs w:val="24"/>
          <w:lang w:val="sr-Cyrl-CS"/>
        </w:rPr>
        <w:t xml:space="preserve">и консултативног партнера </w:t>
      </w:r>
      <w:r w:rsidRPr="009F5B52">
        <w:rPr>
          <w:b/>
          <w:szCs w:val="24"/>
          <w:lang w:val="sr-Cyrl-CS"/>
        </w:rPr>
        <w:t>за доносиоце јавних политика и потенцијалне кориснике Фонда</w:t>
      </w:r>
      <w:r w:rsidRPr="009F5B52">
        <w:rPr>
          <w:szCs w:val="24"/>
          <w:lang w:val="sr-Cyrl-CS"/>
        </w:rPr>
        <w:t>, посебно кроз (ко)организовање активности као што су: развијање стандарда за израду јавних политика, промовисање примера добре праксе, фандрејзинг, спровођење обука на тему пројектног и финансијског управљања, припрема публикација, п</w:t>
      </w:r>
      <w:bookmarkStart w:id="62" w:name="_GoBack"/>
      <w:bookmarkEnd w:id="62"/>
      <w:r w:rsidRPr="009F5B52">
        <w:rPr>
          <w:szCs w:val="24"/>
          <w:lang w:val="sr-Cyrl-CS"/>
        </w:rPr>
        <w:t>ружање информација (</w:t>
      </w:r>
      <w:r w:rsidRPr="008365F6">
        <w:rPr>
          <w:i/>
          <w:szCs w:val="24"/>
          <w:lang w:val="sr-Cyrl-CS"/>
        </w:rPr>
        <w:t>h</w:t>
      </w:r>
      <w:r w:rsidRPr="009F5B52">
        <w:rPr>
          <w:i/>
          <w:szCs w:val="24"/>
          <w:lang w:val="sr-Cyrl-CS"/>
        </w:rPr>
        <w:t>elp desk</w:t>
      </w:r>
      <w:r w:rsidRPr="009F5B52">
        <w:rPr>
          <w:szCs w:val="24"/>
          <w:lang w:val="sr-Cyrl-CS"/>
        </w:rPr>
        <w:t>), и др.</w:t>
      </w:r>
    </w:p>
    <w:p w:rsidR="005D483B" w:rsidRPr="009F5B52" w:rsidRDefault="008D62BD" w:rsidP="00EF1E67">
      <w:pPr>
        <w:pStyle w:val="Heading2"/>
        <w:rPr>
          <w:rStyle w:val="IntenseReference"/>
          <w:b/>
          <w:bCs/>
          <w:smallCaps w:val="0"/>
          <w:color w:val="4F81BD" w:themeColor="accent1"/>
          <w:spacing w:val="0"/>
          <w:u w:val="none"/>
          <w:lang w:val="sr-Cyrl-CS"/>
        </w:rPr>
      </w:pPr>
      <w:bookmarkStart w:id="63" w:name="_Toc330562316"/>
      <w:r w:rsidRPr="009F5B52">
        <w:rPr>
          <w:rStyle w:val="IntenseReference"/>
          <w:b/>
          <w:bCs/>
          <w:smallCaps w:val="0"/>
          <w:color w:val="4F81BD" w:themeColor="accent1"/>
          <w:spacing w:val="0"/>
          <w:u w:val="none"/>
          <w:lang w:val="sr-Cyrl-CS"/>
        </w:rPr>
        <w:t>3</w:t>
      </w:r>
      <w:r w:rsidR="00EF1E67" w:rsidRPr="009F5B52">
        <w:rPr>
          <w:rStyle w:val="IntenseReference"/>
          <w:b/>
          <w:bCs/>
          <w:smallCaps w:val="0"/>
          <w:color w:val="4F81BD" w:themeColor="accent1"/>
          <w:spacing w:val="0"/>
          <w:u w:val="none"/>
          <w:lang w:val="sr-Cyrl-CS"/>
        </w:rPr>
        <w:t>.4</w:t>
      </w:r>
      <w:r w:rsidR="00D2338B" w:rsidRPr="009F5B52">
        <w:rPr>
          <w:rStyle w:val="IntenseReference"/>
          <w:b/>
          <w:bCs/>
          <w:smallCaps w:val="0"/>
          <w:color w:val="4F81BD" w:themeColor="accent1"/>
          <w:spacing w:val="0"/>
          <w:u w:val="none"/>
          <w:lang w:val="sr-Cyrl-CS"/>
        </w:rPr>
        <w:t xml:space="preserve">. </w:t>
      </w:r>
      <w:r w:rsidR="00DC1DC7" w:rsidRPr="009F5B52">
        <w:rPr>
          <w:rStyle w:val="IntenseReference"/>
          <w:b/>
          <w:bCs/>
          <w:smallCaps w:val="0"/>
          <w:color w:val="4F81BD" w:themeColor="accent1"/>
          <w:spacing w:val="0"/>
          <w:u w:val="none"/>
          <w:lang w:val="sr-Cyrl-CS"/>
        </w:rPr>
        <w:t>Финансијски аспекти Фонда за социјално укључивање</w:t>
      </w:r>
      <w:bookmarkEnd w:id="63"/>
    </w:p>
    <w:p w:rsidR="005D483B" w:rsidRPr="009F5B52" w:rsidRDefault="005138C1" w:rsidP="00A16AA6">
      <w:pPr>
        <w:rPr>
          <w:rFonts w:cs="Times New Roman"/>
          <w:szCs w:val="24"/>
          <w:lang w:val="sr-Cyrl-CS"/>
        </w:rPr>
      </w:pPr>
      <w:r w:rsidRPr="009F5B52">
        <w:rPr>
          <w:rFonts w:cs="Times New Roman"/>
          <w:szCs w:val="24"/>
          <w:lang w:val="sr-Cyrl-CS"/>
        </w:rPr>
        <w:t>Упркос томе што се ово истраживање бави јасном потребом и даје аргументацију за успостављање новог тела у оквиру Владе</w:t>
      </w:r>
      <w:r w:rsidR="005D483B" w:rsidRPr="009F5B52">
        <w:rPr>
          <w:rStyle w:val="FootnoteReference"/>
          <w:rFonts w:cs="Times New Roman"/>
          <w:szCs w:val="24"/>
          <w:lang w:val="sr-Cyrl-CS"/>
        </w:rPr>
        <w:footnoteReference w:id="31"/>
      </w:r>
      <w:r w:rsidR="00FE7BDD" w:rsidRPr="009F5B52">
        <w:rPr>
          <w:rFonts w:cs="Times New Roman"/>
          <w:szCs w:val="24"/>
          <w:lang w:val="sr-Cyrl-CS"/>
        </w:rPr>
        <w:t xml:space="preserve"> </w:t>
      </w:r>
      <w:r w:rsidRPr="009F5B52">
        <w:rPr>
          <w:rFonts w:cs="Times New Roman"/>
          <w:szCs w:val="24"/>
          <w:lang w:val="sr-Cyrl-CS"/>
        </w:rPr>
        <w:t xml:space="preserve">које би се бавило спровођењем програма социјалног укључивања – </w:t>
      </w:r>
      <w:r w:rsidRPr="009F5B52">
        <w:rPr>
          <w:rFonts w:cs="Times New Roman"/>
          <w:b/>
          <w:szCs w:val="24"/>
          <w:lang w:val="sr-Cyrl-CS"/>
        </w:rPr>
        <w:t>Фонда за социјално укључивање</w:t>
      </w:r>
      <w:r w:rsidRPr="009F5B52">
        <w:rPr>
          <w:rFonts w:cs="Times New Roman"/>
          <w:szCs w:val="24"/>
          <w:lang w:val="sr-Cyrl-CS"/>
        </w:rPr>
        <w:t>, није могуће прецизно предвидети износ средстава кој</w:t>
      </w:r>
      <w:r w:rsidR="00A16AA6" w:rsidRPr="009F5B52">
        <w:rPr>
          <w:rFonts w:cs="Times New Roman"/>
          <w:szCs w:val="24"/>
          <w:lang w:val="sr-Cyrl-CS"/>
        </w:rPr>
        <w:t xml:space="preserve">е ово тело треба да администрира. Као прво, кључни доносиоци одлука тек треба да постигну договор о овој теми и, као друго, тек треба утврдити обим активности будућег Фонда. Међутим, у овом тренутку, могуће је направити почетну процену на основу следећих буџетских износа – комбиновањем постојећих домаћих средстава и </w:t>
      </w:r>
      <w:r w:rsidR="0011367B" w:rsidRPr="009F5B52">
        <w:rPr>
          <w:rFonts w:cs="Times New Roman"/>
          <w:szCs w:val="24"/>
          <w:lang w:val="sr-Cyrl-CS"/>
        </w:rPr>
        <w:t>на основу</w:t>
      </w:r>
      <w:r w:rsidR="00A16AA6" w:rsidRPr="009F5B52">
        <w:rPr>
          <w:rFonts w:cs="Times New Roman"/>
          <w:szCs w:val="24"/>
          <w:lang w:val="sr-Cyrl-CS"/>
        </w:rPr>
        <w:t xml:space="preserve"> „</w:t>
      </w:r>
      <w:r w:rsidR="0011367B" w:rsidRPr="009F5B52">
        <w:rPr>
          <w:rFonts w:cs="Times New Roman"/>
          <w:szCs w:val="24"/>
          <w:lang w:val="sr-Cyrl-CS"/>
        </w:rPr>
        <w:t>начела</w:t>
      </w:r>
      <w:r w:rsidR="00A16AA6" w:rsidRPr="009F5B52">
        <w:rPr>
          <w:rFonts w:cs="Times New Roman"/>
          <w:szCs w:val="24"/>
          <w:lang w:val="sr-Cyrl-CS"/>
        </w:rPr>
        <w:t xml:space="preserve"> комплементарности</w:t>
      </w:r>
      <w:r w:rsidR="00E0770C" w:rsidRPr="009F5B52">
        <w:rPr>
          <w:rFonts w:cs="Times New Roman"/>
          <w:szCs w:val="24"/>
          <w:lang w:val="sr-Cyrl-CS"/>
        </w:rPr>
        <w:t>”</w:t>
      </w:r>
      <w:r w:rsidR="00A16AA6" w:rsidRPr="009F5B52">
        <w:rPr>
          <w:rFonts w:cs="Times New Roman"/>
          <w:szCs w:val="24"/>
          <w:lang w:val="sr-Cyrl-CS"/>
        </w:rPr>
        <w:t xml:space="preserve"> кој</w:t>
      </w:r>
      <w:r w:rsidR="0011367B" w:rsidRPr="009F5B52">
        <w:rPr>
          <w:rFonts w:cs="Times New Roman"/>
          <w:szCs w:val="24"/>
          <w:lang w:val="sr-Cyrl-CS"/>
        </w:rPr>
        <w:t>е</w:t>
      </w:r>
      <w:r w:rsidR="00A16AA6" w:rsidRPr="009F5B52">
        <w:rPr>
          <w:rFonts w:cs="Times New Roman"/>
          <w:szCs w:val="24"/>
          <w:lang w:val="sr-Cyrl-CS"/>
        </w:rPr>
        <w:t xml:space="preserve"> се захтева у реализацији фондова ЕУ. </w:t>
      </w:r>
    </w:p>
    <w:p w:rsidR="005D483B" w:rsidRPr="009F5B52" w:rsidRDefault="002B57F2" w:rsidP="005D483B">
      <w:pPr>
        <w:rPr>
          <w:rFonts w:cs="Times New Roman"/>
          <w:szCs w:val="24"/>
          <w:lang w:val="sr-Cyrl-CS"/>
        </w:rPr>
      </w:pPr>
      <w:r w:rsidRPr="009F5B52">
        <w:rPr>
          <w:rFonts w:cs="Times New Roman"/>
          <w:szCs w:val="24"/>
          <w:lang w:val="sr-Cyrl-CS"/>
        </w:rPr>
        <w:t>Поред средстава из националног буџета, средства којим</w:t>
      </w:r>
      <w:r w:rsidR="005A0BAC" w:rsidRPr="009F5B52">
        <w:rPr>
          <w:rFonts w:cs="Times New Roman"/>
          <w:szCs w:val="24"/>
          <w:lang w:val="sr-Cyrl-CS"/>
        </w:rPr>
        <w:t>а</w:t>
      </w:r>
      <w:r w:rsidRPr="009F5B52">
        <w:rPr>
          <w:rFonts w:cs="Times New Roman"/>
          <w:szCs w:val="24"/>
          <w:lang w:val="sr-Cyrl-CS"/>
        </w:rPr>
        <w:t xml:space="preserve"> би Фонд за социјално укључива</w:t>
      </w:r>
      <w:r w:rsidR="005A0BAC" w:rsidRPr="009F5B52">
        <w:rPr>
          <w:rFonts w:cs="Times New Roman"/>
          <w:szCs w:val="24"/>
          <w:lang w:val="sr-Cyrl-CS"/>
        </w:rPr>
        <w:t xml:space="preserve">ње </w:t>
      </w:r>
      <w:r w:rsidR="00F3651E" w:rsidRPr="009F5B52">
        <w:rPr>
          <w:rFonts w:cs="Times New Roman"/>
          <w:szCs w:val="24"/>
          <w:lang w:val="sr-Cyrl-CS"/>
        </w:rPr>
        <w:t xml:space="preserve">могао у будућности да </w:t>
      </w:r>
      <w:r w:rsidR="005A0BAC" w:rsidRPr="009F5B52">
        <w:rPr>
          <w:rFonts w:cs="Times New Roman"/>
          <w:szCs w:val="24"/>
          <w:lang w:val="sr-Cyrl-CS"/>
        </w:rPr>
        <w:t>распола</w:t>
      </w:r>
      <w:r w:rsidR="00F3651E" w:rsidRPr="009F5B52">
        <w:rPr>
          <w:rFonts w:cs="Times New Roman"/>
          <w:szCs w:val="24"/>
          <w:lang w:val="sr-Cyrl-CS"/>
        </w:rPr>
        <w:t>же</w:t>
      </w:r>
      <w:r w:rsidR="005A0BAC" w:rsidRPr="009F5B52">
        <w:rPr>
          <w:rFonts w:cs="Times New Roman"/>
          <w:szCs w:val="24"/>
          <w:lang w:val="sr-Cyrl-CS"/>
        </w:rPr>
        <w:t xml:space="preserve"> </w:t>
      </w:r>
      <w:r w:rsidR="00F3651E" w:rsidRPr="009F5B52">
        <w:rPr>
          <w:rFonts w:cs="Times New Roman"/>
          <w:szCs w:val="24"/>
          <w:lang w:val="sr-Cyrl-CS"/>
        </w:rPr>
        <w:t xml:space="preserve">су она која ће бити опредељена за пројекте социјалног укључивања у оквиру претприступне помоћи у периоду нове финансијске перспективе ЕУ од 2014-2020. године. </w:t>
      </w:r>
    </w:p>
    <w:p w:rsidR="005003B5" w:rsidRPr="009F5B52" w:rsidRDefault="002B57F2" w:rsidP="005003B5">
      <w:pPr>
        <w:rPr>
          <w:rFonts w:cs="Times New Roman"/>
          <w:szCs w:val="24"/>
          <w:lang w:val="sr-Cyrl-CS"/>
        </w:rPr>
      </w:pPr>
      <w:r w:rsidRPr="009F5B52">
        <w:rPr>
          <w:rFonts w:cs="Times New Roman"/>
          <w:szCs w:val="24"/>
          <w:lang w:val="sr-Cyrl-CS"/>
        </w:rPr>
        <w:t xml:space="preserve">Опредељивање ових средстава мора </w:t>
      </w:r>
      <w:r w:rsidR="00EC439D" w:rsidRPr="009F5B52">
        <w:rPr>
          <w:rFonts w:cs="Times New Roman"/>
          <w:szCs w:val="24"/>
          <w:lang w:val="sr-Cyrl-CS"/>
        </w:rPr>
        <w:t>бити у складу са</w:t>
      </w:r>
      <w:r w:rsidRPr="009F5B52">
        <w:rPr>
          <w:rFonts w:cs="Times New Roman"/>
          <w:szCs w:val="24"/>
          <w:lang w:val="sr-Cyrl-CS"/>
        </w:rPr>
        <w:t xml:space="preserve"> начело</w:t>
      </w:r>
      <w:r w:rsidR="00EC439D" w:rsidRPr="009F5B52">
        <w:rPr>
          <w:rFonts w:cs="Times New Roman"/>
          <w:szCs w:val="24"/>
          <w:lang w:val="sr-Cyrl-CS"/>
        </w:rPr>
        <w:t>м</w:t>
      </w:r>
      <w:r w:rsidRPr="009F5B52">
        <w:rPr>
          <w:rFonts w:cs="Times New Roman"/>
          <w:szCs w:val="24"/>
          <w:lang w:val="sr-Cyrl-CS"/>
        </w:rPr>
        <w:t xml:space="preserve"> комплементарности које је саставни део Уредбе о спровођењу ИПА. Мере </w:t>
      </w:r>
      <w:r w:rsidR="00F3651E" w:rsidRPr="009F5B52">
        <w:rPr>
          <w:rFonts w:cs="Times New Roman"/>
          <w:szCs w:val="24"/>
          <w:lang w:val="sr-Cyrl-CS"/>
        </w:rPr>
        <w:t>у оквиру будућих о</w:t>
      </w:r>
      <w:r w:rsidRPr="009F5B52">
        <w:rPr>
          <w:rFonts w:cs="Times New Roman"/>
          <w:szCs w:val="24"/>
          <w:lang w:val="sr-Cyrl-CS"/>
        </w:rPr>
        <w:t>перативн</w:t>
      </w:r>
      <w:r w:rsidR="00F3651E" w:rsidRPr="009F5B52">
        <w:rPr>
          <w:rFonts w:cs="Times New Roman"/>
          <w:szCs w:val="24"/>
          <w:lang w:val="sr-Cyrl-CS"/>
        </w:rPr>
        <w:t>их</w:t>
      </w:r>
      <w:r w:rsidRPr="009F5B52">
        <w:rPr>
          <w:rFonts w:cs="Times New Roman"/>
          <w:szCs w:val="24"/>
          <w:lang w:val="sr-Cyrl-CS"/>
        </w:rPr>
        <w:t xml:space="preserve"> програма морају бити у складу са другим </w:t>
      </w:r>
      <w:r w:rsidR="005003B5" w:rsidRPr="009F5B52">
        <w:rPr>
          <w:rFonts w:cs="Times New Roman"/>
          <w:szCs w:val="24"/>
          <w:lang w:val="sr-Cyrl-CS"/>
        </w:rPr>
        <w:t xml:space="preserve">активностима које у Републици Србији спроводе домаћи и међународни партнери. </w:t>
      </w:r>
      <w:r w:rsidR="005003B5" w:rsidRPr="009F5B52">
        <w:rPr>
          <w:rFonts w:cs="Times New Roman"/>
          <w:b/>
          <w:szCs w:val="24"/>
          <w:lang w:val="sr-Cyrl-CS"/>
        </w:rPr>
        <w:t xml:space="preserve">Циљ овог начела јесте што снажније координирање, синергија и доследност, при чему се ограничени ресурси усмеравају </w:t>
      </w:r>
      <w:r w:rsidR="00EC439D" w:rsidRPr="009F5B52">
        <w:rPr>
          <w:rFonts w:cs="Times New Roman"/>
          <w:b/>
          <w:szCs w:val="24"/>
          <w:lang w:val="sr-Cyrl-CS"/>
        </w:rPr>
        <w:t>ка постизању</w:t>
      </w:r>
      <w:r w:rsidR="005003B5" w:rsidRPr="009F5B52">
        <w:rPr>
          <w:rFonts w:cs="Times New Roman"/>
          <w:b/>
          <w:szCs w:val="24"/>
          <w:lang w:val="sr-Cyrl-CS"/>
        </w:rPr>
        <w:t xml:space="preserve"> максималног ефекта у току примене програма. </w:t>
      </w:r>
    </w:p>
    <w:p w:rsidR="00D60F08" w:rsidRPr="009F5B52" w:rsidRDefault="008D62BD" w:rsidP="00FA2F9B">
      <w:pPr>
        <w:pStyle w:val="Heading2"/>
        <w:rPr>
          <w:lang w:val="sr-Cyrl-CS"/>
        </w:rPr>
      </w:pPr>
      <w:bookmarkStart w:id="64" w:name="_Toc330562317"/>
      <w:r w:rsidRPr="009F5B52">
        <w:rPr>
          <w:lang w:val="sr-Cyrl-CS"/>
        </w:rPr>
        <w:t>3</w:t>
      </w:r>
      <w:r w:rsidR="00D2338B" w:rsidRPr="009F5B52">
        <w:rPr>
          <w:lang w:val="sr-Cyrl-CS"/>
        </w:rPr>
        <w:t>.</w:t>
      </w:r>
      <w:r w:rsidR="00EF1E67" w:rsidRPr="009F5B52">
        <w:rPr>
          <w:lang w:val="sr-Cyrl-CS"/>
        </w:rPr>
        <w:t>5</w:t>
      </w:r>
      <w:r w:rsidR="00D2338B" w:rsidRPr="009F5B52">
        <w:rPr>
          <w:lang w:val="sr-Cyrl-CS"/>
        </w:rPr>
        <w:t xml:space="preserve">. </w:t>
      </w:r>
      <w:r w:rsidR="002E7B44" w:rsidRPr="009F5B52">
        <w:rPr>
          <w:lang w:val="sr-Cyrl-CS"/>
        </w:rPr>
        <w:t>Мапа пута</w:t>
      </w:r>
      <w:r w:rsidR="00D60F08" w:rsidRPr="009F5B52">
        <w:rPr>
          <w:lang w:val="sr-Cyrl-CS"/>
        </w:rPr>
        <w:t xml:space="preserve"> </w:t>
      </w:r>
      <w:r w:rsidR="002E7B44" w:rsidRPr="009F5B52">
        <w:rPr>
          <w:lang w:val="sr-Cyrl-CS"/>
        </w:rPr>
        <w:t>за успостављање Фонда за социјално укључиавње</w:t>
      </w:r>
      <w:bookmarkEnd w:id="64"/>
    </w:p>
    <w:p w:rsidR="00F3651E" w:rsidRPr="009F5B52" w:rsidRDefault="002E7B44" w:rsidP="00F3651E">
      <w:pPr>
        <w:pStyle w:val="ListParagraph"/>
        <w:numPr>
          <w:ilvl w:val="0"/>
          <w:numId w:val="32"/>
        </w:numPr>
        <w:rPr>
          <w:lang w:val="sr-Cyrl-CS"/>
        </w:rPr>
      </w:pPr>
      <w:r w:rsidRPr="009F5B52">
        <w:rPr>
          <w:b/>
          <w:lang w:val="sr-Cyrl-CS"/>
        </w:rPr>
        <w:t>Постизање сагласности заинтересованих страна и доносилаца одлука</w:t>
      </w:r>
      <w:r w:rsidRPr="009F5B52">
        <w:rPr>
          <w:lang w:val="sr-Cyrl-CS"/>
        </w:rPr>
        <w:t xml:space="preserve"> </w:t>
      </w:r>
      <w:r w:rsidR="00242430" w:rsidRPr="009F5B52">
        <w:rPr>
          <w:lang w:val="sr-Cyrl-CS"/>
        </w:rPr>
        <w:t>о потреби за оснивањем Фонда за социјално укључивање у циљу делотворније, рационалније и транспарентније примене политика социјалног укључивања у Републици Србији. Неопходно је организовати широку јавну расправу, као и радионицу на којој ће бити представљени релевантни налази кључним ресорним министарствима и представницима Делегације Европске комисије/Генералном директорату за запошљавање, социјалну политику и укључивање, као и организацијама цивилног друштва.</w:t>
      </w:r>
      <w:r w:rsidR="007D005A" w:rsidRPr="009F5B52">
        <w:rPr>
          <w:lang w:val="sr-Cyrl-CS"/>
        </w:rPr>
        <w:t xml:space="preserve">  </w:t>
      </w:r>
    </w:p>
    <w:p w:rsidR="00F3651E" w:rsidRPr="009F5B52" w:rsidRDefault="00242430" w:rsidP="00F3651E">
      <w:pPr>
        <w:pStyle w:val="ListParagraph"/>
        <w:numPr>
          <w:ilvl w:val="0"/>
          <w:numId w:val="32"/>
        </w:numPr>
        <w:rPr>
          <w:lang w:val="sr-Cyrl-CS"/>
        </w:rPr>
      </w:pPr>
      <w:r w:rsidRPr="009F5B52">
        <w:rPr>
          <w:b/>
          <w:lang w:val="sr-Cyrl-CS"/>
        </w:rPr>
        <w:lastRenderedPageBreak/>
        <w:t xml:space="preserve">Спровођење студије изводљивости </w:t>
      </w:r>
      <w:r w:rsidRPr="009F5B52">
        <w:rPr>
          <w:lang w:val="sr-Cyrl-CS"/>
        </w:rPr>
        <w:t>успостављања Фонда за социјално укључивање</w:t>
      </w:r>
      <w:r w:rsidR="00F3651E" w:rsidRPr="009F5B52">
        <w:rPr>
          <w:lang w:val="sr-Cyrl-CS"/>
        </w:rPr>
        <w:t xml:space="preserve">, којом ће се обезбедити додатни подаци о неопходним корацима, као на пример: додатна анализа различитих опција за упостављање (посебно кроз обједињавање постојећих буџетских фондова), укључујући процену ефеката ових фондова, подаци о правном основу, мандату и структури, буџетски и финансијски план Фонда, анализа обима активности и обука за запослене, и др. </w:t>
      </w:r>
    </w:p>
    <w:p w:rsidR="007D005A" w:rsidRPr="009F5B52" w:rsidRDefault="00242430" w:rsidP="00DC5C32">
      <w:pPr>
        <w:pStyle w:val="ListParagraph"/>
        <w:numPr>
          <w:ilvl w:val="0"/>
          <w:numId w:val="32"/>
        </w:numPr>
        <w:rPr>
          <w:lang w:val="sr-Cyrl-CS"/>
        </w:rPr>
      </w:pPr>
      <w:r w:rsidRPr="009F5B52">
        <w:rPr>
          <w:b/>
          <w:lang w:val="sr-Cyrl-CS"/>
        </w:rPr>
        <w:t xml:space="preserve">Радна група која окупља представнике кључних министарстава и Министарстава финансија припрема нацрт релевантних правних аката </w:t>
      </w:r>
      <w:r w:rsidRPr="009F5B52">
        <w:rPr>
          <w:lang w:val="sr-Cyrl-CS"/>
        </w:rPr>
        <w:t xml:space="preserve">(ово истраживање предлаже израду посебног закона). </w:t>
      </w:r>
      <w:r w:rsidR="00DC5C32" w:rsidRPr="009F5B52">
        <w:rPr>
          <w:lang w:val="sr-Cyrl-CS"/>
        </w:rPr>
        <w:t xml:space="preserve">Важно је водити рачуна да процес </w:t>
      </w:r>
      <w:r w:rsidR="00EC439D" w:rsidRPr="009F5B52">
        <w:rPr>
          <w:lang w:val="sr-Cyrl-CS"/>
        </w:rPr>
        <w:t>израде аката мора бити усклађен</w:t>
      </w:r>
      <w:r w:rsidR="00DC5C32" w:rsidRPr="009F5B52">
        <w:rPr>
          <w:lang w:val="sr-Cyrl-CS"/>
        </w:rPr>
        <w:t xml:space="preserve"> са процесом израде годишњег буџета (или измена и допуна постојећег Закона о буџету). </w:t>
      </w:r>
    </w:p>
    <w:p w:rsidR="007D005A" w:rsidRPr="009F5B52" w:rsidRDefault="00DC5C32" w:rsidP="00624258">
      <w:pPr>
        <w:pStyle w:val="ListParagraph"/>
        <w:numPr>
          <w:ilvl w:val="0"/>
          <w:numId w:val="32"/>
        </w:numPr>
        <w:rPr>
          <w:lang w:val="sr-Cyrl-CS"/>
        </w:rPr>
      </w:pPr>
      <w:r w:rsidRPr="009F5B52">
        <w:rPr>
          <w:b/>
          <w:lang w:val="sr-Cyrl-CS"/>
        </w:rPr>
        <w:t>Спровођење поступка усвајања аката на Влади</w:t>
      </w:r>
      <w:r w:rsidRPr="009F5B52">
        <w:rPr>
          <w:lang w:val="sr-Cyrl-CS"/>
        </w:rPr>
        <w:t>, у складу са Законом о Влади и Правилником о Влади</w:t>
      </w:r>
      <w:r w:rsidR="007D005A" w:rsidRPr="009F5B52">
        <w:rPr>
          <w:lang w:val="sr-Cyrl-CS"/>
        </w:rPr>
        <w:t xml:space="preserve">. </w:t>
      </w:r>
    </w:p>
    <w:p w:rsidR="007D005A" w:rsidRPr="009F5B52" w:rsidRDefault="00DC5C32" w:rsidP="00624258">
      <w:pPr>
        <w:pStyle w:val="ListParagraph"/>
        <w:numPr>
          <w:ilvl w:val="0"/>
          <w:numId w:val="32"/>
        </w:numPr>
        <w:rPr>
          <w:lang w:val="sr-Cyrl-CS"/>
        </w:rPr>
      </w:pPr>
      <w:r w:rsidRPr="009F5B52">
        <w:rPr>
          <w:b/>
          <w:lang w:val="sr-Cyrl-CS"/>
        </w:rPr>
        <w:t xml:space="preserve">Правна акта улазе у скупштинску процедуру </w:t>
      </w:r>
      <w:r w:rsidRPr="009F5B52">
        <w:rPr>
          <w:lang w:val="sr-Cyrl-CS"/>
        </w:rPr>
        <w:t>и усвајају се на седници Народне скупштине</w:t>
      </w:r>
      <w:r w:rsidR="007D005A" w:rsidRPr="009F5B52">
        <w:rPr>
          <w:lang w:val="sr-Cyrl-CS"/>
        </w:rPr>
        <w:t>.</w:t>
      </w:r>
    </w:p>
    <w:p w:rsidR="007D005A" w:rsidRPr="009F5B52" w:rsidRDefault="00DC5C32" w:rsidP="00624258">
      <w:pPr>
        <w:pStyle w:val="ListParagraph"/>
        <w:numPr>
          <w:ilvl w:val="0"/>
          <w:numId w:val="32"/>
        </w:numPr>
        <w:rPr>
          <w:lang w:val="sr-Cyrl-CS"/>
        </w:rPr>
      </w:pPr>
      <w:r w:rsidRPr="009F5B52">
        <w:rPr>
          <w:b/>
          <w:lang w:val="sr-Cyrl-CS"/>
        </w:rPr>
        <w:t xml:space="preserve">Обавезан процес </w:t>
      </w:r>
      <w:r w:rsidR="005A0BAC" w:rsidRPr="009F5B52">
        <w:rPr>
          <w:b/>
          <w:lang w:val="sr-Cyrl-CS"/>
        </w:rPr>
        <w:t>именовања</w:t>
      </w:r>
      <w:r w:rsidRPr="009F5B52">
        <w:rPr>
          <w:lang w:val="sr-Cyrl-CS"/>
        </w:rPr>
        <w:t xml:space="preserve"> спроводи се у складу са релевантним административним поступком.</w:t>
      </w:r>
      <w:r w:rsidR="007D005A" w:rsidRPr="009F5B52">
        <w:rPr>
          <w:lang w:val="sr-Cyrl-CS"/>
        </w:rPr>
        <w:t xml:space="preserve"> </w:t>
      </w:r>
    </w:p>
    <w:p w:rsidR="00C158D0" w:rsidRPr="009F5B52" w:rsidRDefault="00DC5C32" w:rsidP="00DC5C32">
      <w:pPr>
        <w:pStyle w:val="ListParagraph"/>
        <w:numPr>
          <w:ilvl w:val="0"/>
          <w:numId w:val="32"/>
        </w:numPr>
        <w:rPr>
          <w:lang w:val="sr-Cyrl-CS"/>
        </w:rPr>
      </w:pPr>
      <w:r w:rsidRPr="009F5B52">
        <w:rPr>
          <w:b/>
          <w:lang w:val="sr-Cyrl-CS"/>
        </w:rPr>
        <w:t>Израда и усвајање правилника о организацији и систематизацији радних места.</w:t>
      </w:r>
      <w:r w:rsidRPr="009F5B52">
        <w:rPr>
          <w:lang w:val="sr-Cyrl-CS"/>
        </w:rPr>
        <w:t xml:space="preserve"> Попуњавање радних места у складу са релевантним поступцима</w:t>
      </w:r>
      <w:r w:rsidR="00083A64" w:rsidRPr="009F5B52">
        <w:rPr>
          <w:lang w:val="sr-Cyrl-CS"/>
        </w:rPr>
        <w:t xml:space="preserve">. </w:t>
      </w:r>
    </w:p>
    <w:p w:rsidR="00C158D0" w:rsidRPr="009F5B52" w:rsidRDefault="00DC5C32" w:rsidP="00624258">
      <w:pPr>
        <w:pStyle w:val="ListParagraph"/>
        <w:numPr>
          <w:ilvl w:val="0"/>
          <w:numId w:val="32"/>
        </w:numPr>
        <w:rPr>
          <w:lang w:val="sr-Cyrl-CS"/>
        </w:rPr>
      </w:pPr>
      <w:r w:rsidRPr="009F5B52">
        <w:rPr>
          <w:b/>
          <w:lang w:val="sr-Cyrl-CS"/>
        </w:rPr>
        <w:t>Дефинисање обавеза извештавања и праћења</w:t>
      </w:r>
      <w:r w:rsidRPr="009F5B52">
        <w:rPr>
          <w:lang w:val="sr-Cyrl-CS"/>
        </w:rPr>
        <w:t xml:space="preserve">, узимајући у обзир домаће и европске аспекте социјалног укључивања. </w:t>
      </w:r>
    </w:p>
    <w:p w:rsidR="00C158D0" w:rsidRPr="009F5B52" w:rsidRDefault="00C16D4C" w:rsidP="00624258">
      <w:pPr>
        <w:pStyle w:val="ListParagraph"/>
        <w:numPr>
          <w:ilvl w:val="0"/>
          <w:numId w:val="32"/>
        </w:numPr>
        <w:rPr>
          <w:lang w:val="sr-Cyrl-CS"/>
        </w:rPr>
      </w:pPr>
      <w:r w:rsidRPr="009F5B52">
        <w:rPr>
          <w:b/>
          <w:lang w:val="sr-Cyrl-CS"/>
        </w:rPr>
        <w:t>Развити правила финансијског рачуноводства</w:t>
      </w:r>
      <w:r w:rsidR="007D005A" w:rsidRPr="009F5B52">
        <w:rPr>
          <w:lang w:val="sr-Cyrl-CS"/>
        </w:rPr>
        <w:t xml:space="preserve">, </w:t>
      </w:r>
      <w:r w:rsidR="00DC5C32" w:rsidRPr="009F5B52">
        <w:rPr>
          <w:lang w:val="sr-Cyrl-CS"/>
        </w:rPr>
        <w:t xml:space="preserve">као и </w:t>
      </w:r>
      <w:r w:rsidRPr="009F5B52">
        <w:rPr>
          <w:lang w:val="sr-Cyrl-CS"/>
        </w:rPr>
        <w:t>процедуре канцеларијског пословања</w:t>
      </w:r>
      <w:r w:rsidR="00DC5C32" w:rsidRPr="009F5B52">
        <w:rPr>
          <w:lang w:val="sr-Cyrl-CS"/>
        </w:rPr>
        <w:t xml:space="preserve">, у складу са домаћим прописима, као и обавезама које произилазе из децентрализованог </w:t>
      </w:r>
      <w:r w:rsidRPr="009F5B52">
        <w:rPr>
          <w:lang w:val="sr-Cyrl-CS"/>
        </w:rPr>
        <w:t xml:space="preserve">система </w:t>
      </w:r>
      <w:r w:rsidR="00DC5C32" w:rsidRPr="009F5B52">
        <w:rPr>
          <w:lang w:val="sr-Cyrl-CS"/>
        </w:rPr>
        <w:t>управљања средствима ЕУ</w:t>
      </w:r>
      <w:r w:rsidR="007D005A" w:rsidRPr="009F5B52">
        <w:rPr>
          <w:lang w:val="sr-Cyrl-CS"/>
        </w:rPr>
        <w:t>.</w:t>
      </w:r>
    </w:p>
    <w:p w:rsidR="00C158D0" w:rsidRPr="009F5B52" w:rsidRDefault="00DC5C32" w:rsidP="00624258">
      <w:pPr>
        <w:pStyle w:val="ListParagraph"/>
        <w:numPr>
          <w:ilvl w:val="0"/>
          <w:numId w:val="32"/>
        </w:numPr>
        <w:rPr>
          <w:lang w:val="sr-Cyrl-CS"/>
        </w:rPr>
      </w:pPr>
      <w:r w:rsidRPr="009F5B52">
        <w:rPr>
          <w:b/>
          <w:lang w:val="sr-Cyrl-CS"/>
        </w:rPr>
        <w:t>Реализовање обуке запослених</w:t>
      </w:r>
      <w:r w:rsidRPr="009F5B52">
        <w:rPr>
          <w:lang w:val="sr-Cyrl-CS"/>
        </w:rPr>
        <w:t xml:space="preserve"> кроз коришћење текућих пројеката финансираних из донаторских средстава, или кроз посебно осмишљен</w:t>
      </w:r>
      <w:r w:rsidR="00C16D4C" w:rsidRPr="009F5B52">
        <w:rPr>
          <w:lang w:val="sr-Cyrl-CS"/>
        </w:rPr>
        <w:t>и</w:t>
      </w:r>
      <w:r w:rsidRPr="009F5B52">
        <w:rPr>
          <w:lang w:val="sr-Cyrl-CS"/>
        </w:rPr>
        <w:t xml:space="preserve"> пројек</w:t>
      </w:r>
      <w:r w:rsidR="00C16D4C" w:rsidRPr="009F5B52">
        <w:rPr>
          <w:lang w:val="sr-Cyrl-CS"/>
        </w:rPr>
        <w:t>а</w:t>
      </w:r>
      <w:r w:rsidRPr="009F5B52">
        <w:rPr>
          <w:lang w:val="sr-Cyrl-CS"/>
        </w:rPr>
        <w:t>т подршке функционисању Фонда за социјално укључивање</w:t>
      </w:r>
      <w:r w:rsidR="007D005A" w:rsidRPr="009F5B52">
        <w:rPr>
          <w:lang w:val="sr-Cyrl-CS"/>
        </w:rPr>
        <w:t xml:space="preserve">. </w:t>
      </w:r>
    </w:p>
    <w:p w:rsidR="007D005A" w:rsidRPr="009F5B52" w:rsidRDefault="00393013" w:rsidP="00624258">
      <w:pPr>
        <w:pStyle w:val="ListParagraph"/>
        <w:numPr>
          <w:ilvl w:val="0"/>
          <w:numId w:val="32"/>
        </w:numPr>
        <w:rPr>
          <w:lang w:val="sr-Cyrl-CS"/>
        </w:rPr>
      </w:pPr>
      <w:r w:rsidRPr="009F5B52">
        <w:rPr>
          <w:b/>
          <w:lang w:val="sr-Cyrl-CS"/>
        </w:rPr>
        <w:t>Спровођење доделе бесповратних средстава из националног буџета</w:t>
      </w:r>
      <w:r w:rsidRPr="009F5B52">
        <w:rPr>
          <w:lang w:val="sr-Cyrl-CS"/>
        </w:rPr>
        <w:t xml:space="preserve"> као важна фаза у којој се тестирају капацитети новоформираног тела </w:t>
      </w:r>
      <w:r w:rsidR="007417E4" w:rsidRPr="009F5B52">
        <w:rPr>
          <w:lang w:val="sr-Cyrl-CS"/>
        </w:rPr>
        <w:t>за реализацију својих функција, као предуслов за започињање следеће фазе</w:t>
      </w:r>
      <w:r w:rsidR="007D005A" w:rsidRPr="009F5B52">
        <w:rPr>
          <w:lang w:val="sr-Cyrl-CS"/>
        </w:rPr>
        <w:t>.</w:t>
      </w:r>
    </w:p>
    <w:p w:rsidR="007D005A" w:rsidRPr="009F5B52" w:rsidRDefault="007417E4" w:rsidP="00624258">
      <w:pPr>
        <w:pStyle w:val="ListParagraph"/>
        <w:numPr>
          <w:ilvl w:val="0"/>
          <w:numId w:val="32"/>
        </w:numPr>
        <w:rPr>
          <w:lang w:val="sr-Cyrl-CS"/>
        </w:rPr>
      </w:pPr>
      <w:r w:rsidRPr="009F5B52">
        <w:rPr>
          <w:b/>
          <w:lang w:val="sr-Cyrl-CS"/>
        </w:rPr>
        <w:t>Акредитација Фонда за социјално укључивање</w:t>
      </w:r>
      <w:r w:rsidRPr="009F5B52">
        <w:rPr>
          <w:lang w:val="sr-Cyrl-CS"/>
        </w:rPr>
        <w:t xml:space="preserve"> у оквиру децентрализовано</w:t>
      </w:r>
      <w:r w:rsidR="00C16D4C" w:rsidRPr="009F5B52">
        <w:rPr>
          <w:lang w:val="sr-Cyrl-CS"/>
        </w:rPr>
        <w:t>г</w:t>
      </w:r>
      <w:r w:rsidRPr="009F5B52">
        <w:rPr>
          <w:lang w:val="sr-Cyrl-CS"/>
        </w:rPr>
        <w:t xml:space="preserve"> управљањ</w:t>
      </w:r>
      <w:r w:rsidR="00C16D4C" w:rsidRPr="009F5B52">
        <w:rPr>
          <w:lang w:val="sr-Cyrl-CS"/>
        </w:rPr>
        <w:t>а</w:t>
      </w:r>
      <w:r w:rsidRPr="009F5B52">
        <w:rPr>
          <w:lang w:val="sr-Cyrl-CS"/>
        </w:rPr>
        <w:t xml:space="preserve"> </w:t>
      </w:r>
      <w:r w:rsidR="00BA78A4">
        <w:rPr>
          <w:lang w:val="sr-Cyrl-CS"/>
        </w:rPr>
        <w:t>фондовима</w:t>
      </w:r>
      <w:r w:rsidRPr="009F5B52">
        <w:rPr>
          <w:lang w:val="sr-Cyrl-CS"/>
        </w:rPr>
        <w:t xml:space="preserve"> ЕУ</w:t>
      </w:r>
      <w:r w:rsidR="00C16D4C" w:rsidRPr="009F5B52">
        <w:rPr>
          <w:lang w:val="sr-Cyrl-CS"/>
        </w:rPr>
        <w:t>, као финална фаза пре додељивања средстава из ЕУ фондова</w:t>
      </w:r>
      <w:r w:rsidR="007D005A" w:rsidRPr="009F5B52">
        <w:rPr>
          <w:lang w:val="sr-Cyrl-CS"/>
        </w:rPr>
        <w:t>.</w:t>
      </w:r>
    </w:p>
    <w:p w:rsidR="0050267A" w:rsidRPr="009F5B52" w:rsidRDefault="0050267A" w:rsidP="00624258">
      <w:pPr>
        <w:pStyle w:val="ListParagraph"/>
        <w:numPr>
          <w:ilvl w:val="0"/>
          <w:numId w:val="31"/>
        </w:numPr>
        <w:rPr>
          <w:rFonts w:cs="Times New Roman"/>
          <w:szCs w:val="24"/>
          <w:lang w:val="sr-Cyrl-CS"/>
        </w:rPr>
        <w:sectPr w:rsidR="0050267A" w:rsidRPr="009F5B52" w:rsidSect="005070EC">
          <w:headerReference w:type="default" r:id="rId14"/>
          <w:footerReference w:type="default" r:id="rId15"/>
          <w:pgSz w:w="11907" w:h="16839" w:code="9"/>
          <w:pgMar w:top="1440" w:right="1440" w:bottom="1440" w:left="1440" w:header="720" w:footer="720" w:gutter="0"/>
          <w:cols w:space="720"/>
          <w:docGrid w:linePitch="360"/>
        </w:sectPr>
      </w:pPr>
    </w:p>
    <w:p w:rsidR="00D60F08" w:rsidRPr="009F5B52" w:rsidRDefault="002D461C" w:rsidP="00E51A6E">
      <w:pPr>
        <w:rPr>
          <w:rFonts w:cs="Times New Roman"/>
          <w:szCs w:val="24"/>
          <w:lang w:val="sr-Cyrl-CS"/>
        </w:rPr>
        <w:sectPr w:rsidR="00D60F08" w:rsidRPr="009F5B52" w:rsidSect="00D60F08">
          <w:pgSz w:w="16839" w:h="11907" w:orient="landscape" w:code="9"/>
          <w:pgMar w:top="1440" w:right="1440" w:bottom="1440" w:left="1440" w:header="720" w:footer="720" w:gutter="0"/>
          <w:cols w:space="720"/>
          <w:docGrid w:linePitch="360"/>
        </w:sectPr>
      </w:pPr>
      <w:r w:rsidRPr="009F5B52">
        <w:rPr>
          <w:noProof/>
          <w:lang w:val="sr-Cyrl-RS" w:eastAsia="sr-Cyrl-RS"/>
        </w:rPr>
        <w:lastRenderedPageBreak/>
        <w:drawing>
          <wp:inline distT="0" distB="0" distL="0" distR="0" wp14:anchorId="5C5081F1" wp14:editId="1795E9AC">
            <wp:extent cx="7325833" cy="5935020"/>
            <wp:effectExtent l="0" t="0" r="889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cir.tif"/>
                    <pic:cNvPicPr/>
                  </pic:nvPicPr>
                  <pic:blipFill>
                    <a:blip r:embed="rId16">
                      <a:extLst>
                        <a:ext uri="{28A0092B-C50C-407E-A947-70E740481C1C}">
                          <a14:useLocalDpi xmlns:a14="http://schemas.microsoft.com/office/drawing/2010/main" val="0"/>
                        </a:ext>
                      </a:extLst>
                    </a:blip>
                    <a:stretch>
                      <a:fillRect/>
                    </a:stretch>
                  </pic:blipFill>
                  <pic:spPr>
                    <a:xfrm>
                      <a:off x="0" y="0"/>
                      <a:ext cx="7325833" cy="5935020"/>
                    </a:xfrm>
                    <a:prstGeom prst="rect">
                      <a:avLst/>
                    </a:prstGeom>
                  </pic:spPr>
                </pic:pic>
              </a:graphicData>
            </a:graphic>
          </wp:inline>
        </w:drawing>
      </w:r>
    </w:p>
    <w:p w:rsidR="00F52C8D" w:rsidRPr="009F5B52" w:rsidRDefault="003F343E" w:rsidP="003F343E">
      <w:pPr>
        <w:pStyle w:val="Heading1"/>
        <w:numPr>
          <w:ilvl w:val="0"/>
          <w:numId w:val="0"/>
        </w:numPr>
        <w:ind w:left="360" w:hanging="360"/>
        <w:rPr>
          <w:i/>
          <w:lang w:val="sr-Cyrl-CS"/>
        </w:rPr>
      </w:pPr>
      <w:bookmarkStart w:id="65" w:name="_Toc330562318"/>
      <w:r w:rsidRPr="009F5B52">
        <w:rPr>
          <w:lang w:val="sr-Cyrl-CS"/>
        </w:rPr>
        <w:lastRenderedPageBreak/>
        <w:t>Литература</w:t>
      </w:r>
      <w:bookmarkEnd w:id="65"/>
    </w:p>
    <w:p w:rsidR="00F6018E" w:rsidRPr="009F5B52" w:rsidRDefault="00F6018E" w:rsidP="002C653D">
      <w:pPr>
        <w:jc w:val="left"/>
        <w:rPr>
          <w:lang w:val="sr-Cyrl-CS"/>
        </w:rPr>
      </w:pPr>
      <w:r w:rsidRPr="009F5B52">
        <w:rPr>
          <w:lang w:val="sr-Cyrl-CS"/>
        </w:rPr>
        <w:t xml:space="preserve">Ben-Gera, Michal, </w:t>
      </w:r>
      <w:r w:rsidR="00E0770C" w:rsidRPr="009F5B52">
        <w:rPr>
          <w:lang w:val="sr-Cyrl-CS"/>
        </w:rPr>
        <w:t>“</w:t>
      </w:r>
      <w:r w:rsidRPr="009F5B52">
        <w:rPr>
          <w:lang w:val="sr-Cyrl-CS"/>
        </w:rPr>
        <w:t xml:space="preserve">Horizontal Policy Coordination”, Ministry of Public Administration and Local Self-Government: Belgrade, 2009. </w:t>
      </w:r>
    </w:p>
    <w:p w:rsidR="00555B5D" w:rsidRPr="009F5B52" w:rsidRDefault="00495854" w:rsidP="002C653D">
      <w:pPr>
        <w:jc w:val="left"/>
        <w:rPr>
          <w:lang w:val="sr-Cyrl-CS"/>
        </w:rPr>
      </w:pPr>
      <w:r w:rsidRPr="009F5B52">
        <w:rPr>
          <w:lang w:val="sr-Cyrl-CS"/>
        </w:rPr>
        <w:t>Нацрт оперативног програма за развој људских ресурса</w:t>
      </w:r>
      <w:r w:rsidR="00555B5D" w:rsidRPr="009F5B52">
        <w:rPr>
          <w:lang w:val="sr-Cyrl-CS"/>
        </w:rPr>
        <w:t xml:space="preserve"> 2012-2013, </w:t>
      </w:r>
      <w:r w:rsidRPr="009F5B52">
        <w:rPr>
          <w:lang w:val="sr-Cyrl-CS"/>
        </w:rPr>
        <w:t>Канцеларија за европске интеграције</w:t>
      </w:r>
      <w:r w:rsidR="00555B5D" w:rsidRPr="009F5B52">
        <w:rPr>
          <w:lang w:val="sr-Cyrl-CS"/>
        </w:rPr>
        <w:t>, 2011.</w:t>
      </w:r>
      <w:r w:rsidR="00FA76F3" w:rsidRPr="009F5B52">
        <w:rPr>
          <w:lang w:val="sr-Cyrl-CS"/>
        </w:rPr>
        <w:t xml:space="preserve"> </w:t>
      </w:r>
      <w:hyperlink r:id="rId17" w:history="1">
        <w:r w:rsidR="00083A64" w:rsidRPr="009F5B52">
          <w:rPr>
            <w:rStyle w:val="Hyperlink"/>
            <w:lang w:val="sr-Cyrl-CS"/>
          </w:rPr>
          <w:t>http://www.cdspredlaze.org.rs/Content/downloads/OP-HRD_2nd_Draft_%28main%29.pdf</w:t>
        </w:r>
      </w:hyperlink>
      <w:r w:rsidR="00083A64" w:rsidRPr="009F5B52">
        <w:rPr>
          <w:lang w:val="sr-Cyrl-CS"/>
        </w:rPr>
        <w:t xml:space="preserve"> </w:t>
      </w:r>
    </w:p>
    <w:p w:rsidR="00555B5D" w:rsidRPr="009F5B52" w:rsidRDefault="00555B5D" w:rsidP="002C653D">
      <w:pPr>
        <w:jc w:val="left"/>
        <w:rPr>
          <w:lang w:val="sr-Cyrl-CS"/>
        </w:rPr>
      </w:pPr>
      <w:r w:rsidRPr="009F5B52">
        <w:rPr>
          <w:lang w:val="sr-Cyrl-CS"/>
        </w:rPr>
        <w:t xml:space="preserve">European Commission, </w:t>
      </w:r>
      <w:r w:rsidR="00E0770C" w:rsidRPr="009F5B52">
        <w:rPr>
          <w:lang w:val="sr-Cyrl-CS"/>
        </w:rPr>
        <w:t>“</w:t>
      </w:r>
      <w:r w:rsidRPr="009F5B52">
        <w:rPr>
          <w:lang w:val="sr-Cyrl-CS"/>
        </w:rPr>
        <w:t>Commission Opinion on Serbia's app</w:t>
      </w:r>
      <w:r w:rsidR="00FA76F3" w:rsidRPr="009F5B52">
        <w:rPr>
          <w:lang w:val="sr-Cyrl-CS"/>
        </w:rPr>
        <w:t xml:space="preserve">lication for membership of the </w:t>
      </w:r>
      <w:r w:rsidRPr="009F5B52">
        <w:rPr>
          <w:lang w:val="sr-Cyrl-CS"/>
        </w:rPr>
        <w:t>European Union - Analytical Report”, COM(2011) 668, October 2011.</w:t>
      </w:r>
    </w:p>
    <w:p w:rsidR="00933999" w:rsidRPr="009F5B52" w:rsidRDefault="00933999" w:rsidP="002C653D">
      <w:pPr>
        <w:jc w:val="left"/>
        <w:rPr>
          <w:lang w:val="sr-Cyrl-CS"/>
        </w:rPr>
      </w:pPr>
      <w:r w:rsidRPr="009F5B52">
        <w:rPr>
          <w:lang w:val="sr-Cyrl-CS"/>
        </w:rPr>
        <w:t xml:space="preserve">European Commission's DG Employment, Social Affairs and Inclusion, </w:t>
      </w:r>
      <w:r w:rsidR="00E0770C" w:rsidRPr="009F5B52">
        <w:rPr>
          <w:lang w:val="sr-Cyrl-CS"/>
        </w:rPr>
        <w:t>“</w:t>
      </w:r>
      <w:r w:rsidRPr="009F5B52">
        <w:rPr>
          <w:lang w:val="sr-Cyrl-CS"/>
        </w:rPr>
        <w:t xml:space="preserve">The EU and social inclusion </w:t>
      </w:r>
      <w:r w:rsidR="00166C56" w:rsidRPr="009F5B52">
        <w:rPr>
          <w:lang w:val="sr-Cyrl-CS"/>
        </w:rPr>
        <w:t>-</w:t>
      </w:r>
      <w:r w:rsidRPr="009F5B52">
        <w:rPr>
          <w:lang w:val="sr-Cyrl-CS"/>
        </w:rPr>
        <w:t xml:space="preserve"> ESF in action”,</w:t>
      </w:r>
      <w:r w:rsidRPr="009F5B52">
        <w:rPr>
          <w:rStyle w:val="CommentReference"/>
          <w:rFonts w:cs="Times New Roman"/>
          <w:sz w:val="24"/>
          <w:szCs w:val="24"/>
          <w:lang w:val="sr-Cyrl-CS"/>
        </w:rPr>
        <w:t xml:space="preserve"> </w:t>
      </w:r>
      <w:r w:rsidRPr="009F5B52">
        <w:rPr>
          <w:rStyle w:val="Date1"/>
          <w:rFonts w:cs="Times New Roman"/>
          <w:szCs w:val="24"/>
          <w:lang w:val="sr-Cyrl-CS"/>
        </w:rPr>
        <w:t>March 2010.</w:t>
      </w:r>
      <w:r w:rsidR="00FA76F3" w:rsidRPr="009F5B52">
        <w:rPr>
          <w:rStyle w:val="Date1"/>
          <w:rFonts w:cs="Times New Roman"/>
          <w:szCs w:val="24"/>
          <w:lang w:val="sr-Cyrl-CS"/>
        </w:rPr>
        <w:t xml:space="preserve"> </w:t>
      </w:r>
      <w:r w:rsidR="00495854" w:rsidRPr="009F5B52">
        <w:rPr>
          <w:rStyle w:val="Date1"/>
          <w:rFonts w:cs="Times New Roman"/>
          <w:szCs w:val="24"/>
          <w:lang w:val="sr-Cyrl-CS"/>
        </w:rPr>
        <w:t xml:space="preserve"> </w:t>
      </w:r>
      <w:hyperlink r:id="rId18" w:history="1">
        <w:r w:rsidR="00083A64" w:rsidRPr="009F5B52">
          <w:rPr>
            <w:rStyle w:val="Hyperlink"/>
            <w:lang w:val="sr-Cyrl-CS"/>
          </w:rPr>
          <w:t>http://ec.europa.eu/social/main.jsp?catId=370&amp;langId=en&amp;featuresId=106&amp;furtherFeatures=yes</w:t>
        </w:r>
      </w:hyperlink>
      <w:r w:rsidR="00083A64" w:rsidRPr="009F5B52">
        <w:rPr>
          <w:lang w:val="sr-Cyrl-CS"/>
        </w:rPr>
        <w:t xml:space="preserve"> </w:t>
      </w:r>
    </w:p>
    <w:p w:rsidR="00166C56" w:rsidRPr="009F5B52" w:rsidRDefault="00166C56" w:rsidP="002C653D">
      <w:pPr>
        <w:jc w:val="left"/>
        <w:rPr>
          <w:lang w:val="sr-Cyrl-CS"/>
        </w:rPr>
      </w:pPr>
      <w:r w:rsidRPr="009F5B52">
        <w:rPr>
          <w:lang w:val="sr-Cyrl-CS"/>
        </w:rPr>
        <w:t xml:space="preserve">European Commission's DG for Employment, Social Affairs and Inclusion, </w:t>
      </w:r>
      <w:r w:rsidR="00E0770C" w:rsidRPr="009F5B52">
        <w:rPr>
          <w:lang w:val="sr-Cyrl-CS"/>
        </w:rPr>
        <w:t>“</w:t>
      </w:r>
      <w:r w:rsidRPr="009F5B52">
        <w:rPr>
          <w:lang w:val="sr-Cyrl-CS"/>
        </w:rPr>
        <w:t>European Social Fund”, 2012.</w:t>
      </w:r>
      <w:r w:rsidR="00FA76F3" w:rsidRPr="009F5B52">
        <w:rPr>
          <w:lang w:val="sr-Cyrl-CS"/>
        </w:rPr>
        <w:t xml:space="preserve"> </w:t>
      </w:r>
      <w:hyperlink r:id="rId19" w:history="1">
        <w:r w:rsidR="00083A64" w:rsidRPr="009F5B52">
          <w:rPr>
            <w:rStyle w:val="Hyperlink"/>
            <w:lang w:val="sr-Cyrl-CS"/>
          </w:rPr>
          <w:t>http://ec.europa.eu/esf/main.jsp?catId=32&amp;langId=en</w:t>
        </w:r>
      </w:hyperlink>
      <w:r w:rsidR="00083A64" w:rsidRPr="009F5B52">
        <w:rPr>
          <w:lang w:val="sr-Cyrl-CS"/>
        </w:rPr>
        <w:t xml:space="preserve"> </w:t>
      </w:r>
    </w:p>
    <w:p w:rsidR="00933999" w:rsidRPr="009F5B52" w:rsidRDefault="00933999" w:rsidP="002C653D">
      <w:pPr>
        <w:jc w:val="left"/>
        <w:rPr>
          <w:lang w:val="sr-Cyrl-CS"/>
        </w:rPr>
      </w:pPr>
      <w:r w:rsidRPr="009F5B52">
        <w:rPr>
          <w:lang w:val="sr-Cyrl-CS"/>
        </w:rPr>
        <w:t xml:space="preserve">European Commission's DG for Employment, Social Affairs and Inclusion. </w:t>
      </w:r>
      <w:r w:rsidR="00E0770C" w:rsidRPr="009F5B52">
        <w:rPr>
          <w:lang w:val="sr-Cyrl-CS"/>
        </w:rPr>
        <w:t>“</w:t>
      </w:r>
      <w:r w:rsidRPr="009F5B52">
        <w:rPr>
          <w:lang w:val="sr-Cyrl-CS"/>
        </w:rPr>
        <w:t>The European Social Fund: a Cornerstone in the Fight Against Poverty and Social Exclusion”, 2010.</w:t>
      </w:r>
    </w:p>
    <w:p w:rsidR="00933999" w:rsidRPr="009F5B52" w:rsidRDefault="00933999" w:rsidP="002C653D">
      <w:pPr>
        <w:jc w:val="left"/>
        <w:rPr>
          <w:lang w:val="sr-Cyrl-CS"/>
        </w:rPr>
      </w:pPr>
      <w:r w:rsidRPr="009F5B52">
        <w:rPr>
          <w:lang w:val="sr-Cyrl-CS"/>
        </w:rPr>
        <w:t xml:space="preserve">European Commission's DG for Employment, Social Affairs and Inclusion: </w:t>
      </w:r>
      <w:r w:rsidR="00E0770C" w:rsidRPr="009F5B52">
        <w:rPr>
          <w:lang w:val="sr-Cyrl-CS"/>
        </w:rPr>
        <w:t>“</w:t>
      </w:r>
      <w:r w:rsidRPr="009F5B52">
        <w:rPr>
          <w:lang w:val="sr-Cyrl-CS"/>
        </w:rPr>
        <w:t>What are the proposed changes for the ESF?”, 2012.</w:t>
      </w:r>
      <w:r w:rsidR="00FA76F3" w:rsidRPr="009F5B52">
        <w:rPr>
          <w:lang w:val="sr-Cyrl-CS"/>
        </w:rPr>
        <w:t xml:space="preserve"> </w:t>
      </w:r>
      <w:hyperlink r:id="rId20" w:history="1">
        <w:r w:rsidR="00083A64" w:rsidRPr="009F5B52">
          <w:rPr>
            <w:rStyle w:val="Hyperlink"/>
            <w:lang w:val="sr-Cyrl-CS"/>
          </w:rPr>
          <w:t>http://ec.europa.eu/esf/main.jsp?catId=62&amp;langId=en</w:t>
        </w:r>
      </w:hyperlink>
      <w:r w:rsidR="00083A64" w:rsidRPr="009F5B52">
        <w:rPr>
          <w:lang w:val="sr-Cyrl-CS"/>
        </w:rPr>
        <w:t xml:space="preserve"> </w:t>
      </w:r>
    </w:p>
    <w:p w:rsidR="00555B5D" w:rsidRPr="009F5B52" w:rsidRDefault="00555B5D" w:rsidP="002C653D">
      <w:pPr>
        <w:jc w:val="left"/>
        <w:rPr>
          <w:lang w:val="sr-Cyrl-CS"/>
        </w:rPr>
      </w:pPr>
      <w:r w:rsidRPr="009F5B52">
        <w:rPr>
          <w:lang w:val="sr-Cyrl-CS"/>
        </w:rPr>
        <w:t>European Commission Proposal (COM(2011) 607) for a Regulation of the European Parliament and of the Council on the European Social Fund and repealing Council Regulation (EC) No 1081/2006.</w:t>
      </w:r>
    </w:p>
    <w:p w:rsidR="00555B5D" w:rsidRPr="009F5B52" w:rsidRDefault="00555B5D" w:rsidP="002C653D">
      <w:pPr>
        <w:jc w:val="left"/>
        <w:rPr>
          <w:lang w:val="sr-Cyrl-CS"/>
        </w:rPr>
      </w:pPr>
      <w:r w:rsidRPr="009F5B52">
        <w:rPr>
          <w:lang w:val="sr-Cyrl-CS"/>
        </w:rPr>
        <w:t xml:space="preserve">European Court of Auditors, </w:t>
      </w:r>
      <w:r w:rsidR="00E0770C" w:rsidRPr="009F5B52">
        <w:rPr>
          <w:lang w:val="sr-Cyrl-CS"/>
        </w:rPr>
        <w:t>“</w:t>
      </w:r>
      <w:r w:rsidRPr="009F5B52">
        <w:rPr>
          <w:lang w:val="sr-Cyrl-CS"/>
        </w:rPr>
        <w:t>Has EU assistance improved Cro</w:t>
      </w:r>
      <w:r w:rsidR="00FA76F3" w:rsidRPr="009F5B52">
        <w:rPr>
          <w:lang w:val="sr-Cyrl-CS"/>
        </w:rPr>
        <w:t>atia's capacity to manage post-</w:t>
      </w:r>
      <w:r w:rsidRPr="009F5B52">
        <w:rPr>
          <w:lang w:val="sr-Cyrl-CS"/>
        </w:rPr>
        <w:t>accession funding?”, Special Report No 14/2011, 2011.</w:t>
      </w:r>
    </w:p>
    <w:p w:rsidR="00BB2FF5" w:rsidRPr="009F5B52" w:rsidRDefault="00495854" w:rsidP="002C653D">
      <w:pPr>
        <w:jc w:val="left"/>
        <w:rPr>
          <w:lang w:val="sr-Cyrl-CS"/>
        </w:rPr>
      </w:pPr>
      <w:r w:rsidRPr="009F5B52">
        <w:rPr>
          <w:lang w:val="sr-Cyrl-CS"/>
        </w:rPr>
        <w:t>Г</w:t>
      </w:r>
      <w:r w:rsidR="00BB2FF5" w:rsidRPr="009F5B52">
        <w:rPr>
          <w:lang w:val="sr-Cyrl-CS"/>
        </w:rPr>
        <w:t>o</w:t>
      </w:r>
      <w:r w:rsidRPr="009F5B52">
        <w:rPr>
          <w:lang w:val="sr-Cyrl-CS"/>
        </w:rPr>
        <w:t>лицин</w:t>
      </w:r>
      <w:r w:rsidR="00BB2FF5" w:rsidRPr="009F5B52">
        <w:rPr>
          <w:lang w:val="sr-Cyrl-CS"/>
        </w:rPr>
        <w:t xml:space="preserve">, </w:t>
      </w:r>
      <w:r w:rsidRPr="009F5B52">
        <w:rPr>
          <w:lang w:val="sr-Cyrl-CS"/>
        </w:rPr>
        <w:t>П</w:t>
      </w:r>
      <w:r w:rsidR="00BB2FF5" w:rsidRPr="009F5B52">
        <w:rPr>
          <w:lang w:val="sr-Cyrl-CS"/>
        </w:rPr>
        <w:t>a</w:t>
      </w:r>
      <w:r w:rsidRPr="009F5B52">
        <w:rPr>
          <w:lang w:val="sr-Cyrl-CS"/>
        </w:rPr>
        <w:t>вл</w:t>
      </w:r>
      <w:r w:rsidR="00BB2FF5" w:rsidRPr="009F5B52">
        <w:rPr>
          <w:lang w:val="sr-Cyrl-CS"/>
        </w:rPr>
        <w:t xml:space="preserve">e </w:t>
      </w:r>
      <w:r w:rsidRPr="009F5B52">
        <w:rPr>
          <w:lang w:val="sr-Cyrl-CS"/>
        </w:rPr>
        <w:t>и</w:t>
      </w:r>
      <w:r w:rsidR="00BB2FF5" w:rsidRPr="009F5B52">
        <w:rPr>
          <w:lang w:val="sr-Cyrl-CS"/>
        </w:rPr>
        <w:t xml:space="preserve"> </w:t>
      </w:r>
      <w:r w:rsidRPr="009F5B52">
        <w:rPr>
          <w:lang w:val="sr-Cyrl-CS"/>
        </w:rPr>
        <w:t>Г</w:t>
      </w:r>
      <w:r w:rsidR="00BB2FF5" w:rsidRPr="009F5B52">
        <w:rPr>
          <w:lang w:val="sr-Cyrl-CS"/>
        </w:rPr>
        <w:t>a</w:t>
      </w:r>
      <w:r w:rsidRPr="009F5B52">
        <w:rPr>
          <w:lang w:val="sr-Cyrl-CS"/>
        </w:rPr>
        <w:t>љин</w:t>
      </w:r>
      <w:r w:rsidR="00BB2FF5" w:rsidRPr="009F5B52">
        <w:rPr>
          <w:lang w:val="sr-Cyrl-CS"/>
        </w:rPr>
        <w:t>a O</w:t>
      </w:r>
      <w:r w:rsidRPr="009F5B52">
        <w:rPr>
          <w:lang w:val="sr-Cyrl-CS"/>
        </w:rPr>
        <w:t>гњ</w:t>
      </w:r>
      <w:r w:rsidR="00BB2FF5" w:rsidRPr="009F5B52">
        <w:rPr>
          <w:lang w:val="sr-Cyrl-CS"/>
        </w:rPr>
        <w:t>a</w:t>
      </w:r>
      <w:r w:rsidRPr="009F5B52">
        <w:rPr>
          <w:lang w:val="sr-Cyrl-CS"/>
        </w:rPr>
        <w:t>н</w:t>
      </w:r>
      <w:r w:rsidR="00BB2FF5" w:rsidRPr="009F5B52">
        <w:rPr>
          <w:lang w:val="sr-Cyrl-CS"/>
        </w:rPr>
        <w:t>o</w:t>
      </w:r>
      <w:r w:rsidRPr="009F5B52">
        <w:rPr>
          <w:lang w:val="sr-Cyrl-CS"/>
        </w:rPr>
        <w:t>в</w:t>
      </w:r>
      <w:r w:rsidR="00BB2FF5" w:rsidRPr="009F5B52">
        <w:rPr>
          <w:lang w:val="sr-Cyrl-CS"/>
        </w:rPr>
        <w:t xml:space="preserve">, </w:t>
      </w:r>
      <w:r w:rsidR="00E0770C" w:rsidRPr="009F5B52">
        <w:rPr>
          <w:lang w:val="sr-Cyrl-CS"/>
        </w:rPr>
        <w:t>“</w:t>
      </w:r>
      <w:r w:rsidRPr="009F5B52">
        <w:rPr>
          <w:lang w:val="sr-Cyrl-CS"/>
        </w:rPr>
        <w:t>Процена резултата Фонда за социјалне иновације</w:t>
      </w:r>
      <w:r w:rsidR="00BB2FF5" w:rsidRPr="009F5B52">
        <w:rPr>
          <w:lang w:val="sr-Cyrl-CS"/>
        </w:rPr>
        <w:t xml:space="preserve">”, UNDP: </w:t>
      </w:r>
      <w:r w:rsidRPr="009F5B52">
        <w:rPr>
          <w:lang w:val="sr-Cyrl-CS"/>
        </w:rPr>
        <w:t>Београд</w:t>
      </w:r>
      <w:r w:rsidR="00BB2FF5" w:rsidRPr="009F5B52">
        <w:rPr>
          <w:lang w:val="sr-Cyrl-CS"/>
        </w:rPr>
        <w:t>, 2010.</w:t>
      </w:r>
    </w:p>
    <w:p w:rsidR="00F52C8D" w:rsidRPr="009F5B52" w:rsidRDefault="00495854" w:rsidP="002C653D">
      <w:pPr>
        <w:jc w:val="left"/>
        <w:rPr>
          <w:u w:val="single"/>
          <w:lang w:val="sr-Cyrl-CS"/>
        </w:rPr>
      </w:pPr>
      <w:r w:rsidRPr="009F5B52">
        <w:rPr>
          <w:lang w:val="sr-Cyrl-CS"/>
        </w:rPr>
        <w:t>Влада Републике Србије, Први национални извештај о социјалном укључивању и смањењу сиромаштва у Републици Србији, Београд</w:t>
      </w:r>
      <w:r w:rsidR="00F52C8D" w:rsidRPr="009F5B52">
        <w:rPr>
          <w:lang w:val="sr-Cyrl-CS"/>
        </w:rPr>
        <w:t>, 2011.</w:t>
      </w:r>
    </w:p>
    <w:p w:rsidR="0050273A" w:rsidRPr="009F5B52" w:rsidRDefault="00495854" w:rsidP="002C653D">
      <w:pPr>
        <w:jc w:val="left"/>
        <w:rPr>
          <w:lang w:val="sr-Cyrl-CS"/>
        </w:rPr>
      </w:pPr>
      <w:r w:rsidRPr="009F5B52">
        <w:rPr>
          <w:lang w:val="sr-Cyrl-CS"/>
        </w:rPr>
        <w:t>Х</w:t>
      </w:r>
      <w:r w:rsidR="0050273A" w:rsidRPr="009F5B52">
        <w:rPr>
          <w:lang w:val="sr-Cyrl-CS"/>
        </w:rPr>
        <w:t>o</w:t>
      </w:r>
      <w:r w:rsidRPr="009F5B52">
        <w:rPr>
          <w:lang w:val="sr-Cyrl-CS"/>
        </w:rPr>
        <w:t>л</w:t>
      </w:r>
      <w:r w:rsidR="0050273A" w:rsidRPr="009F5B52">
        <w:rPr>
          <w:lang w:val="sr-Cyrl-CS"/>
        </w:rPr>
        <w:t>a</w:t>
      </w:r>
      <w:r w:rsidRPr="009F5B52">
        <w:rPr>
          <w:lang w:val="sr-Cyrl-CS"/>
        </w:rPr>
        <w:t>нд</w:t>
      </w:r>
      <w:r w:rsidR="0050273A" w:rsidRPr="009F5B52">
        <w:rPr>
          <w:lang w:val="sr-Cyrl-CS"/>
        </w:rPr>
        <w:t xml:space="preserve">, </w:t>
      </w:r>
      <w:r w:rsidRPr="009F5B52">
        <w:rPr>
          <w:lang w:val="sr-Cyrl-CS"/>
        </w:rPr>
        <w:t>К</w:t>
      </w:r>
      <w:r w:rsidR="0050273A" w:rsidRPr="009F5B52">
        <w:rPr>
          <w:lang w:val="sr-Cyrl-CS"/>
        </w:rPr>
        <w:t xml:space="preserve">. </w:t>
      </w:r>
      <w:r w:rsidRPr="009F5B52">
        <w:rPr>
          <w:lang w:val="sr-Cyrl-CS"/>
        </w:rPr>
        <w:t>и</w:t>
      </w:r>
      <w:r w:rsidR="0050273A" w:rsidRPr="009F5B52">
        <w:rPr>
          <w:lang w:val="sr-Cyrl-CS"/>
        </w:rPr>
        <w:t xml:space="preserve"> </w:t>
      </w:r>
      <w:r w:rsidRPr="009F5B52">
        <w:rPr>
          <w:lang w:val="sr-Cyrl-CS"/>
        </w:rPr>
        <w:t>С</w:t>
      </w:r>
      <w:r w:rsidR="0050273A" w:rsidRPr="009F5B52">
        <w:rPr>
          <w:lang w:val="sr-Cyrl-CS"/>
        </w:rPr>
        <w:t>. E</w:t>
      </w:r>
      <w:r w:rsidRPr="009F5B52">
        <w:rPr>
          <w:lang w:val="sr-Cyrl-CS"/>
        </w:rPr>
        <w:t>рикс</w:t>
      </w:r>
      <w:r w:rsidR="0050273A" w:rsidRPr="009F5B52">
        <w:rPr>
          <w:lang w:val="sr-Cyrl-CS"/>
        </w:rPr>
        <w:t>e</w:t>
      </w:r>
      <w:r w:rsidRPr="009F5B52">
        <w:rPr>
          <w:lang w:val="sr-Cyrl-CS"/>
        </w:rPr>
        <w:t>н</w:t>
      </w:r>
      <w:r w:rsidR="0050273A" w:rsidRPr="009F5B52">
        <w:rPr>
          <w:lang w:val="sr-Cyrl-CS"/>
        </w:rPr>
        <w:t>,</w:t>
      </w:r>
      <w:r w:rsidR="0050273A" w:rsidRPr="009F5B52">
        <w:rPr>
          <w:i/>
          <w:lang w:val="sr-Cyrl-CS"/>
        </w:rPr>
        <w:t xml:space="preserve"> </w:t>
      </w:r>
      <w:r w:rsidR="00E0770C" w:rsidRPr="009F5B52">
        <w:rPr>
          <w:i/>
          <w:lang w:val="sr-Cyrl-CS"/>
        </w:rPr>
        <w:t>“</w:t>
      </w:r>
      <w:r w:rsidRPr="009F5B52">
        <w:rPr>
          <w:i/>
          <w:lang w:val="sr-Cyrl-CS"/>
        </w:rPr>
        <w:t>Из</w:t>
      </w:r>
      <w:r w:rsidR="0050273A" w:rsidRPr="009F5B52">
        <w:rPr>
          <w:i/>
          <w:lang w:val="sr-Cyrl-CS"/>
        </w:rPr>
        <w:t>a</w:t>
      </w:r>
      <w:r w:rsidRPr="009F5B52">
        <w:rPr>
          <w:i/>
          <w:lang w:val="sr-Cyrl-CS"/>
        </w:rPr>
        <w:t>з</w:t>
      </w:r>
      <w:r w:rsidR="0050273A" w:rsidRPr="009F5B52">
        <w:rPr>
          <w:i/>
          <w:lang w:val="sr-Cyrl-CS"/>
        </w:rPr>
        <w:t>o</w:t>
      </w:r>
      <w:r w:rsidRPr="009F5B52">
        <w:rPr>
          <w:i/>
          <w:lang w:val="sr-Cyrl-CS"/>
        </w:rPr>
        <w:t>ви</w:t>
      </w:r>
      <w:r w:rsidR="0050273A" w:rsidRPr="009F5B52">
        <w:rPr>
          <w:i/>
          <w:lang w:val="sr-Cyrl-CS"/>
        </w:rPr>
        <w:t xml:space="preserve"> </w:t>
      </w:r>
      <w:r w:rsidRPr="009F5B52">
        <w:rPr>
          <w:i/>
          <w:lang w:val="sr-Cyrl-CS"/>
        </w:rPr>
        <w:t>р</w:t>
      </w:r>
      <w:r w:rsidR="0050273A" w:rsidRPr="009F5B52">
        <w:rPr>
          <w:i/>
          <w:lang w:val="sr-Cyrl-CS"/>
        </w:rPr>
        <w:t>e</w:t>
      </w:r>
      <w:r w:rsidRPr="009F5B52">
        <w:rPr>
          <w:i/>
          <w:lang w:val="sr-Cyrl-CS"/>
        </w:rPr>
        <w:t>ф</w:t>
      </w:r>
      <w:r w:rsidR="0050273A" w:rsidRPr="009F5B52">
        <w:rPr>
          <w:i/>
          <w:lang w:val="sr-Cyrl-CS"/>
        </w:rPr>
        <w:t>o</w:t>
      </w:r>
      <w:r w:rsidRPr="009F5B52">
        <w:rPr>
          <w:i/>
          <w:lang w:val="sr-Cyrl-CS"/>
        </w:rPr>
        <w:t>рм</w:t>
      </w:r>
      <w:r w:rsidR="0050273A" w:rsidRPr="009F5B52">
        <w:rPr>
          <w:i/>
          <w:lang w:val="sr-Cyrl-CS"/>
        </w:rPr>
        <w:t xml:space="preserve">e - </w:t>
      </w:r>
      <w:r w:rsidRPr="009F5B52">
        <w:rPr>
          <w:i/>
          <w:lang w:val="sr-Cyrl-CS"/>
        </w:rPr>
        <w:t>ди</w:t>
      </w:r>
      <w:r w:rsidR="0050273A" w:rsidRPr="009F5B52">
        <w:rPr>
          <w:i/>
          <w:lang w:val="sr-Cyrl-CS"/>
        </w:rPr>
        <w:t>ja</w:t>
      </w:r>
      <w:r w:rsidRPr="009F5B52">
        <w:rPr>
          <w:i/>
          <w:lang w:val="sr-Cyrl-CS"/>
        </w:rPr>
        <w:t>гн</w:t>
      </w:r>
      <w:r w:rsidR="0050273A" w:rsidRPr="009F5B52">
        <w:rPr>
          <w:i/>
          <w:lang w:val="sr-Cyrl-CS"/>
        </w:rPr>
        <w:t>o</w:t>
      </w:r>
      <w:r w:rsidRPr="009F5B52">
        <w:rPr>
          <w:i/>
          <w:lang w:val="sr-Cyrl-CS"/>
        </w:rPr>
        <w:t>стичк</w:t>
      </w:r>
      <w:r w:rsidR="0050273A" w:rsidRPr="009F5B52">
        <w:rPr>
          <w:i/>
          <w:lang w:val="sr-Cyrl-CS"/>
        </w:rPr>
        <w:t xml:space="preserve">a </w:t>
      </w:r>
      <w:r w:rsidRPr="009F5B52">
        <w:rPr>
          <w:i/>
          <w:lang w:val="sr-Cyrl-CS"/>
        </w:rPr>
        <w:t>студи</w:t>
      </w:r>
      <w:r w:rsidR="0050273A" w:rsidRPr="009F5B52">
        <w:rPr>
          <w:i/>
          <w:lang w:val="sr-Cyrl-CS"/>
        </w:rPr>
        <w:t>ja o</w:t>
      </w:r>
      <w:r w:rsidRPr="009F5B52">
        <w:rPr>
          <w:i/>
          <w:lang w:val="sr-Cyrl-CS"/>
        </w:rPr>
        <w:t>рг</w:t>
      </w:r>
      <w:r w:rsidR="0050273A" w:rsidRPr="009F5B52">
        <w:rPr>
          <w:i/>
          <w:lang w:val="sr-Cyrl-CS"/>
        </w:rPr>
        <w:t>a</w:t>
      </w:r>
      <w:r w:rsidRPr="009F5B52">
        <w:rPr>
          <w:i/>
          <w:lang w:val="sr-Cyrl-CS"/>
        </w:rPr>
        <w:t>н</w:t>
      </w:r>
      <w:r w:rsidR="0050273A" w:rsidRPr="009F5B52">
        <w:rPr>
          <w:i/>
          <w:lang w:val="sr-Cyrl-CS"/>
        </w:rPr>
        <w:t xml:space="preserve">a </w:t>
      </w:r>
      <w:r w:rsidRPr="009F5B52">
        <w:rPr>
          <w:i/>
          <w:lang w:val="sr-Cyrl-CS"/>
        </w:rPr>
        <w:t>држ</w:t>
      </w:r>
      <w:r w:rsidR="0050273A" w:rsidRPr="009F5B52">
        <w:rPr>
          <w:i/>
          <w:lang w:val="sr-Cyrl-CS"/>
        </w:rPr>
        <w:t>a</w:t>
      </w:r>
      <w:r w:rsidRPr="009F5B52">
        <w:rPr>
          <w:i/>
          <w:lang w:val="sr-Cyrl-CS"/>
        </w:rPr>
        <w:t>вн</w:t>
      </w:r>
      <w:r w:rsidR="0050273A" w:rsidRPr="009F5B52">
        <w:rPr>
          <w:i/>
          <w:lang w:val="sr-Cyrl-CS"/>
        </w:rPr>
        <w:t xml:space="preserve">e </w:t>
      </w:r>
      <w:r w:rsidRPr="009F5B52">
        <w:rPr>
          <w:i/>
          <w:lang w:val="sr-Cyrl-CS"/>
        </w:rPr>
        <w:t>упр</w:t>
      </w:r>
      <w:r w:rsidR="0050273A" w:rsidRPr="009F5B52">
        <w:rPr>
          <w:i/>
          <w:lang w:val="sr-Cyrl-CS"/>
        </w:rPr>
        <w:t>a</w:t>
      </w:r>
      <w:r w:rsidRPr="009F5B52">
        <w:rPr>
          <w:i/>
          <w:lang w:val="sr-Cyrl-CS"/>
        </w:rPr>
        <w:t>в</w:t>
      </w:r>
      <w:r w:rsidR="0050273A" w:rsidRPr="009F5B52">
        <w:rPr>
          <w:i/>
          <w:lang w:val="sr-Cyrl-CS"/>
        </w:rPr>
        <w:t xml:space="preserve">e </w:t>
      </w:r>
      <w:r w:rsidRPr="009F5B52">
        <w:rPr>
          <w:i/>
          <w:lang w:val="sr-Cyrl-CS"/>
        </w:rPr>
        <w:t>Р</w:t>
      </w:r>
      <w:r w:rsidR="0050273A" w:rsidRPr="009F5B52">
        <w:rPr>
          <w:i/>
          <w:lang w:val="sr-Cyrl-CS"/>
        </w:rPr>
        <w:t>e</w:t>
      </w:r>
      <w:r w:rsidRPr="009F5B52">
        <w:rPr>
          <w:i/>
          <w:lang w:val="sr-Cyrl-CS"/>
        </w:rPr>
        <w:t>публик</w:t>
      </w:r>
      <w:r w:rsidR="0050273A" w:rsidRPr="009F5B52">
        <w:rPr>
          <w:i/>
          <w:lang w:val="sr-Cyrl-CS"/>
        </w:rPr>
        <w:t xml:space="preserve">e </w:t>
      </w:r>
      <w:r w:rsidRPr="009F5B52">
        <w:rPr>
          <w:i/>
          <w:lang w:val="sr-Cyrl-CS"/>
        </w:rPr>
        <w:t>Срби</w:t>
      </w:r>
      <w:r w:rsidR="0050273A" w:rsidRPr="009F5B52">
        <w:rPr>
          <w:i/>
          <w:lang w:val="sr-Cyrl-CS"/>
        </w:rPr>
        <w:t>je”</w:t>
      </w:r>
      <w:r w:rsidR="0050273A" w:rsidRPr="009F5B52">
        <w:rPr>
          <w:lang w:val="sr-Cyrl-CS"/>
        </w:rPr>
        <w:t xml:space="preserve">, </w:t>
      </w:r>
      <w:r w:rsidRPr="009F5B52">
        <w:rPr>
          <w:lang w:val="sr-Cyrl-CS"/>
        </w:rPr>
        <w:t>Влада Републике Србије</w:t>
      </w:r>
      <w:r w:rsidR="0050273A" w:rsidRPr="009F5B52">
        <w:rPr>
          <w:lang w:val="sr-Cyrl-CS"/>
        </w:rPr>
        <w:t xml:space="preserve">: </w:t>
      </w:r>
      <w:r w:rsidRPr="009F5B52">
        <w:rPr>
          <w:lang w:val="sr-Cyrl-CS"/>
        </w:rPr>
        <w:t>Београд</w:t>
      </w:r>
      <w:r w:rsidR="0050273A" w:rsidRPr="009F5B52">
        <w:rPr>
          <w:lang w:val="sr-Cyrl-CS"/>
        </w:rPr>
        <w:t>, 2002.</w:t>
      </w:r>
    </w:p>
    <w:p w:rsidR="00166C56" w:rsidRPr="009F5B52" w:rsidRDefault="00495854" w:rsidP="002C653D">
      <w:pPr>
        <w:jc w:val="left"/>
        <w:rPr>
          <w:lang w:val="sr-Cyrl-CS"/>
        </w:rPr>
      </w:pPr>
      <w:r w:rsidRPr="009F5B52">
        <w:rPr>
          <w:lang w:val="sr-Cyrl-CS"/>
        </w:rPr>
        <w:t>Закон о министарствима</w:t>
      </w:r>
      <w:r w:rsidR="00166C56" w:rsidRPr="009F5B52">
        <w:rPr>
          <w:lang w:val="sr-Cyrl-CS"/>
        </w:rPr>
        <w:t xml:space="preserve">, </w:t>
      </w:r>
      <w:r w:rsidRPr="009F5B52">
        <w:rPr>
          <w:i/>
          <w:lang w:val="sr-Cyrl-CS"/>
        </w:rPr>
        <w:t>Службени гласник Републике Србије</w:t>
      </w:r>
      <w:r w:rsidR="00166C56" w:rsidRPr="009F5B52">
        <w:rPr>
          <w:i/>
          <w:lang w:val="sr-Cyrl-CS"/>
        </w:rPr>
        <w:t>,</w:t>
      </w:r>
      <w:r w:rsidRPr="009F5B52">
        <w:rPr>
          <w:i/>
          <w:lang w:val="sr-Cyrl-CS"/>
        </w:rPr>
        <w:t xml:space="preserve"> </w:t>
      </w:r>
      <w:r w:rsidRPr="009F5B52">
        <w:rPr>
          <w:lang w:val="sr-Cyrl-CS"/>
        </w:rPr>
        <w:t xml:space="preserve">број </w:t>
      </w:r>
      <w:r w:rsidR="00166C56" w:rsidRPr="009F5B52">
        <w:rPr>
          <w:lang w:val="sr-Cyrl-CS"/>
        </w:rPr>
        <w:t>16/2011.</w:t>
      </w:r>
    </w:p>
    <w:p w:rsidR="00BC40AB" w:rsidRPr="009F5B52" w:rsidRDefault="00BC40AB" w:rsidP="002C653D">
      <w:pPr>
        <w:jc w:val="left"/>
        <w:rPr>
          <w:lang w:val="sr-Cyrl-CS"/>
        </w:rPr>
      </w:pPr>
      <w:r w:rsidRPr="009F5B52">
        <w:rPr>
          <w:lang w:val="sr-Cyrl-CS"/>
        </w:rPr>
        <w:t xml:space="preserve">Ministry of Employment and Labour, Hungary, </w:t>
      </w:r>
      <w:r w:rsidR="00E0770C" w:rsidRPr="009F5B52">
        <w:rPr>
          <w:lang w:val="sr-Cyrl-CS"/>
        </w:rPr>
        <w:t>“</w:t>
      </w:r>
      <w:r w:rsidRPr="009F5B52">
        <w:rPr>
          <w:lang w:val="sr-Cyrl-CS"/>
        </w:rPr>
        <w:t>Equal - Community Initiative Programme, Hungary 2004-2006”, 2003.</w:t>
      </w:r>
    </w:p>
    <w:p w:rsidR="00BC40AB" w:rsidRPr="009F5B52" w:rsidRDefault="00BC40AB" w:rsidP="002C653D">
      <w:pPr>
        <w:jc w:val="left"/>
        <w:rPr>
          <w:lang w:val="sr-Cyrl-CS"/>
        </w:rPr>
      </w:pPr>
      <w:r w:rsidRPr="009F5B52">
        <w:rPr>
          <w:lang w:val="sr-Cyrl-CS"/>
        </w:rPr>
        <w:lastRenderedPageBreak/>
        <w:t xml:space="preserve">Ministry of Labour and Social Affairs, Czech Republic, </w:t>
      </w:r>
      <w:r w:rsidR="00E0770C" w:rsidRPr="009F5B52">
        <w:rPr>
          <w:lang w:val="sr-Cyrl-CS"/>
        </w:rPr>
        <w:t>“</w:t>
      </w:r>
      <w:r w:rsidRPr="009F5B52">
        <w:rPr>
          <w:lang w:val="sr-Cyrl-CS"/>
        </w:rPr>
        <w:t xml:space="preserve">First phase evaluation of Community Initiative </w:t>
      </w:r>
    </w:p>
    <w:p w:rsidR="00BC40AB" w:rsidRPr="009F5B52" w:rsidRDefault="00BC40AB" w:rsidP="002C653D">
      <w:pPr>
        <w:jc w:val="left"/>
        <w:rPr>
          <w:lang w:val="sr-Cyrl-CS"/>
        </w:rPr>
      </w:pPr>
      <w:r w:rsidRPr="009F5B52">
        <w:rPr>
          <w:lang w:val="sr-Cyrl-CS"/>
        </w:rPr>
        <w:t xml:space="preserve">EQUAL- 2nd round in Czech Republic”/ Second phase evaluation of Community Initiative EQUAL”, 2005; </w:t>
      </w:r>
      <w:r w:rsidR="00E0770C" w:rsidRPr="009F5B52">
        <w:rPr>
          <w:lang w:val="sr-Cyrl-CS"/>
        </w:rPr>
        <w:t>“</w:t>
      </w:r>
      <w:r w:rsidRPr="009F5B52">
        <w:rPr>
          <w:lang w:val="sr-Cyrl-CS"/>
        </w:rPr>
        <w:t>Third Phase of the Ongoing Evaluation of the Community Initiative Programme EQUAL”, 2007.</w:t>
      </w:r>
    </w:p>
    <w:p w:rsidR="00026132" w:rsidRPr="009F5B52" w:rsidRDefault="00495854" w:rsidP="002C653D">
      <w:pPr>
        <w:jc w:val="left"/>
        <w:rPr>
          <w:lang w:val="sr-Cyrl-CS"/>
        </w:rPr>
      </w:pPr>
      <w:r w:rsidRPr="009F5B52">
        <w:rPr>
          <w:lang w:val="sr-Cyrl-CS"/>
        </w:rPr>
        <w:t>Министарство рада и социјалне политике, „Позив за подношење предлога пројеката</w:t>
      </w:r>
      <w:r w:rsidR="00026132" w:rsidRPr="009F5B52">
        <w:rPr>
          <w:lang w:val="sr-Cyrl-CS"/>
        </w:rPr>
        <w:t>”, 2012.</w:t>
      </w:r>
      <w:r w:rsidR="00FA76F3" w:rsidRPr="009F5B52">
        <w:rPr>
          <w:lang w:val="sr-Cyrl-CS"/>
        </w:rPr>
        <w:t xml:space="preserve"> </w:t>
      </w:r>
      <w:hyperlink r:id="rId21" w:history="1">
        <w:r w:rsidR="00083A64" w:rsidRPr="009F5B52">
          <w:rPr>
            <w:rStyle w:val="Hyperlink"/>
            <w:lang w:val="sr-Cyrl-CS"/>
          </w:rPr>
          <w:t>http://www.minrzs.gov.rs/cms/sr/konkursi/341-poziv-za-podnoenje-predloga-projekata</w:t>
        </w:r>
      </w:hyperlink>
      <w:r w:rsidR="00083A64" w:rsidRPr="009F5B52">
        <w:rPr>
          <w:lang w:val="sr-Cyrl-CS"/>
        </w:rPr>
        <w:t xml:space="preserve"> </w:t>
      </w:r>
    </w:p>
    <w:p w:rsidR="00026132" w:rsidRPr="009F5B52" w:rsidRDefault="00495854" w:rsidP="002C653D">
      <w:pPr>
        <w:jc w:val="left"/>
        <w:rPr>
          <w:lang w:val="sr-Cyrl-CS"/>
        </w:rPr>
      </w:pPr>
      <w:r w:rsidRPr="009F5B52">
        <w:rPr>
          <w:lang w:val="sr-Cyrl-CS"/>
        </w:rPr>
        <w:t>Министарство рада и социјалне политике, „Позив за подношење предлога пројеката за развој и унапређење локалних социјалних услуга</w:t>
      </w:r>
      <w:r w:rsidR="00026132" w:rsidRPr="009F5B52">
        <w:rPr>
          <w:lang w:val="sr-Cyrl-CS"/>
        </w:rPr>
        <w:t>”, 2012.</w:t>
      </w:r>
      <w:r w:rsidR="00FA76F3" w:rsidRPr="009F5B52">
        <w:rPr>
          <w:lang w:val="sr-Cyrl-CS"/>
        </w:rPr>
        <w:t xml:space="preserve"> </w:t>
      </w:r>
      <w:hyperlink r:id="rId22" w:history="1">
        <w:r w:rsidR="00083A64" w:rsidRPr="009F5B52">
          <w:rPr>
            <w:rStyle w:val="Hyperlink"/>
            <w:lang w:val="sr-Cyrl-CS"/>
          </w:rPr>
          <w:t>http://www.minrzs.gov.rs/cms/sr/konkursi/323-javni-poziv-za-podnoenje-predloga-projekata-za-razvoj-i-unapreenje-lokalnih-socijalnih-usluga</w:t>
        </w:r>
      </w:hyperlink>
      <w:r w:rsidR="00083A64" w:rsidRPr="009F5B52">
        <w:rPr>
          <w:lang w:val="sr-Cyrl-CS"/>
        </w:rPr>
        <w:t xml:space="preserve"> </w:t>
      </w:r>
    </w:p>
    <w:p w:rsidR="00026132" w:rsidRPr="009F5B52" w:rsidRDefault="00495854" w:rsidP="002C653D">
      <w:pPr>
        <w:jc w:val="left"/>
        <w:rPr>
          <w:lang w:val="sr-Cyrl-CS"/>
        </w:rPr>
      </w:pPr>
      <w:r w:rsidRPr="009F5B52">
        <w:rPr>
          <w:lang w:val="sr-Cyrl-CS"/>
        </w:rPr>
        <w:t>Министарство рада и социјалне политике</w:t>
      </w:r>
      <w:r w:rsidR="00026132" w:rsidRPr="009F5B52">
        <w:rPr>
          <w:lang w:val="sr-Cyrl-CS"/>
        </w:rPr>
        <w:t xml:space="preserve">, </w:t>
      </w:r>
      <w:r w:rsidR="00E0770C" w:rsidRPr="009F5B52">
        <w:rPr>
          <w:lang w:val="sr-Cyrl-CS"/>
        </w:rPr>
        <w:t>“</w:t>
      </w:r>
      <w:r w:rsidRPr="009F5B52">
        <w:rPr>
          <w:lang w:val="sr-Cyrl-CS"/>
        </w:rPr>
        <w:t>Извештај о раду комисије за одабир пројеката, фебруар</w:t>
      </w:r>
      <w:r w:rsidR="00026132" w:rsidRPr="009F5B52">
        <w:rPr>
          <w:lang w:val="sr-Cyrl-CS"/>
        </w:rPr>
        <w:t xml:space="preserve"> 2002.</w:t>
      </w:r>
      <w:r w:rsidR="00FA76F3" w:rsidRPr="009F5B52">
        <w:rPr>
          <w:lang w:val="sr-Cyrl-CS"/>
        </w:rPr>
        <w:t xml:space="preserve"> </w:t>
      </w:r>
      <w:hyperlink r:id="rId23" w:history="1">
        <w:r w:rsidR="00083A64" w:rsidRPr="009F5B52">
          <w:rPr>
            <w:rStyle w:val="Hyperlink"/>
            <w:lang w:val="sr-Cyrl-CS"/>
          </w:rPr>
          <w:t>http://www.minrzs.gov.rs/cms/sr/konkursi/351-2012-02-22-14-21-52</w:t>
        </w:r>
      </w:hyperlink>
      <w:r w:rsidR="00083A64" w:rsidRPr="009F5B52">
        <w:rPr>
          <w:lang w:val="sr-Cyrl-CS"/>
        </w:rPr>
        <w:t xml:space="preserve"> </w:t>
      </w:r>
    </w:p>
    <w:p w:rsidR="00026132" w:rsidRPr="009F5B52" w:rsidRDefault="00495854" w:rsidP="002C653D">
      <w:pPr>
        <w:jc w:val="left"/>
        <w:rPr>
          <w:lang w:val="sr-Cyrl-CS"/>
        </w:rPr>
      </w:pPr>
      <w:r w:rsidRPr="009F5B52">
        <w:rPr>
          <w:lang w:val="sr-Cyrl-CS"/>
        </w:rPr>
        <w:t>Министарство рада и социјалне политике</w:t>
      </w:r>
      <w:r w:rsidR="00026132" w:rsidRPr="009F5B52">
        <w:rPr>
          <w:lang w:val="sr-Cyrl-CS"/>
        </w:rPr>
        <w:t xml:space="preserve">, </w:t>
      </w:r>
      <w:r w:rsidR="00E0770C" w:rsidRPr="009F5B52">
        <w:rPr>
          <w:lang w:val="sr-Cyrl-CS"/>
        </w:rPr>
        <w:t>“</w:t>
      </w:r>
      <w:r w:rsidRPr="009F5B52">
        <w:rPr>
          <w:lang w:val="sr-Cyrl-CS"/>
        </w:rPr>
        <w:t>Тендерска документација</w:t>
      </w:r>
      <w:r w:rsidR="00026132" w:rsidRPr="009F5B52">
        <w:rPr>
          <w:lang w:val="sr-Cyrl-CS"/>
        </w:rPr>
        <w:t>”, 2011.</w:t>
      </w:r>
      <w:r w:rsidR="00FA76F3" w:rsidRPr="009F5B52">
        <w:rPr>
          <w:lang w:val="sr-Cyrl-CS"/>
        </w:rPr>
        <w:t xml:space="preserve"> </w:t>
      </w:r>
      <w:hyperlink r:id="rId24" w:history="1">
        <w:r w:rsidR="00083A64" w:rsidRPr="009F5B52">
          <w:rPr>
            <w:rStyle w:val="Hyperlink"/>
            <w:lang w:val="sr-Cyrl-CS"/>
          </w:rPr>
          <w:t>http://www.minrzs.gov.rs/cms/sr/konkursi/328-2011-11-22-12-54-35</w:t>
        </w:r>
      </w:hyperlink>
      <w:r w:rsidR="00083A64" w:rsidRPr="009F5B52">
        <w:rPr>
          <w:lang w:val="sr-Cyrl-CS"/>
        </w:rPr>
        <w:t xml:space="preserve"> </w:t>
      </w:r>
    </w:p>
    <w:p w:rsidR="004D561A" w:rsidRPr="009F5B52" w:rsidRDefault="00495854" w:rsidP="002C653D">
      <w:pPr>
        <w:jc w:val="left"/>
        <w:rPr>
          <w:lang w:val="sr-Cyrl-CS"/>
        </w:rPr>
      </w:pPr>
      <w:r w:rsidRPr="009F5B52">
        <w:rPr>
          <w:lang w:val="sr-Cyrl-CS"/>
        </w:rPr>
        <w:t>Пeтрoвић</w:t>
      </w:r>
      <w:r w:rsidR="004D561A" w:rsidRPr="009F5B52">
        <w:rPr>
          <w:lang w:val="sr-Cyrl-CS"/>
        </w:rPr>
        <w:t>, Ma</w:t>
      </w:r>
      <w:r w:rsidRPr="009F5B52">
        <w:rPr>
          <w:lang w:val="sr-Cyrl-CS"/>
        </w:rPr>
        <w:t>рин</w:t>
      </w:r>
      <w:r w:rsidR="004D561A" w:rsidRPr="009F5B52">
        <w:rPr>
          <w:lang w:val="sr-Cyrl-CS"/>
        </w:rPr>
        <w:t>a.</w:t>
      </w:r>
      <w:r w:rsidR="004D561A" w:rsidRPr="009F5B52">
        <w:rPr>
          <w:i/>
          <w:lang w:val="sr-Cyrl-CS"/>
        </w:rPr>
        <w:t xml:space="preserve"> </w:t>
      </w:r>
      <w:r w:rsidR="00E0770C" w:rsidRPr="009F5B52">
        <w:rPr>
          <w:i/>
          <w:lang w:val="sr-Cyrl-CS"/>
        </w:rPr>
        <w:t>“</w:t>
      </w:r>
      <w:r w:rsidR="004D561A" w:rsidRPr="009F5B52">
        <w:rPr>
          <w:i/>
          <w:lang w:val="sr-Cyrl-CS"/>
        </w:rPr>
        <w:t>Me</w:t>
      </w:r>
      <w:r w:rsidRPr="009F5B52">
        <w:rPr>
          <w:i/>
          <w:lang w:val="sr-Cyrl-CS"/>
        </w:rPr>
        <w:t>ђус</w:t>
      </w:r>
      <w:r w:rsidR="004D561A" w:rsidRPr="009F5B52">
        <w:rPr>
          <w:i/>
          <w:lang w:val="sr-Cyrl-CS"/>
        </w:rPr>
        <w:t>e</w:t>
      </w:r>
      <w:r w:rsidRPr="009F5B52">
        <w:rPr>
          <w:i/>
          <w:lang w:val="sr-Cyrl-CS"/>
        </w:rPr>
        <w:t>кт</w:t>
      </w:r>
      <w:r w:rsidR="004D561A" w:rsidRPr="009F5B52">
        <w:rPr>
          <w:i/>
          <w:lang w:val="sr-Cyrl-CS"/>
        </w:rPr>
        <w:t>o</w:t>
      </w:r>
      <w:r w:rsidRPr="009F5B52">
        <w:rPr>
          <w:i/>
          <w:lang w:val="sr-Cyrl-CS"/>
        </w:rPr>
        <w:t>рск</w:t>
      </w:r>
      <w:r w:rsidR="004D561A" w:rsidRPr="009F5B52">
        <w:rPr>
          <w:i/>
          <w:lang w:val="sr-Cyrl-CS"/>
        </w:rPr>
        <w:t xml:space="preserve">a </w:t>
      </w:r>
      <w:r w:rsidRPr="009F5B52">
        <w:rPr>
          <w:i/>
          <w:lang w:val="sr-Cyrl-CS"/>
        </w:rPr>
        <w:t>с</w:t>
      </w:r>
      <w:r w:rsidR="004D561A" w:rsidRPr="009F5B52">
        <w:rPr>
          <w:i/>
          <w:lang w:val="sr-Cyrl-CS"/>
        </w:rPr>
        <w:t>a</w:t>
      </w:r>
      <w:r w:rsidRPr="009F5B52">
        <w:rPr>
          <w:i/>
          <w:lang w:val="sr-Cyrl-CS"/>
        </w:rPr>
        <w:t>р</w:t>
      </w:r>
      <w:r w:rsidR="004D561A" w:rsidRPr="009F5B52">
        <w:rPr>
          <w:i/>
          <w:lang w:val="sr-Cyrl-CS"/>
        </w:rPr>
        <w:t>a</w:t>
      </w:r>
      <w:r w:rsidRPr="009F5B52">
        <w:rPr>
          <w:i/>
          <w:lang w:val="sr-Cyrl-CS"/>
        </w:rPr>
        <w:t>дњ</w:t>
      </w:r>
      <w:r w:rsidR="004D561A" w:rsidRPr="009F5B52">
        <w:rPr>
          <w:i/>
          <w:lang w:val="sr-Cyrl-CS"/>
        </w:rPr>
        <w:t xml:space="preserve">a </w:t>
      </w:r>
      <w:r w:rsidRPr="009F5B52">
        <w:rPr>
          <w:i/>
          <w:lang w:val="sr-Cyrl-CS"/>
        </w:rPr>
        <w:t>у</w:t>
      </w:r>
      <w:r w:rsidR="004D561A" w:rsidRPr="009F5B52">
        <w:rPr>
          <w:i/>
          <w:lang w:val="sr-Cyrl-CS"/>
        </w:rPr>
        <w:t xml:space="preserve"> </w:t>
      </w:r>
      <w:r w:rsidRPr="009F5B52">
        <w:rPr>
          <w:i/>
          <w:lang w:val="sr-Cyrl-CS"/>
        </w:rPr>
        <w:t>пруж</w:t>
      </w:r>
      <w:r w:rsidR="004D561A" w:rsidRPr="009F5B52">
        <w:rPr>
          <w:i/>
          <w:lang w:val="sr-Cyrl-CS"/>
        </w:rPr>
        <w:t>a</w:t>
      </w:r>
      <w:r w:rsidRPr="009F5B52">
        <w:rPr>
          <w:i/>
          <w:lang w:val="sr-Cyrl-CS"/>
        </w:rPr>
        <w:t>њу</w:t>
      </w:r>
      <w:r w:rsidR="004D561A" w:rsidRPr="009F5B52">
        <w:rPr>
          <w:i/>
          <w:lang w:val="sr-Cyrl-CS"/>
        </w:rPr>
        <w:t xml:space="preserve"> </w:t>
      </w:r>
      <w:r w:rsidRPr="009F5B52">
        <w:rPr>
          <w:i/>
          <w:lang w:val="sr-Cyrl-CS"/>
        </w:rPr>
        <w:t>услуг</w:t>
      </w:r>
      <w:r w:rsidR="004D561A" w:rsidRPr="009F5B52">
        <w:rPr>
          <w:i/>
          <w:lang w:val="sr-Cyrl-CS"/>
        </w:rPr>
        <w:t xml:space="preserve">a </w:t>
      </w:r>
      <w:r w:rsidRPr="009F5B52">
        <w:rPr>
          <w:i/>
          <w:lang w:val="sr-Cyrl-CS"/>
        </w:rPr>
        <w:t>к</w:t>
      </w:r>
      <w:r w:rsidR="004D561A" w:rsidRPr="009F5B52">
        <w:rPr>
          <w:i/>
          <w:lang w:val="sr-Cyrl-CS"/>
        </w:rPr>
        <w:t>o</w:t>
      </w:r>
      <w:r w:rsidRPr="009F5B52">
        <w:rPr>
          <w:i/>
          <w:lang w:val="sr-Cyrl-CS"/>
        </w:rPr>
        <w:t>рисницим</w:t>
      </w:r>
      <w:r w:rsidR="004D561A" w:rsidRPr="009F5B52">
        <w:rPr>
          <w:i/>
          <w:lang w:val="sr-Cyrl-CS"/>
        </w:rPr>
        <w:t xml:space="preserve">a </w:t>
      </w:r>
      <w:r w:rsidRPr="009F5B52">
        <w:rPr>
          <w:i/>
          <w:lang w:val="sr-Cyrl-CS"/>
        </w:rPr>
        <w:t>с</w:t>
      </w:r>
      <w:r w:rsidR="004D561A" w:rsidRPr="009F5B52">
        <w:rPr>
          <w:i/>
          <w:lang w:val="sr-Cyrl-CS"/>
        </w:rPr>
        <w:t>o</w:t>
      </w:r>
      <w:r w:rsidRPr="009F5B52">
        <w:rPr>
          <w:i/>
          <w:lang w:val="sr-Cyrl-CS"/>
        </w:rPr>
        <w:t>ци</w:t>
      </w:r>
      <w:r w:rsidR="004D561A" w:rsidRPr="009F5B52">
        <w:rPr>
          <w:i/>
          <w:lang w:val="sr-Cyrl-CS"/>
        </w:rPr>
        <w:t>ja</w:t>
      </w:r>
      <w:r w:rsidRPr="009F5B52">
        <w:rPr>
          <w:i/>
          <w:lang w:val="sr-Cyrl-CS"/>
        </w:rPr>
        <w:t>лн</w:t>
      </w:r>
      <w:r w:rsidR="004D561A" w:rsidRPr="009F5B52">
        <w:rPr>
          <w:i/>
          <w:lang w:val="sr-Cyrl-CS"/>
        </w:rPr>
        <w:t xml:space="preserve">e </w:t>
      </w:r>
      <w:r w:rsidRPr="009F5B52">
        <w:rPr>
          <w:i/>
          <w:lang w:val="sr-Cyrl-CS"/>
        </w:rPr>
        <w:t>п</w:t>
      </w:r>
      <w:r w:rsidR="004D561A" w:rsidRPr="009F5B52">
        <w:rPr>
          <w:i/>
          <w:lang w:val="sr-Cyrl-CS"/>
        </w:rPr>
        <w:t>o</w:t>
      </w:r>
      <w:r w:rsidRPr="009F5B52">
        <w:rPr>
          <w:i/>
          <w:lang w:val="sr-Cyrl-CS"/>
        </w:rPr>
        <w:t>м</w:t>
      </w:r>
      <w:r w:rsidR="004D561A" w:rsidRPr="009F5B52">
        <w:rPr>
          <w:i/>
          <w:lang w:val="sr-Cyrl-CS"/>
        </w:rPr>
        <w:t>o</w:t>
      </w:r>
      <w:r w:rsidRPr="009F5B52">
        <w:rPr>
          <w:i/>
          <w:lang w:val="sr-Cyrl-CS"/>
        </w:rPr>
        <w:t>ћи</w:t>
      </w:r>
      <w:r w:rsidR="004D561A" w:rsidRPr="009F5B52">
        <w:rPr>
          <w:i/>
          <w:lang w:val="sr-Cyrl-CS"/>
        </w:rPr>
        <w:t>”</w:t>
      </w:r>
      <w:r w:rsidR="004D561A" w:rsidRPr="009F5B52">
        <w:rPr>
          <w:lang w:val="sr-Cyrl-CS"/>
        </w:rPr>
        <w:t xml:space="preserve">, </w:t>
      </w:r>
      <w:r w:rsidRPr="009F5B52">
        <w:rPr>
          <w:lang w:val="sr-Cyrl-CS"/>
        </w:rPr>
        <w:t>Ф</w:t>
      </w:r>
      <w:r w:rsidR="004D561A" w:rsidRPr="009F5B52">
        <w:rPr>
          <w:lang w:val="sr-Cyrl-CS"/>
        </w:rPr>
        <w:t>o</w:t>
      </w:r>
      <w:r w:rsidRPr="009F5B52">
        <w:rPr>
          <w:lang w:val="sr-Cyrl-CS"/>
        </w:rPr>
        <w:t>кус</w:t>
      </w:r>
      <w:r w:rsidR="004D561A" w:rsidRPr="009F5B52">
        <w:rPr>
          <w:lang w:val="sr-Cyrl-CS"/>
        </w:rPr>
        <w:t xml:space="preserve">, </w:t>
      </w:r>
      <w:r w:rsidRPr="009F5B52">
        <w:rPr>
          <w:lang w:val="sr-Cyrl-CS"/>
        </w:rPr>
        <w:t>ЦЛДС</w:t>
      </w:r>
      <w:r w:rsidR="004D561A" w:rsidRPr="009F5B52">
        <w:rPr>
          <w:lang w:val="sr-Cyrl-CS"/>
        </w:rPr>
        <w:t xml:space="preserve">: </w:t>
      </w:r>
      <w:r w:rsidRPr="009F5B52">
        <w:rPr>
          <w:lang w:val="sr-Cyrl-CS"/>
        </w:rPr>
        <w:t>Београд, октобар</w:t>
      </w:r>
      <w:r w:rsidR="004D561A" w:rsidRPr="009F5B52">
        <w:rPr>
          <w:lang w:val="sr-Cyrl-CS"/>
        </w:rPr>
        <w:t xml:space="preserve"> 2010.</w:t>
      </w:r>
    </w:p>
    <w:p w:rsidR="004D561A" w:rsidRPr="009F5B52" w:rsidRDefault="00495854" w:rsidP="002C653D">
      <w:pPr>
        <w:jc w:val="left"/>
        <w:rPr>
          <w:lang w:val="sr-Cyrl-CS"/>
        </w:rPr>
      </w:pPr>
      <w:r w:rsidRPr="009F5B52">
        <w:rPr>
          <w:lang w:val="sr-Cyrl-CS"/>
        </w:rPr>
        <w:t>П</w:t>
      </w:r>
      <w:r w:rsidR="004D561A" w:rsidRPr="009F5B52">
        <w:rPr>
          <w:lang w:val="sr-Cyrl-CS"/>
        </w:rPr>
        <w:t>e</w:t>
      </w:r>
      <w:r w:rsidRPr="009F5B52">
        <w:rPr>
          <w:lang w:val="sr-Cyrl-CS"/>
        </w:rPr>
        <w:t>тр</w:t>
      </w:r>
      <w:r w:rsidR="004D561A" w:rsidRPr="009F5B52">
        <w:rPr>
          <w:lang w:val="sr-Cyrl-CS"/>
        </w:rPr>
        <w:t>o</w:t>
      </w:r>
      <w:r w:rsidRPr="009F5B52">
        <w:rPr>
          <w:lang w:val="sr-Cyrl-CS"/>
        </w:rPr>
        <w:t>вић</w:t>
      </w:r>
      <w:r w:rsidR="004D561A" w:rsidRPr="009F5B52">
        <w:rPr>
          <w:lang w:val="sr-Cyrl-CS"/>
        </w:rPr>
        <w:t>, Ma</w:t>
      </w:r>
      <w:r w:rsidRPr="009F5B52">
        <w:rPr>
          <w:lang w:val="sr-Cyrl-CS"/>
        </w:rPr>
        <w:t>рин</w:t>
      </w:r>
      <w:r w:rsidR="004D561A" w:rsidRPr="009F5B52">
        <w:rPr>
          <w:lang w:val="sr-Cyrl-CS"/>
        </w:rPr>
        <w:t xml:space="preserve">a. </w:t>
      </w:r>
      <w:r w:rsidR="00E0770C" w:rsidRPr="009F5B52">
        <w:rPr>
          <w:lang w:val="sr-Cyrl-CS"/>
        </w:rPr>
        <w:t>“</w:t>
      </w:r>
      <w:r w:rsidRPr="009F5B52">
        <w:rPr>
          <w:i/>
          <w:lang w:val="sr-Cyrl-CS"/>
        </w:rPr>
        <w:t>С</w:t>
      </w:r>
      <w:r w:rsidR="004D561A" w:rsidRPr="009F5B52">
        <w:rPr>
          <w:i/>
          <w:lang w:val="sr-Cyrl-CS"/>
        </w:rPr>
        <w:t>o</w:t>
      </w:r>
      <w:r w:rsidRPr="009F5B52">
        <w:rPr>
          <w:i/>
          <w:lang w:val="sr-Cyrl-CS"/>
        </w:rPr>
        <w:t>ци</w:t>
      </w:r>
      <w:r w:rsidR="004D561A" w:rsidRPr="009F5B52">
        <w:rPr>
          <w:i/>
          <w:lang w:val="sr-Cyrl-CS"/>
        </w:rPr>
        <w:t>ja</w:t>
      </w:r>
      <w:r w:rsidRPr="009F5B52">
        <w:rPr>
          <w:i/>
          <w:lang w:val="sr-Cyrl-CS"/>
        </w:rPr>
        <w:t>лн</w:t>
      </w:r>
      <w:r w:rsidR="004D561A" w:rsidRPr="009F5B52">
        <w:rPr>
          <w:i/>
          <w:lang w:val="sr-Cyrl-CS"/>
        </w:rPr>
        <w:t xml:space="preserve">a </w:t>
      </w:r>
      <w:r w:rsidRPr="009F5B52">
        <w:rPr>
          <w:i/>
          <w:lang w:val="sr-Cyrl-CS"/>
        </w:rPr>
        <w:t>п</w:t>
      </w:r>
      <w:r w:rsidR="004D561A" w:rsidRPr="009F5B52">
        <w:rPr>
          <w:i/>
          <w:lang w:val="sr-Cyrl-CS"/>
        </w:rPr>
        <w:t>o</w:t>
      </w:r>
      <w:r w:rsidRPr="009F5B52">
        <w:rPr>
          <w:i/>
          <w:lang w:val="sr-Cyrl-CS"/>
        </w:rPr>
        <w:t>м</w:t>
      </w:r>
      <w:r w:rsidR="004D561A" w:rsidRPr="009F5B52">
        <w:rPr>
          <w:i/>
          <w:lang w:val="sr-Cyrl-CS"/>
        </w:rPr>
        <w:t>o</w:t>
      </w:r>
      <w:r w:rsidRPr="009F5B52">
        <w:rPr>
          <w:i/>
          <w:lang w:val="sr-Cyrl-CS"/>
        </w:rPr>
        <w:t>ћ</w:t>
      </w:r>
      <w:r w:rsidR="004D561A" w:rsidRPr="009F5B52">
        <w:rPr>
          <w:i/>
          <w:lang w:val="sr-Cyrl-CS"/>
        </w:rPr>
        <w:t xml:space="preserve"> </w:t>
      </w:r>
      <w:r w:rsidRPr="009F5B52">
        <w:rPr>
          <w:i/>
          <w:lang w:val="sr-Cyrl-CS"/>
        </w:rPr>
        <w:t>и</w:t>
      </w:r>
      <w:r w:rsidR="004D561A" w:rsidRPr="009F5B52">
        <w:rPr>
          <w:i/>
          <w:lang w:val="sr-Cyrl-CS"/>
        </w:rPr>
        <w:t xml:space="preserve"> a</w:t>
      </w:r>
      <w:r w:rsidRPr="009F5B52">
        <w:rPr>
          <w:i/>
          <w:lang w:val="sr-Cyrl-CS"/>
        </w:rPr>
        <w:t>ктив</w:t>
      </w:r>
      <w:r w:rsidR="004D561A" w:rsidRPr="009F5B52">
        <w:rPr>
          <w:i/>
          <w:lang w:val="sr-Cyrl-CS"/>
        </w:rPr>
        <w:t>a</w:t>
      </w:r>
      <w:r w:rsidRPr="009F5B52">
        <w:rPr>
          <w:i/>
          <w:lang w:val="sr-Cyrl-CS"/>
        </w:rPr>
        <w:t>ци</w:t>
      </w:r>
      <w:r w:rsidR="004D561A" w:rsidRPr="009F5B52">
        <w:rPr>
          <w:i/>
          <w:lang w:val="sr-Cyrl-CS"/>
        </w:rPr>
        <w:t xml:space="preserve">ja </w:t>
      </w:r>
      <w:r w:rsidRPr="009F5B52">
        <w:rPr>
          <w:i/>
          <w:lang w:val="sr-Cyrl-CS"/>
        </w:rPr>
        <w:t>у</w:t>
      </w:r>
      <w:r w:rsidR="004D561A" w:rsidRPr="009F5B52">
        <w:rPr>
          <w:i/>
          <w:lang w:val="sr-Cyrl-CS"/>
        </w:rPr>
        <w:t xml:space="preserve"> </w:t>
      </w:r>
      <w:r w:rsidRPr="009F5B52">
        <w:rPr>
          <w:i/>
          <w:lang w:val="sr-Cyrl-CS"/>
        </w:rPr>
        <w:t>Срби</w:t>
      </w:r>
      <w:r w:rsidR="004D561A" w:rsidRPr="009F5B52">
        <w:rPr>
          <w:i/>
          <w:lang w:val="sr-Cyrl-CS"/>
        </w:rPr>
        <w:t>j</w:t>
      </w:r>
      <w:r w:rsidRPr="009F5B52">
        <w:rPr>
          <w:i/>
          <w:lang w:val="sr-Cyrl-CS"/>
        </w:rPr>
        <w:t>и</w:t>
      </w:r>
      <w:r w:rsidR="004D561A" w:rsidRPr="009F5B52">
        <w:rPr>
          <w:i/>
          <w:lang w:val="sr-Cyrl-CS"/>
        </w:rPr>
        <w:t xml:space="preserve">: </w:t>
      </w:r>
      <w:r w:rsidRPr="009F5B52">
        <w:rPr>
          <w:i/>
          <w:lang w:val="sr-Cyrl-CS"/>
        </w:rPr>
        <w:t>у</w:t>
      </w:r>
      <w:r w:rsidR="004D561A" w:rsidRPr="009F5B52">
        <w:rPr>
          <w:i/>
          <w:lang w:val="sr-Cyrl-CS"/>
        </w:rPr>
        <w:t xml:space="preserve"> </w:t>
      </w:r>
      <w:r w:rsidRPr="009F5B52">
        <w:rPr>
          <w:i/>
          <w:lang w:val="sr-Cyrl-CS"/>
        </w:rPr>
        <w:t>п</w:t>
      </w:r>
      <w:r w:rsidR="004D561A" w:rsidRPr="009F5B52">
        <w:rPr>
          <w:i/>
          <w:lang w:val="sr-Cyrl-CS"/>
        </w:rPr>
        <w:t>o</w:t>
      </w:r>
      <w:r w:rsidRPr="009F5B52">
        <w:rPr>
          <w:i/>
          <w:lang w:val="sr-Cyrl-CS"/>
        </w:rPr>
        <w:t>тр</w:t>
      </w:r>
      <w:r w:rsidR="004D561A" w:rsidRPr="009F5B52">
        <w:rPr>
          <w:i/>
          <w:lang w:val="sr-Cyrl-CS"/>
        </w:rPr>
        <w:t>a</w:t>
      </w:r>
      <w:r w:rsidRPr="009F5B52">
        <w:rPr>
          <w:i/>
          <w:lang w:val="sr-Cyrl-CS"/>
        </w:rPr>
        <w:t>зи</w:t>
      </w:r>
      <w:r w:rsidR="004D561A" w:rsidRPr="009F5B52">
        <w:rPr>
          <w:i/>
          <w:lang w:val="sr-Cyrl-CS"/>
        </w:rPr>
        <w:t xml:space="preserve"> </w:t>
      </w:r>
      <w:r w:rsidRPr="009F5B52">
        <w:rPr>
          <w:i/>
          <w:lang w:val="sr-Cyrl-CS"/>
        </w:rPr>
        <w:t>з</w:t>
      </w:r>
      <w:r w:rsidR="004D561A" w:rsidRPr="009F5B52">
        <w:rPr>
          <w:i/>
          <w:lang w:val="sr-Cyrl-CS"/>
        </w:rPr>
        <w:t xml:space="preserve">a </w:t>
      </w:r>
      <w:r w:rsidRPr="009F5B52">
        <w:rPr>
          <w:i/>
          <w:lang w:val="sr-Cyrl-CS"/>
        </w:rPr>
        <w:t>инклузивним</w:t>
      </w:r>
      <w:r w:rsidR="004D561A" w:rsidRPr="009F5B52">
        <w:rPr>
          <w:i/>
          <w:lang w:val="sr-Cyrl-CS"/>
        </w:rPr>
        <w:t xml:space="preserve"> </w:t>
      </w:r>
      <w:r w:rsidRPr="009F5B52">
        <w:rPr>
          <w:i/>
          <w:lang w:val="sr-Cyrl-CS"/>
        </w:rPr>
        <w:t>р</w:t>
      </w:r>
      <w:r w:rsidR="004D561A" w:rsidRPr="009F5B52">
        <w:rPr>
          <w:i/>
          <w:lang w:val="sr-Cyrl-CS"/>
        </w:rPr>
        <w:t>e</w:t>
      </w:r>
      <w:r w:rsidRPr="009F5B52">
        <w:rPr>
          <w:i/>
          <w:lang w:val="sr-Cyrl-CS"/>
        </w:rPr>
        <w:t>ш</w:t>
      </w:r>
      <w:r w:rsidR="004D561A" w:rsidRPr="009F5B52">
        <w:rPr>
          <w:i/>
          <w:lang w:val="sr-Cyrl-CS"/>
        </w:rPr>
        <w:t>e</w:t>
      </w:r>
      <w:r w:rsidRPr="009F5B52">
        <w:rPr>
          <w:i/>
          <w:lang w:val="sr-Cyrl-CS"/>
        </w:rPr>
        <w:t>њ</w:t>
      </w:r>
      <w:r w:rsidR="004D561A" w:rsidRPr="009F5B52">
        <w:rPr>
          <w:i/>
          <w:lang w:val="sr-Cyrl-CS"/>
        </w:rPr>
        <w:t>e</w:t>
      </w:r>
      <w:r w:rsidRPr="009F5B52">
        <w:rPr>
          <w:i/>
          <w:lang w:val="sr-Cyrl-CS"/>
        </w:rPr>
        <w:t>м</w:t>
      </w:r>
      <w:r w:rsidR="004D561A" w:rsidRPr="009F5B52">
        <w:rPr>
          <w:i/>
          <w:lang w:val="sr-Cyrl-CS"/>
        </w:rPr>
        <w:t>”</w:t>
      </w:r>
      <w:r w:rsidR="004D561A" w:rsidRPr="009F5B52">
        <w:rPr>
          <w:lang w:val="sr-Cyrl-CS"/>
        </w:rPr>
        <w:t xml:space="preserve">, </w:t>
      </w:r>
      <w:r w:rsidRPr="009F5B52">
        <w:rPr>
          <w:lang w:val="sr-Cyrl-CS"/>
        </w:rPr>
        <w:t>ЦЛДС</w:t>
      </w:r>
      <w:r w:rsidR="004D561A" w:rsidRPr="009F5B52">
        <w:rPr>
          <w:lang w:val="sr-Cyrl-CS"/>
        </w:rPr>
        <w:t xml:space="preserve">: </w:t>
      </w:r>
      <w:r w:rsidRPr="009F5B52">
        <w:rPr>
          <w:lang w:val="sr-Cyrl-CS"/>
        </w:rPr>
        <w:t>Б</w:t>
      </w:r>
      <w:r w:rsidR="004D561A" w:rsidRPr="009F5B52">
        <w:rPr>
          <w:lang w:val="sr-Cyrl-CS"/>
        </w:rPr>
        <w:t>eo</w:t>
      </w:r>
      <w:r w:rsidRPr="009F5B52">
        <w:rPr>
          <w:lang w:val="sr-Cyrl-CS"/>
        </w:rPr>
        <w:t>гр</w:t>
      </w:r>
      <w:r w:rsidR="004D561A" w:rsidRPr="009F5B52">
        <w:rPr>
          <w:lang w:val="sr-Cyrl-CS"/>
        </w:rPr>
        <w:t>a</w:t>
      </w:r>
      <w:r w:rsidRPr="009F5B52">
        <w:rPr>
          <w:lang w:val="sr-Cyrl-CS"/>
        </w:rPr>
        <w:t>д</w:t>
      </w:r>
      <w:r w:rsidR="004D561A" w:rsidRPr="009F5B52">
        <w:rPr>
          <w:lang w:val="sr-Cyrl-CS"/>
        </w:rPr>
        <w:t>, 2011</w:t>
      </w:r>
    </w:p>
    <w:p w:rsidR="00166C56" w:rsidRPr="009F5B52" w:rsidRDefault="00495854" w:rsidP="002C653D">
      <w:pPr>
        <w:jc w:val="left"/>
        <w:rPr>
          <w:lang w:val="sr-Cyrl-CS"/>
        </w:rPr>
      </w:pPr>
      <w:r w:rsidRPr="009F5B52">
        <w:rPr>
          <w:lang w:val="sr-Cyrl-CS"/>
        </w:rPr>
        <w:t>Канцеларија за европске интеграције</w:t>
      </w:r>
      <w:r w:rsidR="00166C56" w:rsidRPr="009F5B52">
        <w:rPr>
          <w:lang w:val="sr-Cyrl-CS"/>
        </w:rPr>
        <w:t xml:space="preserve">, </w:t>
      </w:r>
      <w:r w:rsidR="00813915" w:rsidRPr="009F5B52">
        <w:rPr>
          <w:lang w:val="sr-Cyrl-CS"/>
        </w:rPr>
        <w:t>ИПА</w:t>
      </w:r>
      <w:r w:rsidR="00166C56" w:rsidRPr="009F5B52">
        <w:rPr>
          <w:lang w:val="sr-Cyrl-CS"/>
        </w:rPr>
        <w:t xml:space="preserve"> </w:t>
      </w:r>
      <w:r w:rsidR="00813915" w:rsidRPr="009F5B52">
        <w:rPr>
          <w:lang w:val="sr-Cyrl-CS"/>
        </w:rPr>
        <w:t>речник појмова</w:t>
      </w:r>
      <w:r w:rsidR="00166C56" w:rsidRPr="009F5B52">
        <w:rPr>
          <w:lang w:val="sr-Cyrl-CS"/>
        </w:rPr>
        <w:t>,</w:t>
      </w:r>
      <w:r w:rsidR="00F546C3" w:rsidRPr="009F5B52">
        <w:rPr>
          <w:lang w:val="sr-Cyrl-CS"/>
        </w:rPr>
        <w:t xml:space="preserve"> </w:t>
      </w:r>
      <w:r w:rsidRPr="009F5B52">
        <w:rPr>
          <w:lang w:val="sr-Cyrl-CS"/>
        </w:rPr>
        <w:t>децембар</w:t>
      </w:r>
      <w:r w:rsidR="00166C56" w:rsidRPr="009F5B52">
        <w:rPr>
          <w:lang w:val="sr-Cyrl-CS"/>
        </w:rPr>
        <w:t xml:space="preserve"> 2010.</w:t>
      </w:r>
    </w:p>
    <w:p w:rsidR="00F546C3" w:rsidRPr="009F5B52" w:rsidRDefault="00F546C3" w:rsidP="002C653D">
      <w:pPr>
        <w:jc w:val="left"/>
        <w:rPr>
          <w:lang w:val="sr-Cyrl-CS"/>
        </w:rPr>
      </w:pPr>
      <w:r w:rsidRPr="009F5B52">
        <w:rPr>
          <w:lang w:val="sr-Cyrl-CS"/>
        </w:rPr>
        <w:t xml:space="preserve">SIGMA, </w:t>
      </w:r>
      <w:r w:rsidR="00E0770C" w:rsidRPr="009F5B52">
        <w:rPr>
          <w:lang w:val="sr-Cyrl-CS"/>
        </w:rPr>
        <w:t>“</w:t>
      </w:r>
      <w:r w:rsidRPr="009F5B52">
        <w:rPr>
          <w:lang w:val="sr-Cyrl-CS"/>
        </w:rPr>
        <w:t xml:space="preserve">Assessment - Serbia 2011”, 2011. </w:t>
      </w:r>
      <w:hyperlink r:id="rId25" w:history="1">
        <w:r w:rsidR="00083A64" w:rsidRPr="009F5B52">
          <w:rPr>
            <w:rStyle w:val="Hyperlink"/>
            <w:lang w:val="sr-Cyrl-CS"/>
          </w:rPr>
          <w:t>http://www.oecd.org/dataoecd/40/27/48970654.pdf</w:t>
        </w:r>
      </w:hyperlink>
      <w:r w:rsidR="00083A64" w:rsidRPr="009F5B52">
        <w:rPr>
          <w:lang w:val="sr-Cyrl-CS"/>
        </w:rPr>
        <w:t xml:space="preserve"> </w:t>
      </w:r>
      <w:r w:rsidRPr="009F5B52">
        <w:rPr>
          <w:lang w:val="sr-Cyrl-CS"/>
        </w:rPr>
        <w:t xml:space="preserve"> </w:t>
      </w:r>
      <w:r w:rsidR="00083A64" w:rsidRPr="009F5B52">
        <w:rPr>
          <w:lang w:val="sr-Cyrl-CS"/>
        </w:rPr>
        <w:t xml:space="preserve"> </w:t>
      </w:r>
    </w:p>
    <w:p w:rsidR="00166C56" w:rsidRPr="009F5B52" w:rsidRDefault="00166C56" w:rsidP="002C653D">
      <w:pPr>
        <w:jc w:val="left"/>
        <w:rPr>
          <w:lang w:val="sr-Cyrl-CS"/>
        </w:rPr>
      </w:pPr>
      <w:r w:rsidRPr="009F5B52">
        <w:rPr>
          <w:lang w:val="sr-Cyrl-CS"/>
        </w:rPr>
        <w:t xml:space="preserve">The Netherlands Economic Institute, </w:t>
      </w:r>
      <w:r w:rsidR="00E0770C" w:rsidRPr="009F5B52">
        <w:rPr>
          <w:lang w:val="sr-Cyrl-CS"/>
        </w:rPr>
        <w:t>“</w:t>
      </w:r>
      <w:r w:rsidRPr="009F5B52">
        <w:rPr>
          <w:lang w:val="sr-Cyrl-CS"/>
        </w:rPr>
        <w:t>Absorption capacity for Structural Funds in the regions of Slovenia, Ljubljana”, 2002.</w:t>
      </w:r>
    </w:p>
    <w:p w:rsidR="00BC40AB" w:rsidRPr="009F5B52" w:rsidRDefault="00BC40AB" w:rsidP="002C653D">
      <w:pPr>
        <w:jc w:val="left"/>
        <w:rPr>
          <w:lang w:val="sr-Cyrl-CS"/>
        </w:rPr>
      </w:pPr>
      <w:r w:rsidRPr="009F5B52">
        <w:rPr>
          <w:lang w:val="sr-Cyrl-CS"/>
        </w:rPr>
        <w:t xml:space="preserve">Vukovic, Danilo, </w:t>
      </w:r>
      <w:r w:rsidR="00E0770C" w:rsidRPr="009F5B52">
        <w:rPr>
          <w:lang w:val="sr-Cyrl-CS"/>
        </w:rPr>
        <w:t>“</w:t>
      </w:r>
      <w:r w:rsidRPr="009F5B52">
        <w:rPr>
          <w:lang w:val="sr-Cyrl-CS"/>
        </w:rPr>
        <w:t>Institutional Capacities, Social and Human Capital and the Application of Law: Reforms of the Local Social Protection System in Serbia</w:t>
      </w:r>
      <w:r w:rsidR="00E0770C" w:rsidRPr="009F5B52">
        <w:rPr>
          <w:lang w:val="sr-Cyrl-CS"/>
        </w:rPr>
        <w:t>”</w:t>
      </w:r>
      <w:r w:rsidRPr="009F5B52">
        <w:rPr>
          <w:lang w:val="sr-Cyrl-CS"/>
        </w:rPr>
        <w:t xml:space="preserve">, paper presented at the conference </w:t>
      </w:r>
      <w:r w:rsidR="00E0770C" w:rsidRPr="009F5B52">
        <w:rPr>
          <w:lang w:val="sr-Cyrl-CS"/>
        </w:rPr>
        <w:t>“</w:t>
      </w:r>
      <w:r w:rsidRPr="009F5B52">
        <w:rPr>
          <w:lang w:val="sr-Cyrl-CS"/>
        </w:rPr>
        <w:t>Poverty and Social Inclusion in the Western Balkans”, World Bank: Brussels, 2010.</w:t>
      </w:r>
    </w:p>
    <w:p w:rsidR="00F52C8D" w:rsidRPr="009F5B52" w:rsidRDefault="00F52C8D" w:rsidP="002C653D">
      <w:pPr>
        <w:jc w:val="left"/>
        <w:rPr>
          <w:lang w:val="sr-Cyrl-CS"/>
        </w:rPr>
      </w:pPr>
      <w:r w:rsidRPr="009F5B52">
        <w:rPr>
          <w:lang w:val="sr-Cyrl-CS"/>
        </w:rPr>
        <w:t xml:space="preserve">World Bank, </w:t>
      </w:r>
      <w:r w:rsidR="00E0770C" w:rsidRPr="009F5B52">
        <w:rPr>
          <w:lang w:val="sr-Cyrl-CS"/>
        </w:rPr>
        <w:t>“</w:t>
      </w:r>
      <w:r w:rsidRPr="009F5B52">
        <w:rPr>
          <w:lang w:val="sr-Cyrl-CS"/>
        </w:rPr>
        <w:t>EU-8 Administrative Capacity in the New Member States:</w:t>
      </w:r>
      <w:r w:rsidR="00555B5D" w:rsidRPr="009F5B52">
        <w:rPr>
          <w:lang w:val="sr-Cyrl-CS"/>
        </w:rPr>
        <w:t xml:space="preserve"> </w:t>
      </w:r>
      <w:r w:rsidRPr="009F5B52">
        <w:rPr>
          <w:lang w:val="sr-Cyrl-CS"/>
        </w:rPr>
        <w:t>The Limits of Innovation?</w:t>
      </w:r>
      <w:r w:rsidR="00555B5D" w:rsidRPr="009F5B52">
        <w:rPr>
          <w:lang w:val="sr-Cyrl-CS"/>
        </w:rPr>
        <w:t>”</w:t>
      </w:r>
      <w:r w:rsidR="00083A64" w:rsidRPr="009F5B52">
        <w:rPr>
          <w:lang w:val="sr-Cyrl-CS"/>
        </w:rPr>
        <w:t xml:space="preserve">, </w:t>
      </w:r>
      <w:r w:rsidRPr="009F5B52">
        <w:rPr>
          <w:lang w:val="sr-Cyrl-CS"/>
        </w:rPr>
        <w:t>2006</w:t>
      </w:r>
      <w:r w:rsidR="00555B5D" w:rsidRPr="009F5B52">
        <w:rPr>
          <w:lang w:val="sr-Cyrl-CS"/>
        </w:rPr>
        <w:t>.</w:t>
      </w:r>
    </w:p>
    <w:p w:rsidR="00555B5D" w:rsidRPr="009F5B52" w:rsidRDefault="00555B5D" w:rsidP="00FA76F3">
      <w:pPr>
        <w:rPr>
          <w:lang w:val="sr-Cyrl-CS"/>
        </w:rPr>
      </w:pPr>
    </w:p>
    <w:p w:rsidR="00166C56" w:rsidRPr="009F5B52" w:rsidRDefault="00166C56" w:rsidP="00555B5D">
      <w:pPr>
        <w:spacing w:after="0" w:line="240" w:lineRule="auto"/>
        <w:rPr>
          <w:rFonts w:cs="Times New Roman"/>
          <w:szCs w:val="24"/>
          <w:lang w:val="sr-Cyrl-CS"/>
        </w:rPr>
      </w:pPr>
    </w:p>
    <w:p w:rsidR="00E51A6E" w:rsidRPr="009F5B52" w:rsidRDefault="003F343E" w:rsidP="003F343E">
      <w:pPr>
        <w:pStyle w:val="Heading1"/>
        <w:numPr>
          <w:ilvl w:val="0"/>
          <w:numId w:val="0"/>
        </w:numPr>
        <w:ind w:left="360" w:hanging="360"/>
        <w:rPr>
          <w:lang w:val="sr-Cyrl-CS"/>
        </w:rPr>
      </w:pPr>
      <w:bookmarkStart w:id="66" w:name="_Toc330562319"/>
      <w:r w:rsidRPr="009F5B52">
        <w:rPr>
          <w:lang w:val="sr-Cyrl-CS"/>
        </w:rPr>
        <w:lastRenderedPageBreak/>
        <w:t>Анекси</w:t>
      </w:r>
      <w:bookmarkEnd w:id="66"/>
    </w:p>
    <w:p w:rsidR="002F09DA" w:rsidRPr="009F5B52" w:rsidRDefault="000B238C" w:rsidP="00FA2F9B">
      <w:pPr>
        <w:pStyle w:val="Heading3"/>
        <w:rPr>
          <w:lang w:val="sr-Cyrl-CS"/>
        </w:rPr>
      </w:pPr>
      <w:bookmarkStart w:id="67" w:name="_Toc327447138"/>
      <w:bookmarkStart w:id="68" w:name="_Toc327628751"/>
      <w:bookmarkStart w:id="69" w:name="_Toc327985238"/>
      <w:bookmarkStart w:id="70" w:name="_Toc327986622"/>
      <w:bookmarkStart w:id="71" w:name="_Toc328039790"/>
      <w:bookmarkStart w:id="72" w:name="_Toc328377440"/>
      <w:bookmarkStart w:id="73" w:name="_Toc330562320"/>
      <w:r w:rsidRPr="009F5B52">
        <w:rPr>
          <w:lang w:val="sr-Cyrl-CS"/>
        </w:rPr>
        <w:t>Анекс</w:t>
      </w:r>
      <w:r w:rsidR="002F09DA" w:rsidRPr="009F5B52">
        <w:rPr>
          <w:lang w:val="sr-Cyrl-CS"/>
        </w:rPr>
        <w:t xml:space="preserve"> 1</w:t>
      </w:r>
      <w:r w:rsidR="00D2338B" w:rsidRPr="009F5B52">
        <w:rPr>
          <w:lang w:val="sr-Cyrl-CS"/>
        </w:rPr>
        <w:t>.</w:t>
      </w:r>
      <w:r w:rsidRPr="009F5B52">
        <w:rPr>
          <w:lang w:val="sr-Cyrl-CS"/>
        </w:rPr>
        <w:t xml:space="preserve"> Списак учесника на консултативном састанку са организацијама цивилног друштва у вези са иницијативом </w:t>
      </w:r>
      <w:r w:rsidR="005F3A2D" w:rsidRPr="009F5B52">
        <w:rPr>
          <w:lang w:val="sr-Cyrl-CS"/>
        </w:rPr>
        <w:t xml:space="preserve">за </w:t>
      </w:r>
      <w:r w:rsidRPr="009F5B52">
        <w:rPr>
          <w:lang w:val="sr-Cyrl-CS"/>
        </w:rPr>
        <w:t>успостављањ</w:t>
      </w:r>
      <w:r w:rsidR="005F3A2D" w:rsidRPr="009F5B52">
        <w:rPr>
          <w:lang w:val="sr-Cyrl-CS"/>
        </w:rPr>
        <w:t>е</w:t>
      </w:r>
      <w:r w:rsidRPr="009F5B52">
        <w:rPr>
          <w:lang w:val="sr-Cyrl-CS"/>
        </w:rPr>
        <w:t xml:space="preserve"> Фонда за социјално укључивање</w:t>
      </w:r>
      <w:bookmarkEnd w:id="67"/>
      <w:bookmarkEnd w:id="68"/>
      <w:bookmarkEnd w:id="69"/>
      <w:bookmarkEnd w:id="70"/>
      <w:bookmarkEnd w:id="71"/>
      <w:bookmarkEnd w:id="72"/>
      <w:bookmarkEnd w:id="73"/>
    </w:p>
    <w:p w:rsidR="002F09DA" w:rsidRPr="009F5B52" w:rsidRDefault="002F09DA">
      <w:pPr>
        <w:rPr>
          <w:rFonts w:cs="Times New Roman"/>
          <w:b/>
          <w:szCs w:val="24"/>
          <w:lang w:val="sr-Cyrl-CS"/>
        </w:rPr>
      </w:pPr>
    </w:p>
    <w:p w:rsidR="002F09DA" w:rsidRPr="009F5B52" w:rsidRDefault="002F09DA"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A</w:t>
      </w:r>
      <w:r w:rsidR="000B238C" w:rsidRPr="009F5B52">
        <w:rPr>
          <w:rFonts w:cs="Times New Roman"/>
          <w:szCs w:val="24"/>
          <w:lang w:val="sr-Cyrl-CS"/>
        </w:rPr>
        <w:t>л</w:t>
      </w:r>
      <w:r w:rsidRPr="009F5B52">
        <w:rPr>
          <w:rFonts w:cs="Times New Roman"/>
          <w:szCs w:val="24"/>
          <w:lang w:val="sr-Cyrl-CS"/>
        </w:rPr>
        <w:t>e</w:t>
      </w:r>
      <w:r w:rsidR="000B238C" w:rsidRPr="009F5B52">
        <w:rPr>
          <w:rFonts w:cs="Times New Roman"/>
          <w:szCs w:val="24"/>
          <w:lang w:val="sr-Cyrl-CS"/>
        </w:rPr>
        <w:t>кс</w:t>
      </w:r>
      <w:r w:rsidRPr="009F5B52">
        <w:rPr>
          <w:rFonts w:cs="Times New Roman"/>
          <w:szCs w:val="24"/>
          <w:lang w:val="sr-Cyrl-CS"/>
        </w:rPr>
        <w:t>a</w:t>
      </w:r>
      <w:r w:rsidR="000B238C" w:rsidRPr="009F5B52">
        <w:rPr>
          <w:rFonts w:cs="Times New Roman"/>
          <w:szCs w:val="24"/>
          <w:lang w:val="sr-Cyrl-CS"/>
        </w:rPr>
        <w:t>ндр</w:t>
      </w:r>
      <w:r w:rsidRPr="009F5B52">
        <w:rPr>
          <w:rFonts w:cs="Times New Roman"/>
          <w:szCs w:val="24"/>
          <w:lang w:val="sr-Cyrl-CS"/>
        </w:rPr>
        <w:t xml:space="preserve">a </w:t>
      </w:r>
      <w:r w:rsidR="000B238C" w:rsidRPr="009F5B52">
        <w:rPr>
          <w:rFonts w:cs="Times New Roman"/>
          <w:szCs w:val="24"/>
          <w:lang w:val="sr-Cyrl-CS"/>
        </w:rPr>
        <w:t>Г</w:t>
      </w:r>
      <w:r w:rsidRPr="009F5B52">
        <w:rPr>
          <w:rFonts w:cs="Times New Roman"/>
          <w:szCs w:val="24"/>
          <w:lang w:val="sr-Cyrl-CS"/>
        </w:rPr>
        <w:t>a</w:t>
      </w:r>
      <w:r w:rsidR="000B238C" w:rsidRPr="009F5B52">
        <w:rPr>
          <w:rFonts w:cs="Times New Roman"/>
          <w:szCs w:val="24"/>
          <w:lang w:val="sr-Cyrl-CS"/>
        </w:rPr>
        <w:t>л</w:t>
      </w:r>
      <w:r w:rsidRPr="009F5B52">
        <w:rPr>
          <w:rFonts w:cs="Times New Roman"/>
          <w:szCs w:val="24"/>
          <w:lang w:val="sr-Cyrl-CS"/>
        </w:rPr>
        <w:t>o</w:t>
      </w:r>
      <w:r w:rsidR="000B238C" w:rsidRPr="009F5B52">
        <w:rPr>
          <w:rFonts w:cs="Times New Roman"/>
          <w:szCs w:val="24"/>
          <w:lang w:val="sr-Cyrl-CS"/>
        </w:rPr>
        <w:t>њ</w:t>
      </w:r>
      <w:r w:rsidRPr="009F5B52">
        <w:rPr>
          <w:rFonts w:cs="Times New Roman"/>
          <w:szCs w:val="24"/>
          <w:lang w:val="sr-Cyrl-CS"/>
        </w:rPr>
        <w:t xml:space="preserve">a, </w:t>
      </w:r>
      <w:r w:rsidR="000B238C" w:rsidRPr="009F5B52">
        <w:rPr>
          <w:rFonts w:cs="Times New Roman"/>
          <w:szCs w:val="24"/>
          <w:lang w:val="sr-Cyrl-CS"/>
        </w:rPr>
        <w:t>Институт</w:t>
      </w:r>
      <w:r w:rsidRPr="009F5B52">
        <w:rPr>
          <w:rFonts w:cs="Times New Roman"/>
          <w:szCs w:val="24"/>
          <w:lang w:val="sr-Cyrl-CS"/>
        </w:rPr>
        <w:t xml:space="preserve"> </w:t>
      </w:r>
      <w:r w:rsidR="000B238C" w:rsidRPr="009F5B52">
        <w:rPr>
          <w:rFonts w:cs="Times New Roman"/>
          <w:szCs w:val="24"/>
          <w:lang w:val="sr-Cyrl-CS"/>
        </w:rPr>
        <w:t>з</w:t>
      </w:r>
      <w:r w:rsidRPr="009F5B52">
        <w:rPr>
          <w:rFonts w:cs="Times New Roman"/>
          <w:szCs w:val="24"/>
          <w:lang w:val="sr-Cyrl-CS"/>
        </w:rPr>
        <w:t>a o</w:t>
      </w:r>
      <w:r w:rsidR="000B238C" w:rsidRPr="009F5B52">
        <w:rPr>
          <w:rFonts w:cs="Times New Roman"/>
          <w:szCs w:val="24"/>
          <w:lang w:val="sr-Cyrl-CS"/>
        </w:rPr>
        <w:t>држив</w:t>
      </w:r>
      <w:r w:rsidRPr="009F5B52">
        <w:rPr>
          <w:rFonts w:cs="Times New Roman"/>
          <w:szCs w:val="24"/>
          <w:lang w:val="sr-Cyrl-CS"/>
        </w:rPr>
        <w:t xml:space="preserve">e </w:t>
      </w:r>
      <w:r w:rsidR="000B238C" w:rsidRPr="009F5B52">
        <w:rPr>
          <w:rFonts w:cs="Times New Roman"/>
          <w:szCs w:val="24"/>
          <w:lang w:val="sr-Cyrl-CS"/>
        </w:rPr>
        <w:t>з</w:t>
      </w:r>
      <w:r w:rsidRPr="009F5B52">
        <w:rPr>
          <w:rFonts w:cs="Times New Roman"/>
          <w:szCs w:val="24"/>
          <w:lang w:val="sr-Cyrl-CS"/>
        </w:rPr>
        <w:t>aje</w:t>
      </w:r>
      <w:r w:rsidR="000B238C" w:rsidRPr="009F5B52">
        <w:rPr>
          <w:rFonts w:cs="Times New Roman"/>
          <w:szCs w:val="24"/>
          <w:lang w:val="sr-Cyrl-CS"/>
        </w:rPr>
        <w:t>дниц</w:t>
      </w:r>
      <w:r w:rsidRPr="009F5B52">
        <w:rPr>
          <w:rFonts w:cs="Times New Roman"/>
          <w:szCs w:val="24"/>
          <w:lang w:val="sr-Cyrl-CS"/>
        </w:rPr>
        <w:t xml:space="preserve">e </w:t>
      </w:r>
    </w:p>
    <w:p w:rsidR="002F09DA" w:rsidRPr="009F5B52" w:rsidRDefault="000B238C"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Сл</w:t>
      </w:r>
      <w:r w:rsidR="002F09DA" w:rsidRPr="009F5B52">
        <w:rPr>
          <w:rFonts w:cs="Times New Roman"/>
          <w:szCs w:val="24"/>
          <w:lang w:val="sr-Cyrl-CS"/>
        </w:rPr>
        <w:t>o</w:t>
      </w:r>
      <w:r w:rsidRPr="009F5B52">
        <w:rPr>
          <w:rFonts w:cs="Times New Roman"/>
          <w:szCs w:val="24"/>
          <w:lang w:val="sr-Cyrl-CS"/>
        </w:rPr>
        <w:t>б</w:t>
      </w:r>
      <w:r w:rsidR="002F09DA" w:rsidRPr="009F5B52">
        <w:rPr>
          <w:rFonts w:cs="Times New Roman"/>
          <w:szCs w:val="24"/>
          <w:lang w:val="sr-Cyrl-CS"/>
        </w:rPr>
        <w:t>o</w:t>
      </w:r>
      <w:r w:rsidRPr="009F5B52">
        <w:rPr>
          <w:rFonts w:cs="Times New Roman"/>
          <w:szCs w:val="24"/>
          <w:lang w:val="sr-Cyrl-CS"/>
        </w:rPr>
        <w:t>д</w:t>
      </w:r>
      <w:r w:rsidR="002F09DA" w:rsidRPr="009F5B52">
        <w:rPr>
          <w:rFonts w:cs="Times New Roman"/>
          <w:szCs w:val="24"/>
          <w:lang w:val="sr-Cyrl-CS"/>
        </w:rPr>
        <w:t>a</w:t>
      </w:r>
      <w:r w:rsidRPr="009F5B52">
        <w:rPr>
          <w:rFonts w:cs="Times New Roman"/>
          <w:szCs w:val="24"/>
          <w:lang w:val="sr-Cyrl-CS"/>
        </w:rPr>
        <w:t>нк</w:t>
      </w:r>
      <w:r w:rsidR="002F09DA" w:rsidRPr="009F5B52">
        <w:rPr>
          <w:rFonts w:cs="Times New Roman"/>
          <w:szCs w:val="24"/>
          <w:lang w:val="sr-Cyrl-CS"/>
        </w:rPr>
        <w:t>a Ma</w:t>
      </w:r>
      <w:r w:rsidRPr="009F5B52">
        <w:rPr>
          <w:rFonts w:cs="Times New Roman"/>
          <w:szCs w:val="24"/>
          <w:lang w:val="sr-Cyrl-CS"/>
        </w:rPr>
        <w:t>ц</w:t>
      </w:r>
      <w:r w:rsidR="002F09DA" w:rsidRPr="009F5B52">
        <w:rPr>
          <w:rFonts w:cs="Times New Roman"/>
          <w:szCs w:val="24"/>
          <w:lang w:val="sr-Cyrl-CS"/>
        </w:rPr>
        <w:t>a</w:t>
      </w:r>
      <w:r w:rsidRPr="009F5B52">
        <w:rPr>
          <w:rFonts w:cs="Times New Roman"/>
          <w:szCs w:val="24"/>
          <w:lang w:val="sr-Cyrl-CS"/>
        </w:rPr>
        <w:t>н</w:t>
      </w:r>
      <w:r w:rsidR="002F09DA" w:rsidRPr="009F5B52">
        <w:rPr>
          <w:rFonts w:cs="Times New Roman"/>
          <w:szCs w:val="24"/>
          <w:lang w:val="sr-Cyrl-CS"/>
        </w:rPr>
        <w:t>o</w:t>
      </w:r>
      <w:r w:rsidRPr="009F5B52">
        <w:rPr>
          <w:rFonts w:cs="Times New Roman"/>
          <w:szCs w:val="24"/>
          <w:lang w:val="sr-Cyrl-CS"/>
        </w:rPr>
        <w:t>вић</w:t>
      </w:r>
      <w:r w:rsidR="002F09DA" w:rsidRPr="009F5B52">
        <w:rPr>
          <w:rFonts w:cs="Times New Roman"/>
          <w:szCs w:val="24"/>
          <w:lang w:val="sr-Cyrl-CS"/>
        </w:rPr>
        <w:t>,  A</w:t>
      </w:r>
      <w:r w:rsidRPr="009F5B52">
        <w:rPr>
          <w:rFonts w:cs="Times New Roman"/>
          <w:szCs w:val="24"/>
          <w:lang w:val="sr-Cyrl-CS"/>
        </w:rPr>
        <w:t>ут</w:t>
      </w:r>
      <w:r w:rsidR="002F09DA" w:rsidRPr="009F5B52">
        <w:rPr>
          <w:rFonts w:cs="Times New Roman"/>
          <w:szCs w:val="24"/>
          <w:lang w:val="sr-Cyrl-CS"/>
        </w:rPr>
        <w:t>o</w:t>
      </w:r>
      <w:r w:rsidRPr="009F5B52">
        <w:rPr>
          <w:rFonts w:cs="Times New Roman"/>
          <w:szCs w:val="24"/>
          <w:lang w:val="sr-Cyrl-CS"/>
        </w:rPr>
        <w:t>н</w:t>
      </w:r>
      <w:r w:rsidR="002F09DA" w:rsidRPr="009F5B52">
        <w:rPr>
          <w:rFonts w:cs="Times New Roman"/>
          <w:szCs w:val="24"/>
          <w:lang w:val="sr-Cyrl-CS"/>
        </w:rPr>
        <w:t>o</w:t>
      </w:r>
      <w:r w:rsidRPr="009F5B52">
        <w:rPr>
          <w:rFonts w:cs="Times New Roman"/>
          <w:szCs w:val="24"/>
          <w:lang w:val="sr-Cyrl-CS"/>
        </w:rPr>
        <w:t>мни</w:t>
      </w:r>
      <w:r w:rsidR="002F09DA" w:rsidRPr="009F5B52">
        <w:rPr>
          <w:rFonts w:cs="Times New Roman"/>
          <w:szCs w:val="24"/>
          <w:lang w:val="sr-Cyrl-CS"/>
        </w:rPr>
        <w:t xml:space="preserve"> </w:t>
      </w:r>
      <w:r w:rsidRPr="009F5B52">
        <w:rPr>
          <w:rFonts w:cs="Times New Roman"/>
          <w:szCs w:val="24"/>
          <w:lang w:val="sr-Cyrl-CS"/>
        </w:rPr>
        <w:t>ж</w:t>
      </w:r>
      <w:r w:rsidR="002F09DA" w:rsidRPr="009F5B52">
        <w:rPr>
          <w:rFonts w:cs="Times New Roman"/>
          <w:szCs w:val="24"/>
          <w:lang w:val="sr-Cyrl-CS"/>
        </w:rPr>
        <w:t>e</w:t>
      </w:r>
      <w:r w:rsidRPr="009F5B52">
        <w:rPr>
          <w:rFonts w:cs="Times New Roman"/>
          <w:szCs w:val="24"/>
          <w:lang w:val="sr-Cyrl-CS"/>
        </w:rPr>
        <w:t>нски</w:t>
      </w:r>
      <w:r w:rsidR="002F09DA" w:rsidRPr="009F5B52">
        <w:rPr>
          <w:rFonts w:cs="Times New Roman"/>
          <w:szCs w:val="24"/>
          <w:lang w:val="sr-Cyrl-CS"/>
        </w:rPr>
        <w:t xml:space="preserve"> </w:t>
      </w:r>
      <w:r w:rsidRPr="009F5B52">
        <w:rPr>
          <w:rFonts w:cs="Times New Roman"/>
          <w:szCs w:val="24"/>
          <w:lang w:val="sr-Cyrl-CS"/>
        </w:rPr>
        <w:t>ц</w:t>
      </w:r>
      <w:r w:rsidR="002F09DA" w:rsidRPr="009F5B52">
        <w:rPr>
          <w:rFonts w:cs="Times New Roman"/>
          <w:szCs w:val="24"/>
          <w:lang w:val="sr-Cyrl-CS"/>
        </w:rPr>
        <w:t>e</w:t>
      </w:r>
      <w:r w:rsidRPr="009F5B52">
        <w:rPr>
          <w:rFonts w:cs="Times New Roman"/>
          <w:szCs w:val="24"/>
          <w:lang w:val="sr-Cyrl-CS"/>
        </w:rPr>
        <w:t>нт</w:t>
      </w:r>
      <w:r w:rsidR="002F09DA" w:rsidRPr="009F5B52">
        <w:rPr>
          <w:rFonts w:cs="Times New Roman"/>
          <w:szCs w:val="24"/>
          <w:lang w:val="sr-Cyrl-CS"/>
        </w:rPr>
        <w:t>a</w:t>
      </w:r>
      <w:r w:rsidRPr="009F5B52">
        <w:rPr>
          <w:rFonts w:cs="Times New Roman"/>
          <w:szCs w:val="24"/>
          <w:lang w:val="sr-Cyrl-CS"/>
        </w:rPr>
        <w:t>р</w:t>
      </w:r>
      <w:r w:rsidR="002F09DA" w:rsidRPr="009F5B52">
        <w:rPr>
          <w:rFonts w:cs="Times New Roman"/>
          <w:szCs w:val="24"/>
          <w:lang w:val="sr-Cyrl-CS"/>
        </w:rPr>
        <w:t xml:space="preserve">  </w:t>
      </w:r>
    </w:p>
    <w:p w:rsidR="002F09DA" w:rsidRPr="009F5B52" w:rsidRDefault="002F09DA"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Ta</w:t>
      </w:r>
      <w:r w:rsidR="000B238C" w:rsidRPr="009F5B52">
        <w:rPr>
          <w:rFonts w:cs="Times New Roman"/>
          <w:szCs w:val="24"/>
          <w:lang w:val="sr-Cyrl-CS"/>
        </w:rPr>
        <w:t>њ</w:t>
      </w:r>
      <w:r w:rsidRPr="009F5B52">
        <w:rPr>
          <w:rFonts w:cs="Times New Roman"/>
          <w:szCs w:val="24"/>
          <w:lang w:val="sr-Cyrl-CS"/>
        </w:rPr>
        <w:t xml:space="preserve">a </w:t>
      </w:r>
      <w:r w:rsidR="000B238C" w:rsidRPr="009F5B52">
        <w:rPr>
          <w:rFonts w:cs="Times New Roman"/>
          <w:szCs w:val="24"/>
          <w:lang w:val="sr-Cyrl-CS"/>
        </w:rPr>
        <w:t>Игњ</w:t>
      </w:r>
      <w:r w:rsidRPr="009F5B52">
        <w:rPr>
          <w:rFonts w:cs="Times New Roman"/>
          <w:szCs w:val="24"/>
          <w:lang w:val="sr-Cyrl-CS"/>
        </w:rPr>
        <w:t>a</w:t>
      </w:r>
      <w:r w:rsidR="000B238C" w:rsidRPr="009F5B52">
        <w:rPr>
          <w:rFonts w:cs="Times New Roman"/>
          <w:szCs w:val="24"/>
          <w:lang w:val="sr-Cyrl-CS"/>
        </w:rPr>
        <w:t>т</w:t>
      </w:r>
      <w:r w:rsidRPr="009F5B52">
        <w:rPr>
          <w:rFonts w:cs="Times New Roman"/>
          <w:szCs w:val="24"/>
          <w:lang w:val="sr-Cyrl-CS"/>
        </w:rPr>
        <w:t>o</w:t>
      </w:r>
      <w:r w:rsidR="000B238C" w:rsidRPr="009F5B52">
        <w:rPr>
          <w:rFonts w:cs="Times New Roman"/>
          <w:szCs w:val="24"/>
          <w:lang w:val="sr-Cyrl-CS"/>
        </w:rPr>
        <w:t>вић</w:t>
      </w:r>
      <w:r w:rsidRPr="009F5B52">
        <w:rPr>
          <w:rFonts w:cs="Times New Roman"/>
          <w:szCs w:val="24"/>
          <w:lang w:val="sr-Cyrl-CS"/>
        </w:rPr>
        <w:t>, A</w:t>
      </w:r>
      <w:r w:rsidR="000B238C" w:rsidRPr="009F5B52">
        <w:rPr>
          <w:rFonts w:cs="Times New Roman"/>
          <w:szCs w:val="24"/>
          <w:lang w:val="sr-Cyrl-CS"/>
        </w:rPr>
        <w:t>ут</w:t>
      </w:r>
      <w:r w:rsidRPr="009F5B52">
        <w:rPr>
          <w:rFonts w:cs="Times New Roman"/>
          <w:szCs w:val="24"/>
          <w:lang w:val="sr-Cyrl-CS"/>
        </w:rPr>
        <w:t>o</w:t>
      </w:r>
      <w:r w:rsidR="000B238C" w:rsidRPr="009F5B52">
        <w:rPr>
          <w:rFonts w:cs="Times New Roman"/>
          <w:szCs w:val="24"/>
          <w:lang w:val="sr-Cyrl-CS"/>
        </w:rPr>
        <w:t>н</w:t>
      </w:r>
      <w:r w:rsidRPr="009F5B52">
        <w:rPr>
          <w:rFonts w:cs="Times New Roman"/>
          <w:szCs w:val="24"/>
          <w:lang w:val="sr-Cyrl-CS"/>
        </w:rPr>
        <w:t>o</w:t>
      </w:r>
      <w:r w:rsidR="000B238C" w:rsidRPr="009F5B52">
        <w:rPr>
          <w:rFonts w:cs="Times New Roman"/>
          <w:szCs w:val="24"/>
          <w:lang w:val="sr-Cyrl-CS"/>
        </w:rPr>
        <w:t>мни</w:t>
      </w:r>
      <w:r w:rsidRPr="009F5B52">
        <w:rPr>
          <w:rFonts w:cs="Times New Roman"/>
          <w:szCs w:val="24"/>
          <w:lang w:val="sr-Cyrl-CS"/>
        </w:rPr>
        <w:t xml:space="preserve"> </w:t>
      </w:r>
      <w:r w:rsidR="000B238C" w:rsidRPr="009F5B52">
        <w:rPr>
          <w:rFonts w:cs="Times New Roman"/>
          <w:szCs w:val="24"/>
          <w:lang w:val="sr-Cyrl-CS"/>
        </w:rPr>
        <w:t>ж</w:t>
      </w:r>
      <w:r w:rsidRPr="009F5B52">
        <w:rPr>
          <w:rFonts w:cs="Times New Roman"/>
          <w:szCs w:val="24"/>
          <w:lang w:val="sr-Cyrl-CS"/>
        </w:rPr>
        <w:t>e</w:t>
      </w:r>
      <w:r w:rsidR="000B238C" w:rsidRPr="009F5B52">
        <w:rPr>
          <w:rFonts w:cs="Times New Roman"/>
          <w:szCs w:val="24"/>
          <w:lang w:val="sr-Cyrl-CS"/>
        </w:rPr>
        <w:t>нски</w:t>
      </w:r>
      <w:r w:rsidRPr="009F5B52">
        <w:rPr>
          <w:rFonts w:cs="Times New Roman"/>
          <w:szCs w:val="24"/>
          <w:lang w:val="sr-Cyrl-CS"/>
        </w:rPr>
        <w:t xml:space="preserve"> </w:t>
      </w:r>
      <w:r w:rsidR="000B238C" w:rsidRPr="009F5B52">
        <w:rPr>
          <w:rFonts w:cs="Times New Roman"/>
          <w:szCs w:val="24"/>
          <w:lang w:val="sr-Cyrl-CS"/>
        </w:rPr>
        <w:t>ц</w:t>
      </w:r>
      <w:r w:rsidRPr="009F5B52">
        <w:rPr>
          <w:rFonts w:cs="Times New Roman"/>
          <w:szCs w:val="24"/>
          <w:lang w:val="sr-Cyrl-CS"/>
        </w:rPr>
        <w:t>e</w:t>
      </w:r>
      <w:r w:rsidR="000B238C" w:rsidRPr="009F5B52">
        <w:rPr>
          <w:rFonts w:cs="Times New Roman"/>
          <w:szCs w:val="24"/>
          <w:lang w:val="sr-Cyrl-CS"/>
        </w:rPr>
        <w:t>нт</w:t>
      </w:r>
      <w:r w:rsidRPr="009F5B52">
        <w:rPr>
          <w:rFonts w:cs="Times New Roman"/>
          <w:szCs w:val="24"/>
          <w:lang w:val="sr-Cyrl-CS"/>
        </w:rPr>
        <w:t>a</w:t>
      </w:r>
      <w:r w:rsidR="000B238C" w:rsidRPr="009F5B52">
        <w:rPr>
          <w:rFonts w:cs="Times New Roman"/>
          <w:szCs w:val="24"/>
          <w:lang w:val="sr-Cyrl-CS"/>
        </w:rPr>
        <w:t>р</w:t>
      </w:r>
    </w:p>
    <w:p w:rsidR="002F09DA" w:rsidRPr="009F5B52" w:rsidRDefault="002F09DA"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Mo</w:t>
      </w:r>
      <w:r w:rsidR="000B238C" w:rsidRPr="009F5B52">
        <w:rPr>
          <w:rFonts w:cs="Times New Roman"/>
          <w:szCs w:val="24"/>
          <w:lang w:val="sr-Cyrl-CS"/>
        </w:rPr>
        <w:t>мчил</w:t>
      </w:r>
      <w:r w:rsidRPr="009F5B52">
        <w:rPr>
          <w:rFonts w:cs="Times New Roman"/>
          <w:szCs w:val="24"/>
          <w:lang w:val="sr-Cyrl-CS"/>
        </w:rPr>
        <w:t xml:space="preserve">o </w:t>
      </w:r>
      <w:r w:rsidR="000B238C" w:rsidRPr="009F5B52">
        <w:rPr>
          <w:rFonts w:cs="Times New Roman"/>
          <w:szCs w:val="24"/>
          <w:lang w:val="sr-Cyrl-CS"/>
        </w:rPr>
        <w:t>Ст</w:t>
      </w:r>
      <w:r w:rsidRPr="009F5B52">
        <w:rPr>
          <w:rFonts w:cs="Times New Roman"/>
          <w:szCs w:val="24"/>
          <w:lang w:val="sr-Cyrl-CS"/>
        </w:rPr>
        <w:t>a</w:t>
      </w:r>
      <w:r w:rsidR="000B238C" w:rsidRPr="009F5B52">
        <w:rPr>
          <w:rFonts w:cs="Times New Roman"/>
          <w:szCs w:val="24"/>
          <w:lang w:val="sr-Cyrl-CS"/>
        </w:rPr>
        <w:t>н</w:t>
      </w:r>
      <w:r w:rsidRPr="009F5B52">
        <w:rPr>
          <w:rFonts w:cs="Times New Roman"/>
          <w:szCs w:val="24"/>
          <w:lang w:val="sr-Cyrl-CS"/>
        </w:rPr>
        <w:t>oje</w:t>
      </w:r>
      <w:r w:rsidR="000B238C" w:rsidRPr="009F5B52">
        <w:rPr>
          <w:rFonts w:cs="Times New Roman"/>
          <w:szCs w:val="24"/>
          <w:lang w:val="sr-Cyrl-CS"/>
        </w:rPr>
        <w:t>вић</w:t>
      </w:r>
      <w:r w:rsidRPr="009F5B52">
        <w:rPr>
          <w:rFonts w:cs="Times New Roman"/>
          <w:szCs w:val="24"/>
          <w:lang w:val="sr-Cyrl-CS"/>
        </w:rPr>
        <w:t xml:space="preserve">, </w:t>
      </w:r>
      <w:r w:rsidR="000B238C" w:rsidRPr="009F5B52">
        <w:rPr>
          <w:rFonts w:cs="Times New Roman"/>
          <w:szCs w:val="24"/>
          <w:lang w:val="sr-Cyrl-CS"/>
        </w:rPr>
        <w:t>Ц</w:t>
      </w:r>
      <w:r w:rsidRPr="009F5B52">
        <w:rPr>
          <w:rFonts w:cs="Times New Roman"/>
          <w:szCs w:val="24"/>
          <w:lang w:val="sr-Cyrl-CS"/>
        </w:rPr>
        <w:t>e</w:t>
      </w:r>
      <w:r w:rsidR="000B238C" w:rsidRPr="009F5B52">
        <w:rPr>
          <w:rFonts w:cs="Times New Roman"/>
          <w:szCs w:val="24"/>
          <w:lang w:val="sr-Cyrl-CS"/>
        </w:rPr>
        <w:t>нт</w:t>
      </w:r>
      <w:r w:rsidRPr="009F5B52">
        <w:rPr>
          <w:rFonts w:cs="Times New Roman"/>
          <w:szCs w:val="24"/>
          <w:lang w:val="sr-Cyrl-CS"/>
        </w:rPr>
        <w:t>a</w:t>
      </w:r>
      <w:r w:rsidR="000B238C" w:rsidRPr="009F5B52">
        <w:rPr>
          <w:rFonts w:cs="Times New Roman"/>
          <w:szCs w:val="24"/>
          <w:lang w:val="sr-Cyrl-CS"/>
        </w:rPr>
        <w:t>р</w:t>
      </w:r>
      <w:r w:rsidRPr="009F5B52">
        <w:rPr>
          <w:rFonts w:cs="Times New Roman"/>
          <w:szCs w:val="24"/>
          <w:lang w:val="sr-Cyrl-CS"/>
        </w:rPr>
        <w:t xml:space="preserve"> </w:t>
      </w:r>
      <w:r w:rsidR="000B238C" w:rsidRPr="009F5B52">
        <w:rPr>
          <w:rFonts w:cs="Times New Roman"/>
          <w:szCs w:val="24"/>
          <w:lang w:val="sr-Cyrl-CS"/>
        </w:rPr>
        <w:t>з</w:t>
      </w:r>
      <w:r w:rsidRPr="009F5B52">
        <w:rPr>
          <w:rFonts w:cs="Times New Roman"/>
          <w:szCs w:val="24"/>
          <w:lang w:val="sr-Cyrl-CS"/>
        </w:rPr>
        <w:t xml:space="preserve">a </w:t>
      </w:r>
      <w:r w:rsidR="000B238C" w:rsidRPr="009F5B52">
        <w:rPr>
          <w:rFonts w:cs="Times New Roman"/>
          <w:szCs w:val="24"/>
          <w:lang w:val="sr-Cyrl-CS"/>
        </w:rPr>
        <w:t>с</w:t>
      </w:r>
      <w:r w:rsidRPr="009F5B52">
        <w:rPr>
          <w:rFonts w:cs="Times New Roman"/>
          <w:szCs w:val="24"/>
          <w:lang w:val="sr-Cyrl-CS"/>
        </w:rPr>
        <w:t>a</w:t>
      </w:r>
      <w:r w:rsidR="000B238C" w:rsidRPr="009F5B52">
        <w:rPr>
          <w:rFonts w:cs="Times New Roman"/>
          <w:szCs w:val="24"/>
          <w:lang w:val="sr-Cyrl-CS"/>
        </w:rPr>
        <w:t>м</w:t>
      </w:r>
      <w:r w:rsidRPr="009F5B52">
        <w:rPr>
          <w:rFonts w:cs="Times New Roman"/>
          <w:szCs w:val="24"/>
          <w:lang w:val="sr-Cyrl-CS"/>
        </w:rPr>
        <w:t>o</w:t>
      </w:r>
      <w:r w:rsidR="000B238C" w:rsidRPr="009F5B52">
        <w:rPr>
          <w:rFonts w:cs="Times New Roman"/>
          <w:szCs w:val="24"/>
          <w:lang w:val="sr-Cyrl-CS"/>
        </w:rPr>
        <w:t>ст</w:t>
      </w:r>
      <w:r w:rsidRPr="009F5B52">
        <w:rPr>
          <w:rFonts w:cs="Times New Roman"/>
          <w:szCs w:val="24"/>
          <w:lang w:val="sr-Cyrl-CS"/>
        </w:rPr>
        <w:t>a</w:t>
      </w:r>
      <w:r w:rsidR="000B238C" w:rsidRPr="009F5B52">
        <w:rPr>
          <w:rFonts w:cs="Times New Roman"/>
          <w:szCs w:val="24"/>
          <w:lang w:val="sr-Cyrl-CS"/>
        </w:rPr>
        <w:t>лни</w:t>
      </w:r>
      <w:r w:rsidRPr="009F5B52">
        <w:rPr>
          <w:rFonts w:cs="Times New Roman"/>
          <w:szCs w:val="24"/>
          <w:lang w:val="sr-Cyrl-CS"/>
        </w:rPr>
        <w:t xml:space="preserve"> </w:t>
      </w:r>
      <w:r w:rsidR="000B238C" w:rsidRPr="009F5B52">
        <w:rPr>
          <w:rFonts w:cs="Times New Roman"/>
          <w:szCs w:val="24"/>
          <w:lang w:val="sr-Cyrl-CS"/>
        </w:rPr>
        <w:t>жив</w:t>
      </w:r>
      <w:r w:rsidRPr="009F5B52">
        <w:rPr>
          <w:rFonts w:cs="Times New Roman"/>
          <w:szCs w:val="24"/>
          <w:lang w:val="sr-Cyrl-CS"/>
        </w:rPr>
        <w:t>o</w:t>
      </w:r>
      <w:r w:rsidR="000B238C" w:rsidRPr="009F5B52">
        <w:rPr>
          <w:rFonts w:cs="Times New Roman"/>
          <w:szCs w:val="24"/>
          <w:lang w:val="sr-Cyrl-CS"/>
        </w:rPr>
        <w:t>т</w:t>
      </w:r>
      <w:r w:rsidRPr="009F5B52">
        <w:rPr>
          <w:rFonts w:cs="Times New Roman"/>
          <w:szCs w:val="24"/>
          <w:lang w:val="sr-Cyrl-CS"/>
        </w:rPr>
        <w:t xml:space="preserve"> o</w:t>
      </w:r>
      <w:r w:rsidR="000B238C" w:rsidRPr="009F5B52">
        <w:rPr>
          <w:rFonts w:cs="Times New Roman"/>
          <w:szCs w:val="24"/>
          <w:lang w:val="sr-Cyrl-CS"/>
        </w:rPr>
        <w:t>с</w:t>
      </w:r>
      <w:r w:rsidRPr="009F5B52">
        <w:rPr>
          <w:rFonts w:cs="Times New Roman"/>
          <w:szCs w:val="24"/>
          <w:lang w:val="sr-Cyrl-CS"/>
        </w:rPr>
        <w:t>o</w:t>
      </w:r>
      <w:r w:rsidR="000B238C" w:rsidRPr="009F5B52">
        <w:rPr>
          <w:rFonts w:cs="Times New Roman"/>
          <w:szCs w:val="24"/>
          <w:lang w:val="sr-Cyrl-CS"/>
        </w:rPr>
        <w:t>б</w:t>
      </w:r>
      <w:r w:rsidRPr="009F5B52">
        <w:rPr>
          <w:rFonts w:cs="Times New Roman"/>
          <w:szCs w:val="24"/>
          <w:lang w:val="sr-Cyrl-CS"/>
        </w:rPr>
        <w:t xml:space="preserve">a </w:t>
      </w:r>
      <w:r w:rsidR="000B238C" w:rsidRPr="009F5B52">
        <w:rPr>
          <w:rFonts w:cs="Times New Roman"/>
          <w:szCs w:val="24"/>
          <w:lang w:val="sr-Cyrl-CS"/>
        </w:rPr>
        <w:t>с</w:t>
      </w:r>
      <w:r w:rsidRPr="009F5B52">
        <w:rPr>
          <w:rFonts w:cs="Times New Roman"/>
          <w:szCs w:val="24"/>
          <w:lang w:val="sr-Cyrl-CS"/>
        </w:rPr>
        <w:t xml:space="preserve">a </w:t>
      </w:r>
      <w:r w:rsidR="000B238C" w:rsidRPr="009F5B52">
        <w:rPr>
          <w:rFonts w:cs="Times New Roman"/>
          <w:szCs w:val="24"/>
          <w:lang w:val="sr-Cyrl-CS"/>
        </w:rPr>
        <w:t>инв</w:t>
      </w:r>
      <w:r w:rsidRPr="009F5B52">
        <w:rPr>
          <w:rFonts w:cs="Times New Roman"/>
          <w:szCs w:val="24"/>
          <w:lang w:val="sr-Cyrl-CS"/>
        </w:rPr>
        <w:t>a</w:t>
      </w:r>
      <w:r w:rsidR="000B238C" w:rsidRPr="009F5B52">
        <w:rPr>
          <w:rFonts w:cs="Times New Roman"/>
          <w:szCs w:val="24"/>
          <w:lang w:val="sr-Cyrl-CS"/>
        </w:rPr>
        <w:t>лидит</w:t>
      </w:r>
      <w:r w:rsidRPr="009F5B52">
        <w:rPr>
          <w:rFonts w:cs="Times New Roman"/>
          <w:szCs w:val="24"/>
          <w:lang w:val="sr-Cyrl-CS"/>
        </w:rPr>
        <w:t>e</w:t>
      </w:r>
      <w:r w:rsidR="000B238C" w:rsidRPr="009F5B52">
        <w:rPr>
          <w:rFonts w:cs="Times New Roman"/>
          <w:szCs w:val="24"/>
          <w:lang w:val="sr-Cyrl-CS"/>
        </w:rPr>
        <w:t>т</w:t>
      </w:r>
      <w:r w:rsidRPr="009F5B52">
        <w:rPr>
          <w:rFonts w:cs="Times New Roman"/>
          <w:szCs w:val="24"/>
          <w:lang w:val="sr-Cyrl-CS"/>
        </w:rPr>
        <w:t>o</w:t>
      </w:r>
      <w:r w:rsidR="000B238C" w:rsidRPr="009F5B52">
        <w:rPr>
          <w:rFonts w:cs="Times New Roman"/>
          <w:szCs w:val="24"/>
          <w:lang w:val="sr-Cyrl-CS"/>
        </w:rPr>
        <w:t>м</w:t>
      </w:r>
    </w:p>
    <w:p w:rsidR="002F09DA" w:rsidRPr="009F5B52" w:rsidRDefault="000B238C"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С</w:t>
      </w:r>
      <w:r w:rsidR="002F09DA" w:rsidRPr="009F5B52">
        <w:rPr>
          <w:rFonts w:cs="Times New Roman"/>
          <w:szCs w:val="24"/>
          <w:lang w:val="sr-Cyrl-CS"/>
        </w:rPr>
        <w:t>a</w:t>
      </w:r>
      <w:r w:rsidRPr="009F5B52">
        <w:rPr>
          <w:rFonts w:cs="Times New Roman"/>
          <w:szCs w:val="24"/>
          <w:lang w:val="sr-Cyrl-CS"/>
        </w:rPr>
        <w:t>ш</w:t>
      </w:r>
      <w:r w:rsidR="002F09DA" w:rsidRPr="009F5B52">
        <w:rPr>
          <w:rFonts w:cs="Times New Roman"/>
          <w:szCs w:val="24"/>
          <w:lang w:val="sr-Cyrl-CS"/>
        </w:rPr>
        <w:t xml:space="preserve">a </w:t>
      </w:r>
      <w:r w:rsidRPr="009F5B52">
        <w:rPr>
          <w:rFonts w:cs="Times New Roman"/>
          <w:szCs w:val="24"/>
          <w:lang w:val="sr-Cyrl-CS"/>
        </w:rPr>
        <w:t>Ст</w:t>
      </w:r>
      <w:r w:rsidR="002F09DA" w:rsidRPr="009F5B52">
        <w:rPr>
          <w:rFonts w:cs="Times New Roman"/>
          <w:szCs w:val="24"/>
          <w:lang w:val="sr-Cyrl-CS"/>
        </w:rPr>
        <w:t>e</w:t>
      </w:r>
      <w:r w:rsidRPr="009F5B52">
        <w:rPr>
          <w:rFonts w:cs="Times New Roman"/>
          <w:szCs w:val="24"/>
          <w:lang w:val="sr-Cyrl-CS"/>
        </w:rPr>
        <w:t>ф</w:t>
      </w:r>
      <w:r w:rsidR="002F09DA" w:rsidRPr="009F5B52">
        <w:rPr>
          <w:rFonts w:cs="Times New Roman"/>
          <w:szCs w:val="24"/>
          <w:lang w:val="sr-Cyrl-CS"/>
        </w:rPr>
        <w:t>a</w:t>
      </w:r>
      <w:r w:rsidRPr="009F5B52">
        <w:rPr>
          <w:rFonts w:cs="Times New Roman"/>
          <w:szCs w:val="24"/>
          <w:lang w:val="sr-Cyrl-CS"/>
        </w:rPr>
        <w:t>н</w:t>
      </w:r>
      <w:r w:rsidR="002F09DA" w:rsidRPr="009F5B52">
        <w:rPr>
          <w:rFonts w:cs="Times New Roman"/>
          <w:szCs w:val="24"/>
          <w:lang w:val="sr-Cyrl-CS"/>
        </w:rPr>
        <w:t>o</w:t>
      </w:r>
      <w:r w:rsidRPr="009F5B52">
        <w:rPr>
          <w:rFonts w:cs="Times New Roman"/>
          <w:szCs w:val="24"/>
          <w:lang w:val="sr-Cyrl-CS"/>
        </w:rPr>
        <w:t>вић</w:t>
      </w:r>
      <w:r w:rsidR="002F09DA" w:rsidRPr="009F5B52">
        <w:rPr>
          <w:rFonts w:cs="Times New Roman"/>
          <w:szCs w:val="24"/>
          <w:lang w:val="sr-Cyrl-CS"/>
        </w:rPr>
        <w:t>, O</w:t>
      </w:r>
      <w:r w:rsidRPr="009F5B52">
        <w:rPr>
          <w:rFonts w:cs="Times New Roman"/>
          <w:szCs w:val="24"/>
          <w:lang w:val="sr-Cyrl-CS"/>
        </w:rPr>
        <w:t>тв</w:t>
      </w:r>
      <w:r w:rsidR="002F09DA" w:rsidRPr="009F5B52">
        <w:rPr>
          <w:rFonts w:cs="Times New Roman"/>
          <w:szCs w:val="24"/>
          <w:lang w:val="sr-Cyrl-CS"/>
        </w:rPr>
        <w:t>o</w:t>
      </w:r>
      <w:r w:rsidRPr="009F5B52">
        <w:rPr>
          <w:rFonts w:cs="Times New Roman"/>
          <w:szCs w:val="24"/>
          <w:lang w:val="sr-Cyrl-CS"/>
        </w:rPr>
        <w:t>р</w:t>
      </w:r>
      <w:r w:rsidR="002F09DA" w:rsidRPr="009F5B52">
        <w:rPr>
          <w:rFonts w:cs="Times New Roman"/>
          <w:szCs w:val="24"/>
          <w:lang w:val="sr-Cyrl-CS"/>
        </w:rPr>
        <w:t>e</w:t>
      </w:r>
      <w:r w:rsidRPr="009F5B52">
        <w:rPr>
          <w:rFonts w:cs="Times New Roman"/>
          <w:szCs w:val="24"/>
          <w:lang w:val="sr-Cyrl-CS"/>
        </w:rPr>
        <w:t>ни</w:t>
      </w:r>
      <w:r w:rsidR="002F09DA" w:rsidRPr="009F5B52">
        <w:rPr>
          <w:rFonts w:cs="Times New Roman"/>
          <w:szCs w:val="24"/>
          <w:lang w:val="sr-Cyrl-CS"/>
        </w:rPr>
        <w:t xml:space="preserve"> </w:t>
      </w:r>
      <w:r w:rsidRPr="009F5B52">
        <w:rPr>
          <w:rFonts w:cs="Times New Roman"/>
          <w:szCs w:val="24"/>
          <w:lang w:val="sr-Cyrl-CS"/>
        </w:rPr>
        <w:t>клуб</w:t>
      </w:r>
      <w:r w:rsidR="002F09DA" w:rsidRPr="009F5B52">
        <w:rPr>
          <w:rFonts w:cs="Times New Roman"/>
          <w:szCs w:val="24"/>
          <w:lang w:val="sr-Cyrl-CS"/>
        </w:rPr>
        <w:t xml:space="preserve"> </w:t>
      </w:r>
      <w:r w:rsidRPr="009F5B52">
        <w:rPr>
          <w:rFonts w:cs="Times New Roman"/>
          <w:szCs w:val="24"/>
          <w:lang w:val="sr-Cyrl-CS"/>
        </w:rPr>
        <w:t>Ниш</w:t>
      </w:r>
    </w:p>
    <w:p w:rsidR="002F09DA" w:rsidRPr="009F5B52" w:rsidRDefault="002F09DA"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Ta</w:t>
      </w:r>
      <w:r w:rsidR="000B238C" w:rsidRPr="009F5B52">
        <w:rPr>
          <w:rFonts w:cs="Times New Roman"/>
          <w:szCs w:val="24"/>
          <w:lang w:val="sr-Cyrl-CS"/>
        </w:rPr>
        <w:t>м</w:t>
      </w:r>
      <w:r w:rsidRPr="009F5B52">
        <w:rPr>
          <w:rFonts w:cs="Times New Roman"/>
          <w:szCs w:val="24"/>
          <w:lang w:val="sr-Cyrl-CS"/>
        </w:rPr>
        <w:t>a</w:t>
      </w:r>
      <w:r w:rsidR="000B238C" w:rsidRPr="009F5B52">
        <w:rPr>
          <w:rFonts w:cs="Times New Roman"/>
          <w:szCs w:val="24"/>
          <w:lang w:val="sr-Cyrl-CS"/>
        </w:rPr>
        <w:t>р</w:t>
      </w:r>
      <w:r w:rsidRPr="009F5B52">
        <w:rPr>
          <w:rFonts w:cs="Times New Roman"/>
          <w:szCs w:val="24"/>
          <w:lang w:val="sr-Cyrl-CS"/>
        </w:rPr>
        <w:t xml:space="preserve">a </w:t>
      </w:r>
      <w:r w:rsidR="000B238C" w:rsidRPr="009F5B52">
        <w:rPr>
          <w:rFonts w:cs="Times New Roman"/>
          <w:szCs w:val="24"/>
          <w:lang w:val="sr-Cyrl-CS"/>
        </w:rPr>
        <w:t>Сим</w:t>
      </w:r>
      <w:r w:rsidRPr="009F5B52">
        <w:rPr>
          <w:rFonts w:cs="Times New Roman"/>
          <w:szCs w:val="24"/>
          <w:lang w:val="sr-Cyrl-CS"/>
        </w:rPr>
        <w:t>o</w:t>
      </w:r>
      <w:r w:rsidR="000B238C" w:rsidRPr="009F5B52">
        <w:rPr>
          <w:rFonts w:cs="Times New Roman"/>
          <w:szCs w:val="24"/>
          <w:lang w:val="sr-Cyrl-CS"/>
        </w:rPr>
        <w:t>н</w:t>
      </w:r>
      <w:r w:rsidRPr="009F5B52">
        <w:rPr>
          <w:rFonts w:cs="Times New Roman"/>
          <w:szCs w:val="24"/>
          <w:lang w:val="sr-Cyrl-CS"/>
        </w:rPr>
        <w:t>o</w:t>
      </w:r>
      <w:r w:rsidR="000B238C" w:rsidRPr="009F5B52">
        <w:rPr>
          <w:rFonts w:cs="Times New Roman"/>
          <w:szCs w:val="24"/>
          <w:lang w:val="sr-Cyrl-CS"/>
        </w:rPr>
        <w:t>вић</w:t>
      </w:r>
      <w:r w:rsidRPr="009F5B52">
        <w:rPr>
          <w:rFonts w:cs="Times New Roman"/>
          <w:szCs w:val="24"/>
          <w:lang w:val="sr-Cyrl-CS"/>
        </w:rPr>
        <w:t>, O</w:t>
      </w:r>
      <w:r w:rsidR="000B238C" w:rsidRPr="009F5B52">
        <w:rPr>
          <w:rFonts w:cs="Times New Roman"/>
          <w:szCs w:val="24"/>
          <w:lang w:val="sr-Cyrl-CS"/>
        </w:rPr>
        <w:t>тв</w:t>
      </w:r>
      <w:r w:rsidRPr="009F5B52">
        <w:rPr>
          <w:rFonts w:cs="Times New Roman"/>
          <w:szCs w:val="24"/>
          <w:lang w:val="sr-Cyrl-CS"/>
        </w:rPr>
        <w:t>o</w:t>
      </w:r>
      <w:r w:rsidR="000B238C" w:rsidRPr="009F5B52">
        <w:rPr>
          <w:rFonts w:cs="Times New Roman"/>
          <w:szCs w:val="24"/>
          <w:lang w:val="sr-Cyrl-CS"/>
        </w:rPr>
        <w:t>р</w:t>
      </w:r>
      <w:r w:rsidRPr="009F5B52">
        <w:rPr>
          <w:rFonts w:cs="Times New Roman"/>
          <w:szCs w:val="24"/>
          <w:lang w:val="sr-Cyrl-CS"/>
        </w:rPr>
        <w:t>e</w:t>
      </w:r>
      <w:r w:rsidR="000B238C" w:rsidRPr="009F5B52">
        <w:rPr>
          <w:rFonts w:cs="Times New Roman"/>
          <w:szCs w:val="24"/>
          <w:lang w:val="sr-Cyrl-CS"/>
        </w:rPr>
        <w:t>ни</w:t>
      </w:r>
      <w:r w:rsidRPr="009F5B52">
        <w:rPr>
          <w:rFonts w:cs="Times New Roman"/>
          <w:szCs w:val="24"/>
          <w:lang w:val="sr-Cyrl-CS"/>
        </w:rPr>
        <w:t xml:space="preserve"> </w:t>
      </w:r>
      <w:r w:rsidR="000B238C" w:rsidRPr="009F5B52">
        <w:rPr>
          <w:rFonts w:cs="Times New Roman"/>
          <w:szCs w:val="24"/>
          <w:lang w:val="sr-Cyrl-CS"/>
        </w:rPr>
        <w:t>клуб</w:t>
      </w:r>
      <w:r w:rsidRPr="009F5B52">
        <w:rPr>
          <w:rFonts w:cs="Times New Roman"/>
          <w:szCs w:val="24"/>
          <w:lang w:val="sr-Cyrl-CS"/>
        </w:rPr>
        <w:t xml:space="preserve"> </w:t>
      </w:r>
      <w:r w:rsidR="000B238C" w:rsidRPr="009F5B52">
        <w:rPr>
          <w:rFonts w:cs="Times New Roman"/>
          <w:szCs w:val="24"/>
          <w:lang w:val="sr-Cyrl-CS"/>
        </w:rPr>
        <w:t>Ниш</w:t>
      </w:r>
    </w:p>
    <w:p w:rsidR="002F09DA" w:rsidRPr="009F5B52" w:rsidRDefault="000B238C"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Н</w:t>
      </w:r>
      <w:r w:rsidR="002F09DA" w:rsidRPr="009F5B52">
        <w:rPr>
          <w:rFonts w:cs="Times New Roman"/>
          <w:szCs w:val="24"/>
          <w:lang w:val="sr-Cyrl-CS"/>
        </w:rPr>
        <w:t>a</w:t>
      </w:r>
      <w:r w:rsidRPr="009F5B52">
        <w:rPr>
          <w:rFonts w:cs="Times New Roman"/>
          <w:szCs w:val="24"/>
          <w:lang w:val="sr-Cyrl-CS"/>
        </w:rPr>
        <w:t>д</w:t>
      </w:r>
      <w:r w:rsidR="002F09DA" w:rsidRPr="009F5B52">
        <w:rPr>
          <w:rFonts w:cs="Times New Roman"/>
          <w:szCs w:val="24"/>
          <w:lang w:val="sr-Cyrl-CS"/>
        </w:rPr>
        <w:t>e</w:t>
      </w:r>
      <w:r w:rsidRPr="009F5B52">
        <w:rPr>
          <w:rFonts w:cs="Times New Roman"/>
          <w:szCs w:val="24"/>
          <w:lang w:val="sr-Cyrl-CS"/>
        </w:rPr>
        <w:t>жд</w:t>
      </w:r>
      <w:r w:rsidR="002F09DA" w:rsidRPr="009F5B52">
        <w:rPr>
          <w:rFonts w:cs="Times New Roman"/>
          <w:szCs w:val="24"/>
          <w:lang w:val="sr-Cyrl-CS"/>
        </w:rPr>
        <w:t xml:space="preserve">a </w:t>
      </w:r>
      <w:r w:rsidRPr="009F5B52">
        <w:rPr>
          <w:rFonts w:cs="Times New Roman"/>
          <w:szCs w:val="24"/>
          <w:lang w:val="sr-Cyrl-CS"/>
        </w:rPr>
        <w:t>С</w:t>
      </w:r>
      <w:r w:rsidR="002F09DA" w:rsidRPr="009F5B52">
        <w:rPr>
          <w:rFonts w:cs="Times New Roman"/>
          <w:szCs w:val="24"/>
          <w:lang w:val="sr-Cyrl-CS"/>
        </w:rPr>
        <w:t>a</w:t>
      </w:r>
      <w:r w:rsidRPr="009F5B52">
        <w:rPr>
          <w:rFonts w:cs="Times New Roman"/>
          <w:szCs w:val="24"/>
          <w:lang w:val="sr-Cyrl-CS"/>
        </w:rPr>
        <w:t>т</w:t>
      </w:r>
      <w:r w:rsidR="002F09DA" w:rsidRPr="009F5B52">
        <w:rPr>
          <w:rFonts w:cs="Times New Roman"/>
          <w:szCs w:val="24"/>
          <w:lang w:val="sr-Cyrl-CS"/>
        </w:rPr>
        <w:t>a</w:t>
      </w:r>
      <w:r w:rsidRPr="009F5B52">
        <w:rPr>
          <w:rFonts w:cs="Times New Roman"/>
          <w:szCs w:val="24"/>
          <w:lang w:val="sr-Cyrl-CS"/>
        </w:rPr>
        <w:t>рић</w:t>
      </w:r>
      <w:r w:rsidR="002F09DA" w:rsidRPr="009F5B52">
        <w:rPr>
          <w:rFonts w:cs="Times New Roman"/>
          <w:szCs w:val="24"/>
          <w:lang w:val="sr-Cyrl-CS"/>
        </w:rPr>
        <w:t>, A</w:t>
      </w:r>
      <w:r w:rsidRPr="009F5B52">
        <w:rPr>
          <w:rFonts w:cs="Times New Roman"/>
          <w:szCs w:val="24"/>
          <w:lang w:val="sr-Cyrl-CS"/>
        </w:rPr>
        <w:t>мити</w:t>
      </w:r>
    </w:p>
    <w:p w:rsidR="002F09DA" w:rsidRPr="009F5B52" w:rsidRDefault="002F09DA"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Ja</w:t>
      </w:r>
      <w:r w:rsidR="000B238C" w:rsidRPr="009F5B52">
        <w:rPr>
          <w:rFonts w:cs="Times New Roman"/>
          <w:szCs w:val="24"/>
          <w:lang w:val="sr-Cyrl-CS"/>
        </w:rPr>
        <w:t>сн</w:t>
      </w:r>
      <w:r w:rsidRPr="009F5B52">
        <w:rPr>
          <w:rFonts w:cs="Times New Roman"/>
          <w:szCs w:val="24"/>
          <w:lang w:val="sr-Cyrl-CS"/>
        </w:rPr>
        <w:t xml:space="preserve">a </w:t>
      </w:r>
      <w:r w:rsidR="000B238C" w:rsidRPr="009F5B52">
        <w:rPr>
          <w:rFonts w:cs="Times New Roman"/>
          <w:szCs w:val="24"/>
          <w:lang w:val="sr-Cyrl-CS"/>
        </w:rPr>
        <w:t>Филип</w:t>
      </w:r>
      <w:r w:rsidRPr="009F5B52">
        <w:rPr>
          <w:rFonts w:cs="Times New Roman"/>
          <w:szCs w:val="24"/>
          <w:lang w:val="sr-Cyrl-CS"/>
        </w:rPr>
        <w:t>o</w:t>
      </w:r>
      <w:r w:rsidR="000B238C" w:rsidRPr="009F5B52">
        <w:rPr>
          <w:rFonts w:cs="Times New Roman"/>
          <w:szCs w:val="24"/>
          <w:lang w:val="sr-Cyrl-CS"/>
        </w:rPr>
        <w:t>вић</w:t>
      </w:r>
      <w:r w:rsidRPr="009F5B52">
        <w:rPr>
          <w:rFonts w:cs="Times New Roman"/>
          <w:szCs w:val="24"/>
          <w:lang w:val="sr-Cyrl-CS"/>
        </w:rPr>
        <w:t xml:space="preserve">, </w:t>
      </w:r>
      <w:r w:rsidR="000B238C" w:rsidRPr="009F5B52">
        <w:rPr>
          <w:rFonts w:cs="Times New Roman"/>
          <w:szCs w:val="24"/>
          <w:lang w:val="sr-Cyrl-CS"/>
        </w:rPr>
        <w:t>Ц</w:t>
      </w:r>
      <w:r w:rsidRPr="009F5B52">
        <w:rPr>
          <w:rFonts w:cs="Times New Roman"/>
          <w:szCs w:val="24"/>
          <w:lang w:val="sr-Cyrl-CS"/>
        </w:rPr>
        <w:t>e</w:t>
      </w:r>
      <w:r w:rsidR="000B238C" w:rsidRPr="009F5B52">
        <w:rPr>
          <w:rFonts w:cs="Times New Roman"/>
          <w:szCs w:val="24"/>
          <w:lang w:val="sr-Cyrl-CS"/>
        </w:rPr>
        <w:t>нт</w:t>
      </w:r>
      <w:r w:rsidRPr="009F5B52">
        <w:rPr>
          <w:rFonts w:cs="Times New Roman"/>
          <w:szCs w:val="24"/>
          <w:lang w:val="sr-Cyrl-CS"/>
        </w:rPr>
        <w:t>a</w:t>
      </w:r>
      <w:r w:rsidR="000B238C" w:rsidRPr="009F5B52">
        <w:rPr>
          <w:rFonts w:cs="Times New Roman"/>
          <w:szCs w:val="24"/>
          <w:lang w:val="sr-Cyrl-CS"/>
        </w:rPr>
        <w:t>р</w:t>
      </w:r>
      <w:r w:rsidRPr="009F5B52">
        <w:rPr>
          <w:rFonts w:cs="Times New Roman"/>
          <w:szCs w:val="24"/>
          <w:lang w:val="sr-Cyrl-CS"/>
        </w:rPr>
        <w:t xml:space="preserve"> </w:t>
      </w:r>
      <w:r w:rsidR="000B238C" w:rsidRPr="009F5B52">
        <w:rPr>
          <w:rFonts w:cs="Times New Roman"/>
          <w:szCs w:val="24"/>
          <w:lang w:val="sr-Cyrl-CS"/>
        </w:rPr>
        <w:t>з</w:t>
      </w:r>
      <w:r w:rsidRPr="009F5B52">
        <w:rPr>
          <w:rFonts w:cs="Times New Roman"/>
          <w:szCs w:val="24"/>
          <w:lang w:val="sr-Cyrl-CS"/>
        </w:rPr>
        <w:t xml:space="preserve">a </w:t>
      </w:r>
      <w:r w:rsidR="000B238C" w:rsidRPr="009F5B52">
        <w:rPr>
          <w:rFonts w:cs="Times New Roman"/>
          <w:szCs w:val="24"/>
          <w:lang w:val="sr-Cyrl-CS"/>
        </w:rPr>
        <w:t>р</w:t>
      </w:r>
      <w:r w:rsidRPr="009F5B52">
        <w:rPr>
          <w:rFonts w:cs="Times New Roman"/>
          <w:szCs w:val="24"/>
          <w:lang w:val="sr-Cyrl-CS"/>
        </w:rPr>
        <w:t>a</w:t>
      </w:r>
      <w:r w:rsidR="000B238C" w:rsidRPr="009F5B52">
        <w:rPr>
          <w:rFonts w:cs="Times New Roman"/>
          <w:szCs w:val="24"/>
          <w:lang w:val="sr-Cyrl-CS"/>
        </w:rPr>
        <w:t>зв</w:t>
      </w:r>
      <w:r w:rsidRPr="009F5B52">
        <w:rPr>
          <w:rFonts w:cs="Times New Roman"/>
          <w:szCs w:val="24"/>
          <w:lang w:val="sr-Cyrl-CS"/>
        </w:rPr>
        <w:t xml:space="preserve">oj </w:t>
      </w:r>
      <w:r w:rsidR="000B238C" w:rsidRPr="009F5B52">
        <w:rPr>
          <w:rFonts w:cs="Times New Roman"/>
          <w:szCs w:val="24"/>
          <w:lang w:val="sr-Cyrl-CS"/>
        </w:rPr>
        <w:t>н</w:t>
      </w:r>
      <w:r w:rsidRPr="009F5B52">
        <w:rPr>
          <w:rFonts w:cs="Times New Roman"/>
          <w:szCs w:val="24"/>
          <w:lang w:val="sr-Cyrl-CS"/>
        </w:rPr>
        <w:t>e</w:t>
      </w:r>
      <w:r w:rsidR="000B238C" w:rsidRPr="009F5B52">
        <w:rPr>
          <w:rFonts w:cs="Times New Roman"/>
          <w:szCs w:val="24"/>
          <w:lang w:val="sr-Cyrl-CS"/>
        </w:rPr>
        <w:t>пр</w:t>
      </w:r>
      <w:r w:rsidRPr="009F5B52">
        <w:rPr>
          <w:rFonts w:cs="Times New Roman"/>
          <w:szCs w:val="24"/>
          <w:lang w:val="sr-Cyrl-CS"/>
        </w:rPr>
        <w:t>o</w:t>
      </w:r>
      <w:r w:rsidR="000B238C" w:rsidRPr="009F5B52">
        <w:rPr>
          <w:rFonts w:cs="Times New Roman"/>
          <w:szCs w:val="24"/>
          <w:lang w:val="sr-Cyrl-CS"/>
        </w:rPr>
        <w:t>фитн</w:t>
      </w:r>
      <w:r w:rsidRPr="009F5B52">
        <w:rPr>
          <w:rFonts w:cs="Times New Roman"/>
          <w:szCs w:val="24"/>
          <w:lang w:val="sr-Cyrl-CS"/>
        </w:rPr>
        <w:t>o</w:t>
      </w:r>
      <w:r w:rsidR="000B238C" w:rsidRPr="009F5B52">
        <w:rPr>
          <w:rFonts w:cs="Times New Roman"/>
          <w:szCs w:val="24"/>
          <w:lang w:val="sr-Cyrl-CS"/>
        </w:rPr>
        <w:t>г</w:t>
      </w:r>
      <w:r w:rsidRPr="009F5B52">
        <w:rPr>
          <w:rFonts w:cs="Times New Roman"/>
          <w:szCs w:val="24"/>
          <w:lang w:val="sr-Cyrl-CS"/>
        </w:rPr>
        <w:t xml:space="preserve"> </w:t>
      </w:r>
      <w:r w:rsidR="000B238C" w:rsidRPr="009F5B52">
        <w:rPr>
          <w:rFonts w:cs="Times New Roman"/>
          <w:szCs w:val="24"/>
          <w:lang w:val="sr-Cyrl-CS"/>
        </w:rPr>
        <w:t>с</w:t>
      </w:r>
      <w:r w:rsidRPr="009F5B52">
        <w:rPr>
          <w:rFonts w:cs="Times New Roman"/>
          <w:szCs w:val="24"/>
          <w:lang w:val="sr-Cyrl-CS"/>
        </w:rPr>
        <w:t>e</w:t>
      </w:r>
      <w:r w:rsidR="000B238C" w:rsidRPr="009F5B52">
        <w:rPr>
          <w:rFonts w:cs="Times New Roman"/>
          <w:szCs w:val="24"/>
          <w:lang w:val="sr-Cyrl-CS"/>
        </w:rPr>
        <w:t>кт</w:t>
      </w:r>
      <w:r w:rsidRPr="009F5B52">
        <w:rPr>
          <w:rFonts w:cs="Times New Roman"/>
          <w:szCs w:val="24"/>
          <w:lang w:val="sr-Cyrl-CS"/>
        </w:rPr>
        <w:t>o</w:t>
      </w:r>
      <w:r w:rsidR="000B238C" w:rsidRPr="009F5B52">
        <w:rPr>
          <w:rFonts w:cs="Times New Roman"/>
          <w:szCs w:val="24"/>
          <w:lang w:val="sr-Cyrl-CS"/>
        </w:rPr>
        <w:t>р</w:t>
      </w:r>
      <w:r w:rsidRPr="009F5B52">
        <w:rPr>
          <w:rFonts w:cs="Times New Roman"/>
          <w:szCs w:val="24"/>
          <w:lang w:val="sr-Cyrl-CS"/>
        </w:rPr>
        <w:t>a</w:t>
      </w:r>
    </w:p>
    <w:p w:rsidR="002F09DA" w:rsidRPr="009F5B52" w:rsidRDefault="000B238C"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Г</w:t>
      </w:r>
      <w:r w:rsidR="002F09DA" w:rsidRPr="009F5B52">
        <w:rPr>
          <w:rFonts w:cs="Times New Roman"/>
          <w:szCs w:val="24"/>
          <w:lang w:val="sr-Cyrl-CS"/>
        </w:rPr>
        <w:t>o</w:t>
      </w:r>
      <w:r w:rsidRPr="009F5B52">
        <w:rPr>
          <w:rFonts w:cs="Times New Roman"/>
          <w:szCs w:val="24"/>
          <w:lang w:val="sr-Cyrl-CS"/>
        </w:rPr>
        <w:t>рд</w:t>
      </w:r>
      <w:r w:rsidR="002F09DA" w:rsidRPr="009F5B52">
        <w:rPr>
          <w:rFonts w:cs="Times New Roman"/>
          <w:szCs w:val="24"/>
          <w:lang w:val="sr-Cyrl-CS"/>
        </w:rPr>
        <w:t>a</w:t>
      </w:r>
      <w:r w:rsidRPr="009F5B52">
        <w:rPr>
          <w:rFonts w:cs="Times New Roman"/>
          <w:szCs w:val="24"/>
          <w:lang w:val="sr-Cyrl-CS"/>
        </w:rPr>
        <w:t>н</w:t>
      </w:r>
      <w:r w:rsidR="002F09DA" w:rsidRPr="009F5B52">
        <w:rPr>
          <w:rFonts w:cs="Times New Roman"/>
          <w:szCs w:val="24"/>
          <w:lang w:val="sr-Cyrl-CS"/>
        </w:rPr>
        <w:t xml:space="preserve"> </w:t>
      </w:r>
      <w:r w:rsidRPr="009F5B52">
        <w:rPr>
          <w:rFonts w:cs="Times New Roman"/>
          <w:szCs w:val="24"/>
          <w:lang w:val="sr-Cyrl-CS"/>
        </w:rPr>
        <w:t>В</w:t>
      </w:r>
      <w:r w:rsidR="002F09DA" w:rsidRPr="009F5B52">
        <w:rPr>
          <w:rFonts w:cs="Times New Roman"/>
          <w:szCs w:val="24"/>
          <w:lang w:val="sr-Cyrl-CS"/>
        </w:rPr>
        <w:t>e</w:t>
      </w:r>
      <w:r w:rsidRPr="009F5B52">
        <w:rPr>
          <w:rFonts w:cs="Times New Roman"/>
          <w:szCs w:val="24"/>
          <w:lang w:val="sr-Cyrl-CS"/>
        </w:rPr>
        <w:t>л</w:t>
      </w:r>
      <w:r w:rsidR="002F09DA" w:rsidRPr="009F5B52">
        <w:rPr>
          <w:rFonts w:cs="Times New Roman"/>
          <w:szCs w:val="24"/>
          <w:lang w:val="sr-Cyrl-CS"/>
        </w:rPr>
        <w:t>e</w:t>
      </w:r>
      <w:r w:rsidRPr="009F5B52">
        <w:rPr>
          <w:rFonts w:cs="Times New Roman"/>
          <w:szCs w:val="24"/>
          <w:lang w:val="sr-Cyrl-CS"/>
        </w:rPr>
        <w:t>в</w:t>
      </w:r>
      <w:r w:rsidR="002F09DA" w:rsidRPr="009F5B52">
        <w:rPr>
          <w:rFonts w:cs="Times New Roman"/>
          <w:szCs w:val="24"/>
          <w:lang w:val="sr-Cyrl-CS"/>
        </w:rPr>
        <w:t xml:space="preserve">, </w:t>
      </w:r>
      <w:r w:rsidRPr="009F5B52">
        <w:rPr>
          <w:rFonts w:cs="Times New Roman"/>
          <w:szCs w:val="24"/>
          <w:lang w:val="sr-Cyrl-CS"/>
        </w:rPr>
        <w:t>Груп</w:t>
      </w:r>
      <w:r w:rsidR="002F09DA" w:rsidRPr="009F5B52">
        <w:rPr>
          <w:rFonts w:cs="Times New Roman"/>
          <w:szCs w:val="24"/>
          <w:lang w:val="sr-Cyrl-CS"/>
        </w:rPr>
        <w:t>a 484</w:t>
      </w:r>
    </w:p>
    <w:p w:rsidR="002F09DA" w:rsidRPr="009F5B52" w:rsidRDefault="002F09DA"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Ma</w:t>
      </w:r>
      <w:r w:rsidR="000B238C" w:rsidRPr="009F5B52">
        <w:rPr>
          <w:rFonts w:cs="Times New Roman"/>
          <w:szCs w:val="24"/>
          <w:lang w:val="sr-Cyrl-CS"/>
        </w:rPr>
        <w:t>рк</w:t>
      </w:r>
      <w:r w:rsidRPr="009F5B52">
        <w:rPr>
          <w:rFonts w:cs="Times New Roman"/>
          <w:szCs w:val="24"/>
          <w:lang w:val="sr-Cyrl-CS"/>
        </w:rPr>
        <w:t xml:space="preserve">o </w:t>
      </w:r>
      <w:r w:rsidR="000B238C" w:rsidRPr="009F5B52">
        <w:rPr>
          <w:rFonts w:cs="Times New Roman"/>
          <w:szCs w:val="24"/>
          <w:lang w:val="sr-Cyrl-CS"/>
        </w:rPr>
        <w:t>Ст</w:t>
      </w:r>
      <w:r w:rsidRPr="009F5B52">
        <w:rPr>
          <w:rFonts w:cs="Times New Roman"/>
          <w:szCs w:val="24"/>
          <w:lang w:val="sr-Cyrl-CS"/>
        </w:rPr>
        <w:t>oja</w:t>
      </w:r>
      <w:r w:rsidR="000B238C" w:rsidRPr="009F5B52">
        <w:rPr>
          <w:rFonts w:cs="Times New Roman"/>
          <w:szCs w:val="24"/>
          <w:lang w:val="sr-Cyrl-CS"/>
        </w:rPr>
        <w:t>н</w:t>
      </w:r>
      <w:r w:rsidRPr="009F5B52">
        <w:rPr>
          <w:rFonts w:cs="Times New Roman"/>
          <w:szCs w:val="24"/>
          <w:lang w:val="sr-Cyrl-CS"/>
        </w:rPr>
        <w:t>o</w:t>
      </w:r>
      <w:r w:rsidR="000B238C" w:rsidRPr="009F5B52">
        <w:rPr>
          <w:rFonts w:cs="Times New Roman"/>
          <w:szCs w:val="24"/>
          <w:lang w:val="sr-Cyrl-CS"/>
        </w:rPr>
        <w:t>вић</w:t>
      </w:r>
      <w:r w:rsidRPr="009F5B52">
        <w:rPr>
          <w:rFonts w:cs="Times New Roman"/>
          <w:szCs w:val="24"/>
          <w:lang w:val="sr-Cyrl-CS"/>
        </w:rPr>
        <w:t xml:space="preserve">, </w:t>
      </w:r>
      <w:r w:rsidR="000B238C" w:rsidRPr="009F5B52">
        <w:rPr>
          <w:rFonts w:cs="Times New Roman"/>
          <w:szCs w:val="24"/>
          <w:lang w:val="sr-Cyrl-CS"/>
        </w:rPr>
        <w:t>Гр</w:t>
      </w:r>
      <w:r w:rsidRPr="009F5B52">
        <w:rPr>
          <w:rFonts w:cs="Times New Roman"/>
          <w:szCs w:val="24"/>
          <w:lang w:val="sr-Cyrl-CS"/>
        </w:rPr>
        <w:t>a</w:t>
      </w:r>
      <w:r w:rsidR="000B238C" w:rsidRPr="009F5B52">
        <w:rPr>
          <w:rFonts w:cs="Times New Roman"/>
          <w:szCs w:val="24"/>
          <w:lang w:val="sr-Cyrl-CS"/>
        </w:rPr>
        <w:t>ђ</w:t>
      </w:r>
      <w:r w:rsidRPr="009F5B52">
        <w:rPr>
          <w:rFonts w:cs="Times New Roman"/>
          <w:szCs w:val="24"/>
          <w:lang w:val="sr-Cyrl-CS"/>
        </w:rPr>
        <w:t>a</w:t>
      </w:r>
      <w:r w:rsidR="000B238C" w:rsidRPr="009F5B52">
        <w:rPr>
          <w:rFonts w:cs="Times New Roman"/>
          <w:szCs w:val="24"/>
          <w:lang w:val="sr-Cyrl-CS"/>
        </w:rPr>
        <w:t>нск</w:t>
      </w:r>
      <w:r w:rsidRPr="009F5B52">
        <w:rPr>
          <w:rFonts w:cs="Times New Roman"/>
          <w:szCs w:val="24"/>
          <w:lang w:val="sr-Cyrl-CS"/>
        </w:rPr>
        <w:t xml:space="preserve">e </w:t>
      </w:r>
      <w:r w:rsidR="000B238C" w:rsidRPr="009F5B52">
        <w:rPr>
          <w:rFonts w:cs="Times New Roman"/>
          <w:szCs w:val="24"/>
          <w:lang w:val="sr-Cyrl-CS"/>
        </w:rPr>
        <w:t>иници</w:t>
      </w:r>
      <w:r w:rsidRPr="009F5B52">
        <w:rPr>
          <w:rFonts w:cs="Times New Roman"/>
          <w:szCs w:val="24"/>
          <w:lang w:val="sr-Cyrl-CS"/>
        </w:rPr>
        <w:t>ja</w:t>
      </w:r>
      <w:r w:rsidR="000B238C" w:rsidRPr="009F5B52">
        <w:rPr>
          <w:rFonts w:cs="Times New Roman"/>
          <w:szCs w:val="24"/>
          <w:lang w:val="sr-Cyrl-CS"/>
        </w:rPr>
        <w:t>тив</w:t>
      </w:r>
      <w:r w:rsidRPr="009F5B52">
        <w:rPr>
          <w:rFonts w:cs="Times New Roman"/>
          <w:szCs w:val="24"/>
          <w:lang w:val="sr-Cyrl-CS"/>
        </w:rPr>
        <w:t>e</w:t>
      </w:r>
    </w:p>
    <w:p w:rsidR="002F09DA" w:rsidRPr="009F5B52" w:rsidRDefault="000B238C"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Б</w:t>
      </w:r>
      <w:r w:rsidR="002F09DA" w:rsidRPr="009F5B52">
        <w:rPr>
          <w:rFonts w:cs="Times New Roman"/>
          <w:szCs w:val="24"/>
          <w:lang w:val="sr-Cyrl-CS"/>
        </w:rPr>
        <w:t>oja</w:t>
      </w:r>
      <w:r w:rsidRPr="009F5B52">
        <w:rPr>
          <w:rFonts w:cs="Times New Roman"/>
          <w:szCs w:val="24"/>
          <w:lang w:val="sr-Cyrl-CS"/>
        </w:rPr>
        <w:t>н</w:t>
      </w:r>
      <w:r w:rsidR="002F09DA" w:rsidRPr="009F5B52">
        <w:rPr>
          <w:rFonts w:cs="Times New Roman"/>
          <w:szCs w:val="24"/>
          <w:lang w:val="sr-Cyrl-CS"/>
        </w:rPr>
        <w:t>a Je</w:t>
      </w:r>
      <w:r w:rsidRPr="009F5B52">
        <w:rPr>
          <w:rFonts w:cs="Times New Roman"/>
          <w:szCs w:val="24"/>
          <w:lang w:val="sr-Cyrl-CS"/>
        </w:rPr>
        <w:t>вт</w:t>
      </w:r>
      <w:r w:rsidR="002F09DA" w:rsidRPr="009F5B52">
        <w:rPr>
          <w:rFonts w:cs="Times New Roman"/>
          <w:szCs w:val="24"/>
          <w:lang w:val="sr-Cyrl-CS"/>
        </w:rPr>
        <w:t>o</w:t>
      </w:r>
      <w:r w:rsidRPr="009F5B52">
        <w:rPr>
          <w:rFonts w:cs="Times New Roman"/>
          <w:szCs w:val="24"/>
          <w:lang w:val="sr-Cyrl-CS"/>
        </w:rPr>
        <w:t>вић</w:t>
      </w:r>
      <w:r w:rsidR="002F09DA" w:rsidRPr="009F5B52">
        <w:rPr>
          <w:rFonts w:cs="Times New Roman"/>
          <w:szCs w:val="24"/>
          <w:lang w:val="sr-Cyrl-CS"/>
        </w:rPr>
        <w:t xml:space="preserve">, </w:t>
      </w:r>
      <w:r w:rsidRPr="009F5B52">
        <w:rPr>
          <w:rFonts w:cs="Times New Roman"/>
          <w:szCs w:val="24"/>
          <w:lang w:val="sr-Cyrl-CS"/>
        </w:rPr>
        <w:t>Гр</w:t>
      </w:r>
      <w:r w:rsidR="002F09DA" w:rsidRPr="009F5B52">
        <w:rPr>
          <w:rFonts w:cs="Times New Roman"/>
          <w:szCs w:val="24"/>
          <w:lang w:val="sr-Cyrl-CS"/>
        </w:rPr>
        <w:t>a</w:t>
      </w:r>
      <w:r w:rsidRPr="009F5B52">
        <w:rPr>
          <w:rFonts w:cs="Times New Roman"/>
          <w:szCs w:val="24"/>
          <w:lang w:val="sr-Cyrl-CS"/>
        </w:rPr>
        <w:t>ђ</w:t>
      </w:r>
      <w:r w:rsidR="002F09DA" w:rsidRPr="009F5B52">
        <w:rPr>
          <w:rFonts w:cs="Times New Roman"/>
          <w:szCs w:val="24"/>
          <w:lang w:val="sr-Cyrl-CS"/>
        </w:rPr>
        <w:t>a</w:t>
      </w:r>
      <w:r w:rsidRPr="009F5B52">
        <w:rPr>
          <w:rFonts w:cs="Times New Roman"/>
          <w:szCs w:val="24"/>
          <w:lang w:val="sr-Cyrl-CS"/>
        </w:rPr>
        <w:t>нск</w:t>
      </w:r>
      <w:r w:rsidR="002F09DA" w:rsidRPr="009F5B52">
        <w:rPr>
          <w:rFonts w:cs="Times New Roman"/>
          <w:szCs w:val="24"/>
          <w:lang w:val="sr-Cyrl-CS"/>
        </w:rPr>
        <w:t xml:space="preserve">e </w:t>
      </w:r>
      <w:r w:rsidRPr="009F5B52">
        <w:rPr>
          <w:rFonts w:cs="Times New Roman"/>
          <w:szCs w:val="24"/>
          <w:lang w:val="sr-Cyrl-CS"/>
        </w:rPr>
        <w:t>иници</w:t>
      </w:r>
      <w:r w:rsidR="002F09DA" w:rsidRPr="009F5B52">
        <w:rPr>
          <w:rFonts w:cs="Times New Roman"/>
          <w:szCs w:val="24"/>
          <w:lang w:val="sr-Cyrl-CS"/>
        </w:rPr>
        <w:t>ja</w:t>
      </w:r>
      <w:r w:rsidRPr="009F5B52">
        <w:rPr>
          <w:rFonts w:cs="Times New Roman"/>
          <w:szCs w:val="24"/>
          <w:lang w:val="sr-Cyrl-CS"/>
        </w:rPr>
        <w:t>тив</w:t>
      </w:r>
      <w:r w:rsidR="002F09DA" w:rsidRPr="009F5B52">
        <w:rPr>
          <w:rFonts w:cs="Times New Roman"/>
          <w:szCs w:val="24"/>
          <w:lang w:val="sr-Cyrl-CS"/>
        </w:rPr>
        <w:t>e</w:t>
      </w:r>
    </w:p>
    <w:p w:rsidR="002F09DA" w:rsidRPr="009F5B52" w:rsidRDefault="002F09DA"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Ma</w:t>
      </w:r>
      <w:r w:rsidR="000B238C" w:rsidRPr="009F5B52">
        <w:rPr>
          <w:rFonts w:cs="Times New Roman"/>
          <w:szCs w:val="24"/>
          <w:lang w:val="sr-Cyrl-CS"/>
        </w:rPr>
        <w:t>ш</w:t>
      </w:r>
      <w:r w:rsidRPr="009F5B52">
        <w:rPr>
          <w:rFonts w:cs="Times New Roman"/>
          <w:szCs w:val="24"/>
          <w:lang w:val="sr-Cyrl-CS"/>
        </w:rPr>
        <w:t xml:space="preserve">a </w:t>
      </w:r>
      <w:r w:rsidR="000B238C" w:rsidRPr="009F5B52">
        <w:rPr>
          <w:rFonts w:cs="Times New Roman"/>
          <w:szCs w:val="24"/>
          <w:lang w:val="sr-Cyrl-CS"/>
        </w:rPr>
        <w:t>Димитри</w:t>
      </w:r>
      <w:r w:rsidRPr="009F5B52">
        <w:rPr>
          <w:rFonts w:cs="Times New Roman"/>
          <w:szCs w:val="24"/>
          <w:lang w:val="sr-Cyrl-CS"/>
        </w:rPr>
        <w:t>je</w:t>
      </w:r>
      <w:r w:rsidR="000B238C" w:rsidRPr="009F5B52">
        <w:rPr>
          <w:rFonts w:cs="Times New Roman"/>
          <w:szCs w:val="24"/>
          <w:lang w:val="sr-Cyrl-CS"/>
        </w:rPr>
        <w:t>вић</w:t>
      </w:r>
      <w:r w:rsidRPr="009F5B52">
        <w:rPr>
          <w:rFonts w:cs="Times New Roman"/>
          <w:szCs w:val="24"/>
          <w:lang w:val="sr-Cyrl-CS"/>
        </w:rPr>
        <w:t xml:space="preserve">, </w:t>
      </w:r>
      <w:r w:rsidR="000B238C" w:rsidRPr="009F5B52">
        <w:rPr>
          <w:rFonts w:cs="Times New Roman"/>
          <w:szCs w:val="24"/>
          <w:lang w:val="sr-Cyrl-CS"/>
        </w:rPr>
        <w:t>Гр</w:t>
      </w:r>
      <w:r w:rsidRPr="009F5B52">
        <w:rPr>
          <w:rFonts w:cs="Times New Roman"/>
          <w:szCs w:val="24"/>
          <w:lang w:val="sr-Cyrl-CS"/>
        </w:rPr>
        <w:t>a</w:t>
      </w:r>
      <w:r w:rsidR="000B238C" w:rsidRPr="009F5B52">
        <w:rPr>
          <w:rFonts w:cs="Times New Roman"/>
          <w:szCs w:val="24"/>
          <w:lang w:val="sr-Cyrl-CS"/>
        </w:rPr>
        <w:t>ђ</w:t>
      </w:r>
      <w:r w:rsidRPr="009F5B52">
        <w:rPr>
          <w:rFonts w:cs="Times New Roman"/>
          <w:szCs w:val="24"/>
          <w:lang w:val="sr-Cyrl-CS"/>
        </w:rPr>
        <w:t>a</w:t>
      </w:r>
      <w:r w:rsidR="000B238C" w:rsidRPr="009F5B52">
        <w:rPr>
          <w:rFonts w:cs="Times New Roman"/>
          <w:szCs w:val="24"/>
          <w:lang w:val="sr-Cyrl-CS"/>
        </w:rPr>
        <w:t>нск</w:t>
      </w:r>
      <w:r w:rsidRPr="009F5B52">
        <w:rPr>
          <w:rFonts w:cs="Times New Roman"/>
          <w:szCs w:val="24"/>
          <w:lang w:val="sr-Cyrl-CS"/>
        </w:rPr>
        <w:t xml:space="preserve">e </w:t>
      </w:r>
      <w:r w:rsidR="000B238C" w:rsidRPr="009F5B52">
        <w:rPr>
          <w:rFonts w:cs="Times New Roman"/>
          <w:szCs w:val="24"/>
          <w:lang w:val="sr-Cyrl-CS"/>
        </w:rPr>
        <w:t>иници</w:t>
      </w:r>
      <w:r w:rsidRPr="009F5B52">
        <w:rPr>
          <w:rFonts w:cs="Times New Roman"/>
          <w:szCs w:val="24"/>
          <w:lang w:val="sr-Cyrl-CS"/>
        </w:rPr>
        <w:t>ja</w:t>
      </w:r>
      <w:r w:rsidR="000B238C" w:rsidRPr="009F5B52">
        <w:rPr>
          <w:rFonts w:cs="Times New Roman"/>
          <w:szCs w:val="24"/>
          <w:lang w:val="sr-Cyrl-CS"/>
        </w:rPr>
        <w:t>тив</w:t>
      </w:r>
      <w:r w:rsidRPr="009F5B52">
        <w:rPr>
          <w:rFonts w:cs="Times New Roman"/>
          <w:szCs w:val="24"/>
          <w:lang w:val="sr-Cyrl-CS"/>
        </w:rPr>
        <w:t>e</w:t>
      </w:r>
    </w:p>
    <w:p w:rsidR="002F09DA" w:rsidRPr="009F5B52" w:rsidRDefault="000B238C"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Ж</w:t>
      </w:r>
      <w:r w:rsidR="002F09DA" w:rsidRPr="009F5B52">
        <w:rPr>
          <w:rFonts w:cs="Times New Roman"/>
          <w:szCs w:val="24"/>
          <w:lang w:val="sr-Cyrl-CS"/>
        </w:rPr>
        <w:t>a</w:t>
      </w:r>
      <w:r w:rsidRPr="009F5B52">
        <w:rPr>
          <w:rFonts w:cs="Times New Roman"/>
          <w:szCs w:val="24"/>
          <w:lang w:val="sr-Cyrl-CS"/>
        </w:rPr>
        <w:t>рк</w:t>
      </w:r>
      <w:r w:rsidR="002F09DA" w:rsidRPr="009F5B52">
        <w:rPr>
          <w:rFonts w:cs="Times New Roman"/>
          <w:szCs w:val="24"/>
          <w:lang w:val="sr-Cyrl-CS"/>
        </w:rPr>
        <w:t xml:space="preserve">o </w:t>
      </w:r>
      <w:r w:rsidRPr="009F5B52">
        <w:rPr>
          <w:rFonts w:cs="Times New Roman"/>
          <w:szCs w:val="24"/>
          <w:lang w:val="sr-Cyrl-CS"/>
        </w:rPr>
        <w:t>Шунд</w:t>
      </w:r>
      <w:r w:rsidR="002F09DA" w:rsidRPr="009F5B52">
        <w:rPr>
          <w:rFonts w:cs="Times New Roman"/>
          <w:szCs w:val="24"/>
          <w:lang w:val="sr-Cyrl-CS"/>
        </w:rPr>
        <w:t>e</w:t>
      </w:r>
      <w:r w:rsidRPr="009F5B52">
        <w:rPr>
          <w:rFonts w:cs="Times New Roman"/>
          <w:szCs w:val="24"/>
          <w:lang w:val="sr-Cyrl-CS"/>
        </w:rPr>
        <w:t>рић</w:t>
      </w:r>
      <w:r w:rsidR="002F09DA" w:rsidRPr="009F5B52">
        <w:rPr>
          <w:rFonts w:cs="Times New Roman"/>
          <w:szCs w:val="24"/>
          <w:lang w:val="sr-Cyrl-CS"/>
        </w:rPr>
        <w:t xml:space="preserve">, </w:t>
      </w:r>
      <w:r w:rsidR="000C6D97" w:rsidRPr="009F5B52">
        <w:rPr>
          <w:rFonts w:cs="Times New Roman"/>
          <w:szCs w:val="24"/>
          <w:lang w:val="sr-Cyrl-CS"/>
        </w:rPr>
        <w:t>Тим за социјално укључивање и смањење сиромаштва</w:t>
      </w:r>
    </w:p>
    <w:p w:rsidR="002F09DA" w:rsidRPr="009F5B52" w:rsidRDefault="000B238C"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Ирин</w:t>
      </w:r>
      <w:r w:rsidR="002F09DA" w:rsidRPr="009F5B52">
        <w:rPr>
          <w:rFonts w:cs="Times New Roman"/>
          <w:szCs w:val="24"/>
          <w:lang w:val="sr-Cyrl-CS"/>
        </w:rPr>
        <w:t xml:space="preserve">a </w:t>
      </w:r>
      <w:r w:rsidRPr="009F5B52">
        <w:rPr>
          <w:rFonts w:cs="Times New Roman"/>
          <w:szCs w:val="24"/>
          <w:lang w:val="sr-Cyrl-CS"/>
        </w:rPr>
        <w:t>Љубић</w:t>
      </w:r>
      <w:r w:rsidR="002F09DA" w:rsidRPr="009F5B52">
        <w:rPr>
          <w:rFonts w:cs="Times New Roman"/>
          <w:szCs w:val="24"/>
          <w:lang w:val="sr-Cyrl-CS"/>
        </w:rPr>
        <w:t xml:space="preserve">, </w:t>
      </w:r>
      <w:r w:rsidR="000C6D97" w:rsidRPr="009F5B52">
        <w:rPr>
          <w:rFonts w:cs="Times New Roman"/>
          <w:szCs w:val="24"/>
          <w:lang w:val="sr-Cyrl-CS"/>
        </w:rPr>
        <w:t>Тим за социјално укључивање и смањење сиромаштва</w:t>
      </w:r>
    </w:p>
    <w:p w:rsidR="002F09DA" w:rsidRPr="009F5B52" w:rsidRDefault="002F09DA" w:rsidP="00624258">
      <w:pPr>
        <w:pStyle w:val="ListParagraph"/>
        <w:numPr>
          <w:ilvl w:val="0"/>
          <w:numId w:val="25"/>
        </w:numPr>
        <w:spacing w:line="360" w:lineRule="auto"/>
        <w:rPr>
          <w:rFonts w:cs="Times New Roman"/>
          <w:szCs w:val="24"/>
          <w:lang w:val="sr-Cyrl-CS"/>
        </w:rPr>
      </w:pPr>
      <w:r w:rsidRPr="009F5B52">
        <w:rPr>
          <w:rFonts w:cs="Times New Roman"/>
          <w:szCs w:val="24"/>
          <w:lang w:val="sr-Cyrl-CS"/>
        </w:rPr>
        <w:t>A</w:t>
      </w:r>
      <w:r w:rsidR="000B238C" w:rsidRPr="009F5B52">
        <w:rPr>
          <w:rFonts w:cs="Times New Roman"/>
          <w:szCs w:val="24"/>
          <w:lang w:val="sr-Cyrl-CS"/>
        </w:rPr>
        <w:t>ндри</w:t>
      </w:r>
      <w:r w:rsidRPr="009F5B52">
        <w:rPr>
          <w:rFonts w:cs="Times New Roman"/>
          <w:szCs w:val="24"/>
          <w:lang w:val="sr-Cyrl-CS"/>
        </w:rPr>
        <w:t xml:space="preserve">ja </w:t>
      </w:r>
      <w:r w:rsidR="000B238C" w:rsidRPr="009F5B52">
        <w:rPr>
          <w:rFonts w:cs="Times New Roman"/>
          <w:szCs w:val="24"/>
          <w:lang w:val="sr-Cyrl-CS"/>
        </w:rPr>
        <w:t>П</w:t>
      </w:r>
      <w:r w:rsidRPr="009F5B52">
        <w:rPr>
          <w:rFonts w:cs="Times New Roman"/>
          <w:szCs w:val="24"/>
          <w:lang w:val="sr-Cyrl-CS"/>
        </w:rPr>
        <w:t>ejo</w:t>
      </w:r>
      <w:r w:rsidR="000B238C" w:rsidRPr="009F5B52">
        <w:rPr>
          <w:rFonts w:cs="Times New Roman"/>
          <w:szCs w:val="24"/>
          <w:lang w:val="sr-Cyrl-CS"/>
        </w:rPr>
        <w:t>вић</w:t>
      </w:r>
      <w:r w:rsidRPr="009F5B52">
        <w:rPr>
          <w:rFonts w:cs="Times New Roman"/>
          <w:szCs w:val="24"/>
          <w:lang w:val="sr-Cyrl-CS"/>
        </w:rPr>
        <w:t>, E</w:t>
      </w:r>
      <w:r w:rsidR="000B238C" w:rsidRPr="009F5B52">
        <w:rPr>
          <w:rFonts w:cs="Times New Roman"/>
          <w:szCs w:val="24"/>
          <w:lang w:val="sr-Cyrl-CS"/>
        </w:rPr>
        <w:t>вр</w:t>
      </w:r>
      <w:r w:rsidRPr="009F5B52">
        <w:rPr>
          <w:rFonts w:cs="Times New Roman"/>
          <w:szCs w:val="24"/>
          <w:lang w:val="sr-Cyrl-CS"/>
        </w:rPr>
        <w:t>o</w:t>
      </w:r>
      <w:r w:rsidR="000B238C" w:rsidRPr="009F5B52">
        <w:rPr>
          <w:rFonts w:cs="Times New Roman"/>
          <w:szCs w:val="24"/>
          <w:lang w:val="sr-Cyrl-CS"/>
        </w:rPr>
        <w:t>пски</w:t>
      </w:r>
      <w:r w:rsidRPr="009F5B52">
        <w:rPr>
          <w:rFonts w:cs="Times New Roman"/>
          <w:szCs w:val="24"/>
          <w:lang w:val="sr-Cyrl-CS"/>
        </w:rPr>
        <w:t xml:space="preserve"> </w:t>
      </w:r>
      <w:r w:rsidR="000B238C" w:rsidRPr="009F5B52">
        <w:rPr>
          <w:rFonts w:cs="Times New Roman"/>
          <w:szCs w:val="24"/>
          <w:lang w:val="sr-Cyrl-CS"/>
        </w:rPr>
        <w:t>пр</w:t>
      </w:r>
      <w:r w:rsidRPr="009F5B52">
        <w:rPr>
          <w:rFonts w:cs="Times New Roman"/>
          <w:szCs w:val="24"/>
          <w:lang w:val="sr-Cyrl-CS"/>
        </w:rPr>
        <w:t>oje</w:t>
      </w:r>
      <w:r w:rsidR="000B238C" w:rsidRPr="009F5B52">
        <w:rPr>
          <w:rFonts w:cs="Times New Roman"/>
          <w:szCs w:val="24"/>
          <w:lang w:val="sr-Cyrl-CS"/>
        </w:rPr>
        <w:t>ктни</w:t>
      </w:r>
      <w:r w:rsidRPr="009F5B52">
        <w:rPr>
          <w:rFonts w:cs="Times New Roman"/>
          <w:szCs w:val="24"/>
          <w:lang w:val="sr-Cyrl-CS"/>
        </w:rPr>
        <w:t xml:space="preserve"> </w:t>
      </w:r>
      <w:r w:rsidR="000B238C" w:rsidRPr="009F5B52">
        <w:rPr>
          <w:rFonts w:cs="Times New Roman"/>
          <w:szCs w:val="24"/>
          <w:lang w:val="sr-Cyrl-CS"/>
        </w:rPr>
        <w:t>ц</w:t>
      </w:r>
      <w:r w:rsidRPr="009F5B52">
        <w:rPr>
          <w:rFonts w:cs="Times New Roman"/>
          <w:szCs w:val="24"/>
          <w:lang w:val="sr-Cyrl-CS"/>
        </w:rPr>
        <w:t>e</w:t>
      </w:r>
      <w:r w:rsidR="000B238C" w:rsidRPr="009F5B52">
        <w:rPr>
          <w:rFonts w:cs="Times New Roman"/>
          <w:szCs w:val="24"/>
          <w:lang w:val="sr-Cyrl-CS"/>
        </w:rPr>
        <w:t>нт</w:t>
      </w:r>
      <w:r w:rsidRPr="009F5B52">
        <w:rPr>
          <w:rFonts w:cs="Times New Roman"/>
          <w:szCs w:val="24"/>
          <w:lang w:val="sr-Cyrl-CS"/>
        </w:rPr>
        <w:t>a</w:t>
      </w:r>
      <w:r w:rsidR="000B238C" w:rsidRPr="009F5B52">
        <w:rPr>
          <w:rFonts w:cs="Times New Roman"/>
          <w:szCs w:val="24"/>
          <w:lang w:val="sr-Cyrl-CS"/>
        </w:rPr>
        <w:t>р</w:t>
      </w:r>
    </w:p>
    <w:p w:rsidR="002F09DA" w:rsidRPr="009F5B52" w:rsidRDefault="002F09DA">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sectPr w:rsidR="002F09DA" w:rsidRPr="009F5B52" w:rsidSect="00265298">
          <w:pgSz w:w="12240" w:h="15840"/>
          <w:pgMar w:top="1440" w:right="1440" w:bottom="1440" w:left="1440" w:header="720" w:footer="720" w:gutter="0"/>
          <w:cols w:space="720"/>
          <w:docGrid w:linePitch="360"/>
        </w:sectPr>
      </w:pPr>
      <w:r w:rsidRPr="009F5B52">
        <w:rPr>
          <w:rFonts w:cs="Times New Roman"/>
          <w:szCs w:val="24"/>
          <w:lang w:val="sr-Cyrl-CS"/>
        </w:rPr>
        <w:br w:type="page"/>
      </w:r>
    </w:p>
    <w:p w:rsidR="002F09DA" w:rsidRPr="009F5B52" w:rsidRDefault="000B238C" w:rsidP="00FA2F9B">
      <w:pPr>
        <w:pStyle w:val="Heading3"/>
        <w:rPr>
          <w:lang w:val="sr-Cyrl-CS"/>
        </w:rPr>
      </w:pPr>
      <w:bookmarkStart w:id="74" w:name="_Toc327447139"/>
      <w:bookmarkStart w:id="75" w:name="_Toc327628752"/>
      <w:bookmarkStart w:id="76" w:name="_Toc327985239"/>
      <w:bookmarkStart w:id="77" w:name="_Toc327986623"/>
      <w:bookmarkStart w:id="78" w:name="_Toc328039791"/>
      <w:bookmarkStart w:id="79" w:name="_Toc328377441"/>
      <w:bookmarkStart w:id="80" w:name="_Toc330562321"/>
      <w:r w:rsidRPr="009F5B52">
        <w:rPr>
          <w:lang w:val="sr-Cyrl-CS"/>
        </w:rPr>
        <w:lastRenderedPageBreak/>
        <w:t>Анекс</w:t>
      </w:r>
      <w:r w:rsidR="002F09DA" w:rsidRPr="009F5B52">
        <w:rPr>
          <w:lang w:val="sr-Cyrl-CS"/>
        </w:rPr>
        <w:t xml:space="preserve"> 2</w:t>
      </w:r>
      <w:r w:rsidR="00D2338B" w:rsidRPr="009F5B52">
        <w:rPr>
          <w:lang w:val="sr-Cyrl-CS"/>
        </w:rPr>
        <w:t>.</w:t>
      </w:r>
      <w:r w:rsidR="002F09DA" w:rsidRPr="009F5B52">
        <w:rPr>
          <w:lang w:val="sr-Cyrl-CS"/>
        </w:rPr>
        <w:t xml:space="preserve"> </w:t>
      </w:r>
      <w:bookmarkEnd w:id="74"/>
      <w:r w:rsidRPr="009F5B52">
        <w:rPr>
          <w:lang w:val="sr-Cyrl-CS"/>
        </w:rPr>
        <w:t>Списак саговорника</w:t>
      </w:r>
      <w:bookmarkEnd w:id="75"/>
      <w:bookmarkEnd w:id="76"/>
      <w:bookmarkEnd w:id="77"/>
      <w:bookmarkEnd w:id="78"/>
      <w:bookmarkEnd w:id="79"/>
      <w:bookmarkEnd w:id="80"/>
    </w:p>
    <w:p w:rsidR="00C61538" w:rsidRPr="009F5B52" w:rsidRDefault="000B238C" w:rsidP="00624258">
      <w:pPr>
        <w:pStyle w:val="ListParagraph"/>
        <w:numPr>
          <w:ilvl w:val="0"/>
          <w:numId w:val="26"/>
        </w:numPr>
        <w:spacing w:line="360" w:lineRule="auto"/>
        <w:rPr>
          <w:rFonts w:cs="Times New Roman"/>
          <w:szCs w:val="24"/>
          <w:lang w:val="sr-Cyrl-CS"/>
        </w:rPr>
      </w:pPr>
      <w:r w:rsidRPr="009F5B52">
        <w:rPr>
          <w:rFonts w:cs="Times New Roman"/>
          <w:szCs w:val="24"/>
          <w:lang w:val="sr-Cyrl-CS"/>
        </w:rPr>
        <w:t>Љиљ</w:t>
      </w:r>
      <w:r w:rsidR="00C61538" w:rsidRPr="009F5B52">
        <w:rPr>
          <w:rFonts w:cs="Times New Roman"/>
          <w:szCs w:val="24"/>
          <w:lang w:val="sr-Cyrl-CS"/>
        </w:rPr>
        <w:t>a</w:t>
      </w:r>
      <w:r w:rsidRPr="009F5B52">
        <w:rPr>
          <w:rFonts w:cs="Times New Roman"/>
          <w:szCs w:val="24"/>
          <w:lang w:val="sr-Cyrl-CS"/>
        </w:rPr>
        <w:t>н</w:t>
      </w:r>
      <w:r w:rsidR="00C61538" w:rsidRPr="009F5B52">
        <w:rPr>
          <w:rFonts w:cs="Times New Roman"/>
          <w:szCs w:val="24"/>
          <w:lang w:val="sr-Cyrl-CS"/>
        </w:rPr>
        <w:t xml:space="preserve">a </w:t>
      </w:r>
      <w:r w:rsidRPr="009F5B52">
        <w:rPr>
          <w:rFonts w:cs="Times New Roman"/>
          <w:szCs w:val="24"/>
          <w:lang w:val="sr-Cyrl-CS"/>
        </w:rPr>
        <w:t>Џув</w:t>
      </w:r>
      <w:r w:rsidR="00C61538" w:rsidRPr="009F5B52">
        <w:rPr>
          <w:rFonts w:cs="Times New Roman"/>
          <w:szCs w:val="24"/>
          <w:lang w:val="sr-Cyrl-CS"/>
        </w:rPr>
        <w:t>e</w:t>
      </w:r>
      <w:r w:rsidRPr="009F5B52">
        <w:rPr>
          <w:rFonts w:cs="Times New Roman"/>
          <w:szCs w:val="24"/>
          <w:lang w:val="sr-Cyrl-CS"/>
        </w:rPr>
        <w:t>р</w:t>
      </w:r>
      <w:r w:rsidR="00C61538" w:rsidRPr="009F5B52">
        <w:rPr>
          <w:rFonts w:cs="Times New Roman"/>
          <w:szCs w:val="24"/>
          <w:lang w:val="sr-Cyrl-CS"/>
        </w:rPr>
        <w:t xml:space="preserve">, </w:t>
      </w:r>
      <w:r w:rsidRPr="009F5B52">
        <w:rPr>
          <w:rFonts w:cs="Times New Roman"/>
          <w:szCs w:val="24"/>
          <w:lang w:val="sr-Cyrl-CS"/>
        </w:rPr>
        <w:t>Министарство економије и регионалног развоја</w:t>
      </w:r>
    </w:p>
    <w:p w:rsidR="00C61538" w:rsidRPr="009F5B52" w:rsidRDefault="000B238C" w:rsidP="00624258">
      <w:pPr>
        <w:pStyle w:val="ListParagraph"/>
        <w:numPr>
          <w:ilvl w:val="0"/>
          <w:numId w:val="26"/>
        </w:numPr>
        <w:spacing w:line="360" w:lineRule="auto"/>
        <w:rPr>
          <w:rFonts w:cs="Times New Roman"/>
          <w:szCs w:val="24"/>
          <w:lang w:val="sr-Cyrl-CS"/>
        </w:rPr>
      </w:pPr>
      <w:r w:rsidRPr="009F5B52">
        <w:rPr>
          <w:rFonts w:cs="Times New Roman"/>
          <w:szCs w:val="24"/>
          <w:lang w:val="sr-Cyrl-CS"/>
        </w:rPr>
        <w:t>Силви</w:t>
      </w:r>
      <w:r w:rsidR="00C61538" w:rsidRPr="009F5B52">
        <w:rPr>
          <w:rFonts w:cs="Times New Roman"/>
          <w:szCs w:val="24"/>
          <w:lang w:val="sr-Cyrl-CS"/>
        </w:rPr>
        <w:t xml:space="preserve">ja </w:t>
      </w:r>
      <w:r w:rsidRPr="009F5B52">
        <w:rPr>
          <w:rFonts w:cs="Times New Roman"/>
          <w:szCs w:val="24"/>
          <w:lang w:val="sr-Cyrl-CS"/>
        </w:rPr>
        <w:t>Г</w:t>
      </w:r>
      <w:r w:rsidR="00C61538" w:rsidRPr="009F5B52">
        <w:rPr>
          <w:rFonts w:cs="Times New Roman"/>
          <w:szCs w:val="24"/>
          <w:lang w:val="sr-Cyrl-CS"/>
        </w:rPr>
        <w:t>aj</w:t>
      </w:r>
      <w:r w:rsidRPr="009F5B52">
        <w:rPr>
          <w:rFonts w:cs="Times New Roman"/>
          <w:szCs w:val="24"/>
          <w:lang w:val="sr-Cyrl-CS"/>
        </w:rPr>
        <w:t>ин</w:t>
      </w:r>
      <w:r w:rsidR="00C61538" w:rsidRPr="009F5B52">
        <w:rPr>
          <w:rFonts w:cs="Times New Roman"/>
          <w:szCs w:val="24"/>
          <w:lang w:val="sr-Cyrl-CS"/>
        </w:rPr>
        <w:t xml:space="preserve">, </w:t>
      </w:r>
      <w:r w:rsidRPr="009F5B52">
        <w:rPr>
          <w:rFonts w:cs="Times New Roman"/>
          <w:szCs w:val="24"/>
          <w:lang w:val="sr-Cyrl-CS"/>
        </w:rPr>
        <w:t>Министарство економије и регионалног развоја</w:t>
      </w:r>
    </w:p>
    <w:p w:rsidR="00C61538" w:rsidRPr="009F5B52" w:rsidRDefault="000B238C" w:rsidP="00624258">
      <w:pPr>
        <w:pStyle w:val="ListParagraph"/>
        <w:numPr>
          <w:ilvl w:val="0"/>
          <w:numId w:val="26"/>
        </w:numPr>
        <w:spacing w:line="360" w:lineRule="auto"/>
        <w:rPr>
          <w:rFonts w:cs="Times New Roman"/>
          <w:szCs w:val="24"/>
          <w:lang w:val="sr-Cyrl-CS"/>
        </w:rPr>
      </w:pPr>
      <w:r w:rsidRPr="009F5B52">
        <w:rPr>
          <w:rFonts w:cs="Times New Roman"/>
          <w:szCs w:val="24"/>
          <w:lang w:val="sr-Cyrl-CS"/>
        </w:rPr>
        <w:t>Др</w:t>
      </w:r>
      <w:r w:rsidR="00C61538" w:rsidRPr="009F5B52">
        <w:rPr>
          <w:rFonts w:cs="Times New Roman"/>
          <w:szCs w:val="24"/>
          <w:lang w:val="sr-Cyrl-CS"/>
        </w:rPr>
        <w:t>a</w:t>
      </w:r>
      <w:r w:rsidRPr="009F5B52">
        <w:rPr>
          <w:rFonts w:cs="Times New Roman"/>
          <w:szCs w:val="24"/>
          <w:lang w:val="sr-Cyrl-CS"/>
        </w:rPr>
        <w:t>г</w:t>
      </w:r>
      <w:r w:rsidR="00C61538" w:rsidRPr="009F5B52">
        <w:rPr>
          <w:rFonts w:cs="Times New Roman"/>
          <w:szCs w:val="24"/>
          <w:lang w:val="sr-Cyrl-CS"/>
        </w:rPr>
        <w:t>a</w:t>
      </w:r>
      <w:r w:rsidRPr="009F5B52">
        <w:rPr>
          <w:rFonts w:cs="Times New Roman"/>
          <w:szCs w:val="24"/>
          <w:lang w:val="sr-Cyrl-CS"/>
        </w:rPr>
        <w:t>н</w:t>
      </w:r>
      <w:r w:rsidR="00C61538" w:rsidRPr="009F5B52">
        <w:rPr>
          <w:rFonts w:cs="Times New Roman"/>
          <w:szCs w:val="24"/>
          <w:lang w:val="sr-Cyrl-CS"/>
        </w:rPr>
        <w:t xml:space="preserve">a </w:t>
      </w:r>
      <w:r w:rsidRPr="009F5B52">
        <w:rPr>
          <w:rFonts w:cs="Times New Roman"/>
          <w:szCs w:val="24"/>
          <w:lang w:val="sr-Cyrl-CS"/>
        </w:rPr>
        <w:t>Р</w:t>
      </w:r>
      <w:r w:rsidR="00C61538" w:rsidRPr="009F5B52">
        <w:rPr>
          <w:rFonts w:cs="Times New Roman"/>
          <w:szCs w:val="24"/>
          <w:lang w:val="sr-Cyrl-CS"/>
        </w:rPr>
        <w:t>a</w:t>
      </w:r>
      <w:r w:rsidRPr="009F5B52">
        <w:rPr>
          <w:rFonts w:cs="Times New Roman"/>
          <w:szCs w:val="24"/>
          <w:lang w:val="sr-Cyrl-CS"/>
        </w:rPr>
        <w:t>д</w:t>
      </w:r>
      <w:r w:rsidR="00C61538" w:rsidRPr="009F5B52">
        <w:rPr>
          <w:rFonts w:cs="Times New Roman"/>
          <w:szCs w:val="24"/>
          <w:lang w:val="sr-Cyrl-CS"/>
        </w:rPr>
        <w:t>o</w:t>
      </w:r>
      <w:r w:rsidRPr="009F5B52">
        <w:rPr>
          <w:rFonts w:cs="Times New Roman"/>
          <w:szCs w:val="24"/>
          <w:lang w:val="sr-Cyrl-CS"/>
        </w:rPr>
        <w:t>в</w:t>
      </w:r>
      <w:r w:rsidR="00C61538" w:rsidRPr="009F5B52">
        <w:rPr>
          <w:rFonts w:cs="Times New Roman"/>
          <w:szCs w:val="24"/>
          <w:lang w:val="sr-Cyrl-CS"/>
        </w:rPr>
        <w:t>a</w:t>
      </w:r>
      <w:r w:rsidRPr="009F5B52">
        <w:rPr>
          <w:rFonts w:cs="Times New Roman"/>
          <w:szCs w:val="24"/>
          <w:lang w:val="sr-Cyrl-CS"/>
        </w:rPr>
        <w:t>н</w:t>
      </w:r>
      <w:r w:rsidR="00C61538" w:rsidRPr="009F5B52">
        <w:rPr>
          <w:rFonts w:cs="Times New Roman"/>
          <w:szCs w:val="24"/>
          <w:lang w:val="sr-Cyrl-CS"/>
        </w:rPr>
        <w:t>o</w:t>
      </w:r>
      <w:r w:rsidRPr="009F5B52">
        <w:rPr>
          <w:rFonts w:cs="Times New Roman"/>
          <w:szCs w:val="24"/>
          <w:lang w:val="sr-Cyrl-CS"/>
        </w:rPr>
        <w:t>вић</w:t>
      </w:r>
      <w:r w:rsidR="00C61538" w:rsidRPr="009F5B52">
        <w:rPr>
          <w:rFonts w:cs="Times New Roman"/>
          <w:szCs w:val="24"/>
          <w:lang w:val="sr-Cyrl-CS"/>
        </w:rPr>
        <w:t xml:space="preserve">, </w:t>
      </w:r>
      <w:r w:rsidRPr="009F5B52">
        <w:rPr>
          <w:rFonts w:cs="Times New Roman"/>
          <w:szCs w:val="24"/>
          <w:lang w:val="sr-Cyrl-CS"/>
        </w:rPr>
        <w:t>Министарство рада и социјалне политике</w:t>
      </w:r>
    </w:p>
    <w:p w:rsidR="002F09DA" w:rsidRPr="009F5B52" w:rsidRDefault="00C61538" w:rsidP="00624258">
      <w:pPr>
        <w:pStyle w:val="ListParagraph"/>
        <w:numPr>
          <w:ilvl w:val="0"/>
          <w:numId w:val="26"/>
        </w:numPr>
        <w:spacing w:line="360" w:lineRule="auto"/>
        <w:rPr>
          <w:rFonts w:cs="Times New Roman"/>
          <w:szCs w:val="24"/>
          <w:lang w:val="sr-Cyrl-CS"/>
        </w:rPr>
      </w:pPr>
      <w:r w:rsidRPr="009F5B52">
        <w:rPr>
          <w:rFonts w:cs="Times New Roman"/>
          <w:szCs w:val="24"/>
          <w:lang w:val="sr-Cyrl-CS"/>
        </w:rPr>
        <w:t>A</w:t>
      </w:r>
      <w:r w:rsidR="000B238C" w:rsidRPr="009F5B52">
        <w:rPr>
          <w:rFonts w:cs="Times New Roman"/>
          <w:szCs w:val="24"/>
          <w:lang w:val="sr-Cyrl-CS"/>
        </w:rPr>
        <w:t>л</w:t>
      </w:r>
      <w:r w:rsidRPr="009F5B52">
        <w:rPr>
          <w:rFonts w:cs="Times New Roman"/>
          <w:szCs w:val="24"/>
          <w:lang w:val="sr-Cyrl-CS"/>
        </w:rPr>
        <w:t>e</w:t>
      </w:r>
      <w:r w:rsidR="000B238C" w:rsidRPr="009F5B52">
        <w:rPr>
          <w:rFonts w:cs="Times New Roman"/>
          <w:szCs w:val="24"/>
          <w:lang w:val="sr-Cyrl-CS"/>
        </w:rPr>
        <w:t>кс</w:t>
      </w:r>
      <w:r w:rsidRPr="009F5B52">
        <w:rPr>
          <w:rFonts w:cs="Times New Roman"/>
          <w:szCs w:val="24"/>
          <w:lang w:val="sr-Cyrl-CS"/>
        </w:rPr>
        <w:t>a</w:t>
      </w:r>
      <w:r w:rsidR="000B238C" w:rsidRPr="009F5B52">
        <w:rPr>
          <w:rFonts w:cs="Times New Roman"/>
          <w:szCs w:val="24"/>
          <w:lang w:val="sr-Cyrl-CS"/>
        </w:rPr>
        <w:t>ндр</w:t>
      </w:r>
      <w:r w:rsidRPr="009F5B52">
        <w:rPr>
          <w:rFonts w:cs="Times New Roman"/>
          <w:szCs w:val="24"/>
          <w:lang w:val="sr-Cyrl-CS"/>
        </w:rPr>
        <w:t>a M</w:t>
      </w:r>
      <w:r w:rsidR="000B238C" w:rsidRPr="009F5B52">
        <w:rPr>
          <w:rFonts w:cs="Times New Roman"/>
          <w:szCs w:val="24"/>
          <w:lang w:val="sr-Cyrl-CS"/>
        </w:rPr>
        <w:t>ил</w:t>
      </w:r>
      <w:r w:rsidRPr="009F5B52">
        <w:rPr>
          <w:rFonts w:cs="Times New Roman"/>
          <w:szCs w:val="24"/>
          <w:lang w:val="sr-Cyrl-CS"/>
        </w:rPr>
        <w:t>e</w:t>
      </w:r>
      <w:r w:rsidR="000B238C" w:rsidRPr="009F5B52">
        <w:rPr>
          <w:rFonts w:cs="Times New Roman"/>
          <w:szCs w:val="24"/>
          <w:lang w:val="sr-Cyrl-CS"/>
        </w:rPr>
        <w:t>тић</w:t>
      </w:r>
      <w:r w:rsidRPr="009F5B52">
        <w:rPr>
          <w:rFonts w:cs="Times New Roman"/>
          <w:szCs w:val="24"/>
          <w:lang w:val="sr-Cyrl-CS"/>
        </w:rPr>
        <w:t xml:space="preserve">, </w:t>
      </w:r>
      <w:r w:rsidR="000B238C" w:rsidRPr="009F5B52">
        <w:rPr>
          <w:rFonts w:cs="Times New Roman"/>
          <w:szCs w:val="24"/>
          <w:lang w:val="sr-Cyrl-CS"/>
        </w:rPr>
        <w:t>Министарство рада и социјалне политике</w:t>
      </w:r>
    </w:p>
    <w:p w:rsidR="00C61538" w:rsidRPr="009F5B52" w:rsidRDefault="000B238C" w:rsidP="00624258">
      <w:pPr>
        <w:pStyle w:val="ListParagraph"/>
        <w:numPr>
          <w:ilvl w:val="0"/>
          <w:numId w:val="26"/>
        </w:numPr>
        <w:spacing w:line="360" w:lineRule="auto"/>
        <w:rPr>
          <w:rFonts w:cs="Times New Roman"/>
          <w:szCs w:val="24"/>
          <w:lang w:val="sr-Cyrl-CS"/>
        </w:rPr>
      </w:pPr>
      <w:r w:rsidRPr="009F5B52">
        <w:rPr>
          <w:rFonts w:cs="Times New Roman"/>
          <w:szCs w:val="24"/>
          <w:lang w:val="sr-Cyrl-CS"/>
        </w:rPr>
        <w:t>Г</w:t>
      </w:r>
      <w:r w:rsidR="00C61538" w:rsidRPr="009F5B52">
        <w:rPr>
          <w:rFonts w:cs="Times New Roman"/>
          <w:szCs w:val="24"/>
          <w:lang w:val="sr-Cyrl-CS"/>
        </w:rPr>
        <w:t>o</w:t>
      </w:r>
      <w:r w:rsidRPr="009F5B52">
        <w:rPr>
          <w:rFonts w:cs="Times New Roman"/>
          <w:szCs w:val="24"/>
          <w:lang w:val="sr-Cyrl-CS"/>
        </w:rPr>
        <w:t>рд</w:t>
      </w:r>
      <w:r w:rsidR="00C61538" w:rsidRPr="009F5B52">
        <w:rPr>
          <w:rFonts w:cs="Times New Roman"/>
          <w:szCs w:val="24"/>
          <w:lang w:val="sr-Cyrl-CS"/>
        </w:rPr>
        <w:t>a</w:t>
      </w:r>
      <w:r w:rsidRPr="009F5B52">
        <w:rPr>
          <w:rFonts w:cs="Times New Roman"/>
          <w:szCs w:val="24"/>
          <w:lang w:val="sr-Cyrl-CS"/>
        </w:rPr>
        <w:t>н</w:t>
      </w:r>
      <w:r w:rsidR="00C61538" w:rsidRPr="009F5B52">
        <w:rPr>
          <w:rFonts w:cs="Times New Roman"/>
          <w:szCs w:val="24"/>
          <w:lang w:val="sr-Cyrl-CS"/>
        </w:rPr>
        <w:t>a Ma</w:t>
      </w:r>
      <w:r w:rsidRPr="009F5B52">
        <w:rPr>
          <w:rFonts w:cs="Times New Roman"/>
          <w:szCs w:val="24"/>
          <w:lang w:val="sr-Cyrl-CS"/>
        </w:rPr>
        <w:t>тк</w:t>
      </w:r>
      <w:r w:rsidR="00C61538" w:rsidRPr="009F5B52">
        <w:rPr>
          <w:rFonts w:cs="Times New Roman"/>
          <w:szCs w:val="24"/>
          <w:lang w:val="sr-Cyrl-CS"/>
        </w:rPr>
        <w:t>o</w:t>
      </w:r>
      <w:r w:rsidRPr="009F5B52">
        <w:rPr>
          <w:rFonts w:cs="Times New Roman"/>
          <w:szCs w:val="24"/>
          <w:lang w:val="sr-Cyrl-CS"/>
        </w:rPr>
        <w:t>вић</w:t>
      </w:r>
      <w:r w:rsidR="00C61538" w:rsidRPr="009F5B52">
        <w:rPr>
          <w:rFonts w:cs="Times New Roman"/>
          <w:szCs w:val="24"/>
          <w:lang w:val="sr-Cyrl-CS"/>
        </w:rPr>
        <w:t xml:space="preserve">, </w:t>
      </w:r>
      <w:r w:rsidRPr="009F5B52">
        <w:rPr>
          <w:rFonts w:cs="Times New Roman"/>
          <w:szCs w:val="24"/>
          <w:lang w:val="sr-Cyrl-CS"/>
        </w:rPr>
        <w:t>Центар за либерално-демократске студије</w:t>
      </w:r>
    </w:p>
    <w:p w:rsidR="00C61538" w:rsidRPr="009F5B52" w:rsidRDefault="000B238C" w:rsidP="00624258">
      <w:pPr>
        <w:pStyle w:val="ListParagraph"/>
        <w:numPr>
          <w:ilvl w:val="0"/>
          <w:numId w:val="26"/>
        </w:numPr>
        <w:spacing w:line="360" w:lineRule="auto"/>
        <w:rPr>
          <w:rFonts w:cs="Times New Roman"/>
          <w:szCs w:val="24"/>
          <w:lang w:val="sr-Cyrl-CS"/>
        </w:rPr>
      </w:pPr>
      <w:r w:rsidRPr="009F5B52">
        <w:rPr>
          <w:rFonts w:cs="Times New Roman"/>
          <w:szCs w:val="24"/>
          <w:lang w:val="sr-Cyrl-CS"/>
        </w:rPr>
        <w:t>В</w:t>
      </w:r>
      <w:r w:rsidR="00C61538" w:rsidRPr="009F5B52">
        <w:rPr>
          <w:rFonts w:cs="Times New Roman"/>
          <w:szCs w:val="24"/>
          <w:lang w:val="sr-Cyrl-CS"/>
        </w:rPr>
        <w:t>e</w:t>
      </w:r>
      <w:r w:rsidRPr="009F5B52">
        <w:rPr>
          <w:rFonts w:cs="Times New Roman"/>
          <w:szCs w:val="24"/>
          <w:lang w:val="sr-Cyrl-CS"/>
        </w:rPr>
        <w:t>р</w:t>
      </w:r>
      <w:r w:rsidR="00C61538" w:rsidRPr="009F5B52">
        <w:rPr>
          <w:rFonts w:cs="Times New Roman"/>
          <w:szCs w:val="24"/>
          <w:lang w:val="sr-Cyrl-CS"/>
        </w:rPr>
        <w:t xml:space="preserve">a </w:t>
      </w:r>
      <w:r w:rsidRPr="009F5B52">
        <w:rPr>
          <w:rFonts w:cs="Times New Roman"/>
          <w:szCs w:val="24"/>
          <w:lang w:val="sr-Cyrl-CS"/>
        </w:rPr>
        <w:t>К</w:t>
      </w:r>
      <w:r w:rsidR="00C61538" w:rsidRPr="009F5B52">
        <w:rPr>
          <w:rFonts w:cs="Times New Roman"/>
          <w:szCs w:val="24"/>
          <w:lang w:val="sr-Cyrl-CS"/>
        </w:rPr>
        <w:t>o</w:t>
      </w:r>
      <w:r w:rsidRPr="009F5B52">
        <w:rPr>
          <w:rFonts w:cs="Times New Roman"/>
          <w:szCs w:val="24"/>
          <w:lang w:val="sr-Cyrl-CS"/>
        </w:rPr>
        <w:t>в</w:t>
      </w:r>
      <w:r w:rsidR="00C61538" w:rsidRPr="009F5B52">
        <w:rPr>
          <w:rFonts w:cs="Times New Roman"/>
          <w:szCs w:val="24"/>
          <w:lang w:val="sr-Cyrl-CS"/>
        </w:rPr>
        <w:t>a</w:t>
      </w:r>
      <w:r w:rsidRPr="009F5B52">
        <w:rPr>
          <w:rFonts w:cs="Times New Roman"/>
          <w:szCs w:val="24"/>
          <w:lang w:val="sr-Cyrl-CS"/>
        </w:rPr>
        <w:t>ч</w:t>
      </w:r>
      <w:r w:rsidR="00C61538" w:rsidRPr="009F5B52">
        <w:rPr>
          <w:rFonts w:cs="Times New Roman"/>
          <w:szCs w:val="24"/>
          <w:lang w:val="sr-Cyrl-CS"/>
        </w:rPr>
        <w:t>e</w:t>
      </w:r>
      <w:r w:rsidRPr="009F5B52">
        <w:rPr>
          <w:rFonts w:cs="Times New Roman"/>
          <w:szCs w:val="24"/>
          <w:lang w:val="sr-Cyrl-CS"/>
        </w:rPr>
        <w:t>вић</w:t>
      </w:r>
      <w:r w:rsidR="00C61538" w:rsidRPr="009F5B52">
        <w:rPr>
          <w:rFonts w:cs="Times New Roman"/>
          <w:szCs w:val="24"/>
          <w:lang w:val="sr-Cyrl-CS"/>
        </w:rPr>
        <w:t xml:space="preserve">, </w:t>
      </w:r>
      <w:r w:rsidRPr="009F5B52">
        <w:rPr>
          <w:rFonts w:cs="Times New Roman"/>
          <w:szCs w:val="24"/>
          <w:lang w:val="sr-Cyrl-CS"/>
        </w:rPr>
        <w:t>Центар за либерално-демократске студије</w:t>
      </w:r>
    </w:p>
    <w:p w:rsidR="00C61538" w:rsidRPr="009F5B52" w:rsidRDefault="00C61538" w:rsidP="00265298">
      <w:pPr>
        <w:pStyle w:val="ListParagraph"/>
        <w:numPr>
          <w:ilvl w:val="0"/>
          <w:numId w:val="26"/>
        </w:numPr>
        <w:spacing w:line="360" w:lineRule="auto"/>
        <w:rPr>
          <w:rFonts w:cs="Times New Roman"/>
          <w:szCs w:val="24"/>
          <w:lang w:val="sr-Cyrl-CS"/>
        </w:rPr>
      </w:pPr>
      <w:r w:rsidRPr="009F5B52">
        <w:rPr>
          <w:rFonts w:cs="Times New Roman"/>
          <w:szCs w:val="24"/>
          <w:lang w:val="sr-Cyrl-CS"/>
        </w:rPr>
        <w:t>M</w:t>
      </w:r>
      <w:r w:rsidR="000B238C" w:rsidRPr="009F5B52">
        <w:rPr>
          <w:rFonts w:cs="Times New Roman"/>
          <w:szCs w:val="24"/>
          <w:lang w:val="sr-Cyrl-CS"/>
        </w:rPr>
        <w:t>илиц</w:t>
      </w:r>
      <w:r w:rsidRPr="009F5B52">
        <w:rPr>
          <w:rFonts w:cs="Times New Roman"/>
          <w:szCs w:val="24"/>
          <w:lang w:val="sr-Cyrl-CS"/>
        </w:rPr>
        <w:t xml:space="preserve">a </w:t>
      </w:r>
      <w:r w:rsidR="000B238C" w:rsidRPr="009F5B52">
        <w:rPr>
          <w:rFonts w:cs="Times New Roman"/>
          <w:szCs w:val="24"/>
          <w:lang w:val="sr-Cyrl-CS"/>
        </w:rPr>
        <w:t>Стр</w:t>
      </w:r>
      <w:r w:rsidRPr="009F5B52">
        <w:rPr>
          <w:rFonts w:cs="Times New Roman"/>
          <w:szCs w:val="24"/>
          <w:lang w:val="sr-Cyrl-CS"/>
        </w:rPr>
        <w:t>a</w:t>
      </w:r>
      <w:r w:rsidR="000B238C" w:rsidRPr="009F5B52">
        <w:rPr>
          <w:rFonts w:cs="Times New Roman"/>
          <w:szCs w:val="24"/>
          <w:lang w:val="sr-Cyrl-CS"/>
        </w:rPr>
        <w:t>њ</w:t>
      </w:r>
      <w:r w:rsidRPr="009F5B52">
        <w:rPr>
          <w:rFonts w:cs="Times New Roman"/>
          <w:szCs w:val="24"/>
          <w:lang w:val="sr-Cyrl-CS"/>
        </w:rPr>
        <w:t>a</w:t>
      </w:r>
      <w:r w:rsidR="000B238C" w:rsidRPr="009F5B52">
        <w:rPr>
          <w:rFonts w:cs="Times New Roman"/>
          <w:szCs w:val="24"/>
          <w:lang w:val="sr-Cyrl-CS"/>
        </w:rPr>
        <w:t>к</w:t>
      </w:r>
      <w:r w:rsidRPr="009F5B52">
        <w:rPr>
          <w:rFonts w:cs="Times New Roman"/>
          <w:szCs w:val="24"/>
          <w:lang w:val="sr-Cyrl-CS"/>
        </w:rPr>
        <w:t>o</w:t>
      </w:r>
      <w:r w:rsidR="000B238C" w:rsidRPr="009F5B52">
        <w:rPr>
          <w:rFonts w:cs="Times New Roman"/>
          <w:szCs w:val="24"/>
          <w:lang w:val="sr-Cyrl-CS"/>
        </w:rPr>
        <w:t>вић</w:t>
      </w:r>
      <w:r w:rsidRPr="009F5B52">
        <w:rPr>
          <w:rFonts w:cs="Times New Roman"/>
          <w:szCs w:val="24"/>
          <w:lang w:val="sr-Cyrl-CS"/>
        </w:rPr>
        <w:t xml:space="preserve">, </w:t>
      </w:r>
      <w:r w:rsidR="000B238C" w:rsidRPr="009F5B52">
        <w:rPr>
          <w:rFonts w:cs="Times New Roman"/>
          <w:szCs w:val="24"/>
          <w:lang w:val="sr-Cyrl-CS"/>
        </w:rPr>
        <w:t>Центар за либерално-демократске студије</w:t>
      </w:r>
    </w:p>
    <w:p w:rsidR="002F09DA" w:rsidRPr="009F5B52" w:rsidRDefault="002F09DA" w:rsidP="00C61538">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pPr>
    </w:p>
    <w:p w:rsidR="002F09DA" w:rsidRPr="009F5B52" w:rsidRDefault="002F09DA">
      <w:pPr>
        <w:rPr>
          <w:rFonts w:cs="Times New Roman"/>
          <w:szCs w:val="24"/>
          <w:lang w:val="sr-Cyrl-CS"/>
        </w:rPr>
        <w:sectPr w:rsidR="002F09DA" w:rsidRPr="009F5B52" w:rsidSect="00265298">
          <w:pgSz w:w="12240" w:h="15840"/>
          <w:pgMar w:top="1440" w:right="1440" w:bottom="1440" w:left="1440" w:header="720" w:footer="720" w:gutter="0"/>
          <w:cols w:space="720"/>
          <w:docGrid w:linePitch="360"/>
        </w:sectPr>
      </w:pPr>
    </w:p>
    <w:p w:rsidR="00FA76F3" w:rsidRPr="009F5B52" w:rsidRDefault="000B238C" w:rsidP="00FA2F9B">
      <w:pPr>
        <w:pStyle w:val="Heading3"/>
        <w:rPr>
          <w:lang w:val="sr-Cyrl-CS"/>
        </w:rPr>
      </w:pPr>
      <w:bookmarkStart w:id="81" w:name="_Toc327447140"/>
      <w:bookmarkStart w:id="82" w:name="_Toc327628753"/>
      <w:bookmarkStart w:id="83" w:name="_Toc327985240"/>
      <w:bookmarkStart w:id="84" w:name="_Toc327986624"/>
      <w:bookmarkStart w:id="85" w:name="_Toc328039792"/>
      <w:bookmarkStart w:id="86" w:name="_Toc328377442"/>
      <w:bookmarkStart w:id="87" w:name="_Toc330562322"/>
      <w:r w:rsidRPr="009F5B52">
        <w:rPr>
          <w:lang w:val="sr-Cyrl-CS"/>
        </w:rPr>
        <w:lastRenderedPageBreak/>
        <w:t>Анекс</w:t>
      </w:r>
      <w:r w:rsidR="00FA2F9B" w:rsidRPr="009F5B52">
        <w:rPr>
          <w:lang w:val="sr-Cyrl-CS"/>
        </w:rPr>
        <w:t xml:space="preserve"> </w:t>
      </w:r>
      <w:r w:rsidR="002F09DA" w:rsidRPr="009F5B52">
        <w:rPr>
          <w:lang w:val="sr-Cyrl-CS"/>
        </w:rPr>
        <w:t>3</w:t>
      </w:r>
      <w:r w:rsidR="00D2338B" w:rsidRPr="009F5B52">
        <w:rPr>
          <w:lang w:val="sr-Cyrl-CS"/>
        </w:rPr>
        <w:t>.</w:t>
      </w:r>
      <w:r w:rsidR="00662711" w:rsidRPr="009F5B52">
        <w:rPr>
          <w:lang w:val="sr-Cyrl-CS"/>
        </w:rPr>
        <w:t xml:space="preserve"> </w:t>
      </w:r>
      <w:r w:rsidRPr="009F5B52">
        <w:rPr>
          <w:lang w:val="sr-Cyrl-CS"/>
        </w:rPr>
        <w:t xml:space="preserve">Приоритетне осе и мере садржане у Нацрту оперативног програма </w:t>
      </w:r>
      <w:bookmarkEnd w:id="81"/>
      <w:r w:rsidR="00212CF2" w:rsidRPr="009F5B52">
        <w:rPr>
          <w:lang w:val="sr-Cyrl-CS"/>
        </w:rPr>
        <w:t>за развој људских ресурса</w:t>
      </w:r>
      <w:bookmarkEnd w:id="82"/>
      <w:bookmarkEnd w:id="83"/>
      <w:bookmarkEnd w:id="84"/>
      <w:bookmarkEnd w:id="85"/>
      <w:bookmarkEnd w:id="86"/>
      <w:bookmarkEnd w:id="87"/>
    </w:p>
    <w:p w:rsidR="00662711" w:rsidRPr="009F5B52" w:rsidRDefault="002D461C" w:rsidP="002F09DA">
      <w:pPr>
        <w:rPr>
          <w:rFonts w:cs="Times New Roman"/>
          <w:szCs w:val="24"/>
          <w:lang w:val="sr-Cyrl-CS"/>
        </w:rPr>
      </w:pPr>
      <w:r w:rsidRPr="009F5B52">
        <w:rPr>
          <w:rFonts w:cs="Times New Roman"/>
          <w:szCs w:val="24"/>
          <w:lang w:val="sr-Cyrl-CS"/>
        </w:rPr>
        <w:object w:dxaOrig="16157" w:dyaOrig="11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75pt;height:406.05pt" o:ole="">
            <v:imagedata r:id="rId26" o:title=""/>
          </v:shape>
          <o:OLEObject Type="Embed" ProgID="Visio.Drawing.11" ShapeID="_x0000_i1025" DrawAspect="Content" ObjectID="_1404307628" r:id="rId27"/>
        </w:object>
      </w:r>
    </w:p>
    <w:sectPr w:rsidR="00662711" w:rsidRPr="009F5B52" w:rsidSect="002652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9FF" w:rsidRDefault="004C39FF" w:rsidP="00553FFC">
      <w:pPr>
        <w:spacing w:after="0" w:line="240" w:lineRule="auto"/>
      </w:pPr>
      <w:r>
        <w:separator/>
      </w:r>
    </w:p>
  </w:endnote>
  <w:endnote w:type="continuationSeparator" w:id="0">
    <w:p w:rsidR="004C39FF" w:rsidRDefault="004C39FF" w:rsidP="0055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4"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17596"/>
      <w:docPartObj>
        <w:docPartGallery w:val="Page Numbers (Bottom of Page)"/>
        <w:docPartUnique/>
      </w:docPartObj>
    </w:sdtPr>
    <w:sdtEndPr>
      <w:rPr>
        <w:noProof/>
      </w:rPr>
    </w:sdtEndPr>
    <w:sdtContent>
      <w:p w:rsidR="00172313" w:rsidRDefault="00172313">
        <w:pPr>
          <w:pStyle w:val="Footer"/>
          <w:jc w:val="right"/>
        </w:pPr>
        <w:r>
          <w:fldChar w:fldCharType="begin"/>
        </w:r>
        <w:r>
          <w:instrText xml:space="preserve"> PAGE   \* MERGEFORMAT </w:instrText>
        </w:r>
        <w:r>
          <w:fldChar w:fldCharType="separate"/>
        </w:r>
        <w:r w:rsidR="008365F6">
          <w:rPr>
            <w:noProof/>
          </w:rPr>
          <w:t>5</w:t>
        </w:r>
        <w:r>
          <w:rPr>
            <w:noProof/>
          </w:rPr>
          <w:fldChar w:fldCharType="end"/>
        </w:r>
      </w:p>
    </w:sdtContent>
  </w:sdt>
  <w:p w:rsidR="00172313" w:rsidRPr="00C103EB" w:rsidRDefault="0017231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9FF" w:rsidRDefault="004C39FF" w:rsidP="00553FFC">
      <w:pPr>
        <w:spacing w:after="0" w:line="240" w:lineRule="auto"/>
      </w:pPr>
      <w:r>
        <w:separator/>
      </w:r>
    </w:p>
  </w:footnote>
  <w:footnote w:type="continuationSeparator" w:id="0">
    <w:p w:rsidR="004C39FF" w:rsidRDefault="004C39FF" w:rsidP="00553FFC">
      <w:pPr>
        <w:spacing w:after="0" w:line="240" w:lineRule="auto"/>
      </w:pPr>
      <w:r>
        <w:continuationSeparator/>
      </w:r>
    </w:p>
  </w:footnote>
  <w:footnote w:id="1">
    <w:p w:rsidR="00172313" w:rsidRPr="001009D3" w:rsidRDefault="00172313" w:rsidP="00172313">
      <w:pPr>
        <w:pStyle w:val="FootnoteText"/>
        <w:spacing w:before="0" w:after="0" w:line="240" w:lineRule="auto"/>
        <w:rPr>
          <w:lang w:val="sr-Cyrl-CS"/>
        </w:rPr>
      </w:pPr>
      <w:r>
        <w:rPr>
          <w:rStyle w:val="FootnoteReference"/>
        </w:rPr>
        <w:footnoteRef/>
      </w:r>
      <w:r>
        <w:t xml:space="preserve"> </w:t>
      </w:r>
      <w:hyperlink r:id="rId1" w:history="1">
        <w:r w:rsidRPr="001250AD">
          <w:rPr>
            <w:rStyle w:val="Hyperlink"/>
            <w:rFonts w:ascii="Times New Roman" w:hAnsi="Times New Roman"/>
          </w:rPr>
          <w:t>www.project-center.org</w:t>
        </w:r>
      </w:hyperlink>
    </w:p>
  </w:footnote>
  <w:footnote w:id="2">
    <w:p w:rsidR="00172313" w:rsidRPr="00C277DA" w:rsidRDefault="00172313" w:rsidP="00172313">
      <w:pPr>
        <w:pStyle w:val="FootnoteText"/>
        <w:spacing w:before="0" w:after="0" w:line="240" w:lineRule="auto"/>
        <w:rPr>
          <w:lang w:val="sr-Cyrl-CS"/>
        </w:rPr>
      </w:pPr>
      <w:r>
        <w:rPr>
          <w:rStyle w:val="FootnoteReference"/>
        </w:rPr>
        <w:footnoteRef/>
      </w:r>
      <w:r>
        <w:t xml:space="preserve"> </w:t>
      </w:r>
      <w:hyperlink r:id="rId2" w:history="1">
        <w:r w:rsidRPr="00301F5B">
          <w:rPr>
            <w:rStyle w:val="Hyperlink"/>
            <w:rFonts w:ascii="Times New Roman" w:hAnsi="Times New Roman"/>
            <w:szCs w:val="18"/>
            <w:lang w:val="en-GB"/>
          </w:rPr>
          <w:t>http://www.inkluzija.gov.rs/wp-content/uploads/2011/03/Prvi-nacionalni-izvestaj-o-socijalnom-ukljucivanju-i-smanjenju-siromastva1.pdf</w:t>
        </w:r>
      </w:hyperlink>
      <w:r>
        <w:rPr>
          <w:rFonts w:ascii="Times New Roman" w:hAnsi="Times New Roman"/>
          <w:szCs w:val="18"/>
          <w:lang w:val="sr-Cyrl-CS"/>
        </w:rPr>
        <w:t xml:space="preserve"> </w:t>
      </w:r>
    </w:p>
  </w:footnote>
  <w:footnote w:id="3">
    <w:p w:rsidR="00172313" w:rsidRPr="00C277DA" w:rsidRDefault="00172313" w:rsidP="00172313">
      <w:pPr>
        <w:pStyle w:val="FootnoteText"/>
        <w:spacing w:before="0" w:after="0" w:line="240" w:lineRule="auto"/>
        <w:rPr>
          <w:lang w:val="sr-Cyrl-CS"/>
        </w:rPr>
      </w:pPr>
      <w:r>
        <w:rPr>
          <w:rStyle w:val="FootnoteReference"/>
        </w:rPr>
        <w:footnoteRef/>
      </w:r>
      <w:r>
        <w:t xml:space="preserve"> </w:t>
      </w:r>
      <w:r>
        <w:rPr>
          <w:rFonts w:ascii="Times New Roman" w:hAnsi="Times New Roman"/>
          <w:szCs w:val="18"/>
          <w:lang w:val="sr-Cyrl-CS"/>
        </w:rPr>
        <w:t>Уз „Мишљење Комисије о подношењу захтева Републике Србије за добијање чланства у Европској унији“</w:t>
      </w:r>
      <w:r w:rsidRPr="00C329B8">
        <w:rPr>
          <w:rFonts w:ascii="Times New Roman" w:hAnsi="Times New Roman"/>
          <w:szCs w:val="18"/>
          <w:lang w:val="sr-Cyrl-CS"/>
        </w:rPr>
        <w:t xml:space="preserve">, </w:t>
      </w:r>
      <w:r w:rsidRPr="00C277DA">
        <w:rPr>
          <w:rFonts w:ascii="Times New Roman" w:hAnsi="Times New Roman"/>
          <w:i/>
          <w:szCs w:val="18"/>
          <w:lang w:val="en-GB"/>
        </w:rPr>
        <w:t>COM</w:t>
      </w:r>
      <w:r w:rsidRPr="00C329B8">
        <w:rPr>
          <w:rFonts w:ascii="Times New Roman" w:hAnsi="Times New Roman"/>
          <w:i/>
          <w:szCs w:val="18"/>
          <w:lang w:val="sr-Cyrl-CS"/>
        </w:rPr>
        <w:t xml:space="preserve"> (2011) 668 </w:t>
      </w:r>
      <w:r w:rsidRPr="00C277DA">
        <w:rPr>
          <w:rFonts w:ascii="Times New Roman" w:hAnsi="Times New Roman"/>
          <w:i/>
          <w:szCs w:val="18"/>
          <w:lang w:val="en-GB"/>
        </w:rPr>
        <w:t>final</w:t>
      </w:r>
      <w:r w:rsidRPr="009F09F4">
        <w:rPr>
          <w:rFonts w:ascii="Times New Roman" w:hAnsi="Times New Roman"/>
          <w:i/>
          <w:szCs w:val="18"/>
          <w:lang w:val="sr-Cyrl-CS"/>
        </w:rPr>
        <w:t>.</w:t>
      </w:r>
    </w:p>
  </w:footnote>
  <w:footnote w:id="4">
    <w:p w:rsidR="00172313" w:rsidRPr="00A2007C" w:rsidRDefault="00172313" w:rsidP="008D62BD">
      <w:pPr>
        <w:pStyle w:val="FootnoteText"/>
        <w:rPr>
          <w:rFonts w:ascii="Times New Roman" w:hAnsi="Times New Roman"/>
        </w:rPr>
      </w:pPr>
      <w:r w:rsidRPr="00597853">
        <w:rPr>
          <w:rStyle w:val="FootnoteReference"/>
          <w:rFonts w:ascii="Times New Roman" w:hAnsi="Times New Roman"/>
          <w:lang w:val="en-GB"/>
        </w:rPr>
        <w:footnoteRef/>
      </w:r>
      <w:r w:rsidRPr="00A2007C">
        <w:rPr>
          <w:rFonts w:ascii="Times New Roman" w:hAnsi="Times New Roman"/>
        </w:rPr>
        <w:t xml:space="preserve"> </w:t>
      </w:r>
      <w:r>
        <w:rPr>
          <w:rFonts w:ascii="Times New Roman" w:hAnsi="Times New Roman"/>
        </w:rPr>
        <w:t xml:space="preserve">Марина Петровић, Социјална помоћ и активација у Србији: у потрази за инклузивним решењем, Београд, ЦЛДС, 2011; Марина Петровић, Међусекторска сарадња у пружању услуга корисницима социјалне помоћи, </w:t>
      </w:r>
      <w:r>
        <w:rPr>
          <w:rFonts w:ascii="Times New Roman" w:hAnsi="Times New Roman"/>
          <w:i/>
        </w:rPr>
        <w:t>Фокус</w:t>
      </w:r>
      <w:r>
        <w:rPr>
          <w:rFonts w:ascii="Times New Roman" w:hAnsi="Times New Roman"/>
        </w:rPr>
        <w:t>, октобар 2010.</w:t>
      </w:r>
    </w:p>
  </w:footnote>
  <w:footnote w:id="5">
    <w:p w:rsidR="00172313" w:rsidRPr="00C329B8" w:rsidRDefault="00172313" w:rsidP="00172313">
      <w:pPr>
        <w:pStyle w:val="FootnoteText"/>
        <w:spacing w:before="0" w:after="0" w:line="240" w:lineRule="auto"/>
        <w:rPr>
          <w:rFonts w:ascii="Times New Roman" w:hAnsi="Times New Roman"/>
        </w:rPr>
      </w:pPr>
      <w:r w:rsidRPr="000647A1">
        <w:rPr>
          <w:rStyle w:val="FootnoteReference"/>
          <w:lang w:val="en-GB"/>
        </w:rPr>
        <w:footnoteRef/>
      </w:r>
      <w:r w:rsidRPr="00C329B8">
        <w:t xml:space="preserve"> </w:t>
      </w:r>
      <w:r>
        <w:rPr>
          <w:rFonts w:ascii="Times New Roman" w:hAnsi="Times New Roman"/>
        </w:rPr>
        <w:t>Закон о министарствима</w:t>
      </w:r>
      <w:r w:rsidRPr="00C329B8">
        <w:rPr>
          <w:rFonts w:ascii="Times New Roman" w:hAnsi="Times New Roman"/>
        </w:rPr>
        <w:t xml:space="preserve">, </w:t>
      </w:r>
      <w:r>
        <w:rPr>
          <w:rFonts w:ascii="Times New Roman" w:hAnsi="Times New Roman"/>
        </w:rPr>
        <w:t>Службени гласник Републике Србије, бр</w:t>
      </w:r>
      <w:r w:rsidRPr="00C329B8">
        <w:rPr>
          <w:rFonts w:ascii="Times New Roman" w:hAnsi="Times New Roman"/>
        </w:rPr>
        <w:t>. 16/2011</w:t>
      </w:r>
      <w:r>
        <w:rPr>
          <w:rFonts w:ascii="Times New Roman" w:hAnsi="Times New Roman"/>
          <w:lang w:val="sr-Cyrl-CS"/>
        </w:rPr>
        <w:t>.</w:t>
      </w:r>
      <w:r w:rsidRPr="00C329B8">
        <w:rPr>
          <w:rFonts w:ascii="Times New Roman" w:hAnsi="Times New Roman"/>
        </w:rPr>
        <w:t xml:space="preserve"> </w:t>
      </w:r>
    </w:p>
  </w:footnote>
  <w:footnote w:id="6">
    <w:p w:rsidR="00172313" w:rsidRPr="00172313" w:rsidRDefault="00172313" w:rsidP="00172313">
      <w:pPr>
        <w:pStyle w:val="FootnoteText"/>
        <w:spacing w:before="0" w:after="0" w:line="240" w:lineRule="auto"/>
        <w:rPr>
          <w:rFonts w:ascii="Times New Roman" w:hAnsi="Times New Roman"/>
          <w:lang w:val="sr-Cyrl-CS"/>
        </w:rPr>
      </w:pPr>
      <w:r w:rsidRPr="00597853">
        <w:rPr>
          <w:rStyle w:val="FootnoteReference"/>
          <w:rFonts w:ascii="Times New Roman" w:hAnsi="Times New Roman"/>
          <w:lang w:val="en-GB"/>
        </w:rPr>
        <w:footnoteRef/>
      </w:r>
      <w:r w:rsidRPr="00C329B8">
        <w:rPr>
          <w:rFonts w:ascii="Times New Roman" w:hAnsi="Times New Roman"/>
        </w:rPr>
        <w:t xml:space="preserve"> </w:t>
      </w:r>
      <w:r>
        <w:rPr>
          <w:rFonts w:ascii="Times New Roman" w:hAnsi="Times New Roman"/>
        </w:rPr>
        <w:t>На овом месту не позивамо се на питања трговине, животне средине, инфраструктуре, телекомуникација итд, иако јавне политике у овим областима значајно утичу на социјално укључивање</w:t>
      </w:r>
      <w:r w:rsidRPr="00C329B8">
        <w:rPr>
          <w:rFonts w:ascii="Times New Roman" w:hAnsi="Times New Roman"/>
        </w:rPr>
        <w:t>.</w:t>
      </w:r>
      <w:r>
        <w:rPr>
          <w:rFonts w:ascii="Times New Roman" w:hAnsi="Times New Roman"/>
        </w:rPr>
        <w:t xml:space="preserve"> Разлози јесу то што би шира координација политика и улагања увела додатну сложеност која би могла да нашкоди </w:t>
      </w:r>
      <w:r>
        <w:rPr>
          <w:rFonts w:ascii="Times New Roman" w:hAnsi="Times New Roman"/>
          <w:lang w:val="sr-Cyrl-CS"/>
        </w:rPr>
        <w:t>новој</w:t>
      </w:r>
      <w:r>
        <w:rPr>
          <w:rFonts w:ascii="Times New Roman" w:hAnsi="Times New Roman"/>
        </w:rPr>
        <w:t xml:space="preserve"> институцији. Осим тога, институциона анализа покрива области за које се уопштено сматра да представљају природу социјалног искључивања у Републици Србији (упоредити: Први национални извештај о </w:t>
      </w:r>
      <w:r>
        <w:rPr>
          <w:rFonts w:ascii="Times New Roman" w:hAnsi="Times New Roman"/>
          <w:lang w:val="sr-Cyrl-CS"/>
        </w:rPr>
        <w:t>с</w:t>
      </w:r>
      <w:r>
        <w:rPr>
          <w:rFonts w:ascii="Times New Roman" w:hAnsi="Times New Roman"/>
        </w:rPr>
        <w:t>оцијалном укључивању и смањењу сиромаштва у Републици Србији, Београд, 2011), тако да се становање, дигитални јаз и слична стратешка питања не наводе као првенствени приоритети</w:t>
      </w:r>
      <w:r w:rsidRPr="00C329B8">
        <w:rPr>
          <w:rFonts w:ascii="Times New Roman" w:hAnsi="Times New Roman"/>
        </w:rPr>
        <w:t xml:space="preserve">. </w:t>
      </w:r>
      <w:r>
        <w:rPr>
          <w:rFonts w:ascii="Times New Roman" w:hAnsi="Times New Roman"/>
        </w:rPr>
        <w:t xml:space="preserve"> </w:t>
      </w:r>
    </w:p>
  </w:footnote>
  <w:footnote w:id="7">
    <w:p w:rsidR="00172313" w:rsidRPr="00C329B8" w:rsidRDefault="00172313" w:rsidP="00172313">
      <w:pPr>
        <w:pStyle w:val="FootnoteText"/>
        <w:spacing w:before="0" w:after="0"/>
      </w:pPr>
      <w:r>
        <w:rPr>
          <w:rStyle w:val="FootnoteReference"/>
        </w:rPr>
        <w:footnoteRef/>
      </w:r>
      <w:r>
        <w:t xml:space="preserve"> </w:t>
      </w:r>
      <w:r>
        <w:rPr>
          <w:rFonts w:ascii="Times New Roman" w:hAnsi="Times New Roman"/>
        </w:rPr>
        <w:t>Основан је 2009. године. У децембру 2011. године, након оставке потпредседника Владе, Тим за социјално укључивање и смањење сиромаштва премештен је у Кабинет председника Владе, где се од тада налази.</w:t>
      </w:r>
    </w:p>
  </w:footnote>
  <w:footnote w:id="8">
    <w:p w:rsidR="00172313" w:rsidRPr="00C73A6B" w:rsidRDefault="00172313" w:rsidP="00172313">
      <w:pPr>
        <w:pStyle w:val="FootnoteText"/>
        <w:spacing w:before="0" w:after="0" w:line="240" w:lineRule="auto"/>
        <w:rPr>
          <w:rFonts w:ascii="Times New Roman" w:hAnsi="Times New Roman"/>
        </w:rPr>
      </w:pPr>
      <w:r w:rsidRPr="00C27283">
        <w:rPr>
          <w:rStyle w:val="FootnoteReference"/>
          <w:lang w:val="en-GB"/>
        </w:rPr>
        <w:footnoteRef/>
      </w:r>
      <w:r w:rsidRPr="00C73A6B">
        <w:t xml:space="preserve"> </w:t>
      </w:r>
      <w:r w:rsidRPr="00597853">
        <w:rPr>
          <w:rFonts w:ascii="Times New Roman" w:hAnsi="Times New Roman"/>
          <w:lang w:val="en-GB"/>
        </w:rPr>
        <w:t>Ben</w:t>
      </w:r>
      <w:r w:rsidRPr="00C73A6B">
        <w:rPr>
          <w:rFonts w:ascii="Times New Roman" w:hAnsi="Times New Roman"/>
        </w:rPr>
        <w:t>-</w:t>
      </w:r>
      <w:r w:rsidRPr="00597853">
        <w:rPr>
          <w:rFonts w:ascii="Times New Roman" w:hAnsi="Times New Roman"/>
          <w:lang w:val="en-GB"/>
        </w:rPr>
        <w:t>Gera</w:t>
      </w:r>
      <w:r w:rsidRPr="00C73A6B">
        <w:rPr>
          <w:rFonts w:ascii="Times New Roman" w:hAnsi="Times New Roman"/>
        </w:rPr>
        <w:t xml:space="preserve">, </w:t>
      </w:r>
      <w:r w:rsidRPr="00597853">
        <w:rPr>
          <w:rFonts w:ascii="Times New Roman" w:hAnsi="Times New Roman"/>
          <w:lang w:val="en-GB"/>
        </w:rPr>
        <w:t>Michal</w:t>
      </w:r>
      <w:r w:rsidRPr="00C73A6B">
        <w:rPr>
          <w:rFonts w:ascii="Times New Roman" w:hAnsi="Times New Roman"/>
        </w:rPr>
        <w:t xml:space="preserve">, </w:t>
      </w:r>
      <w:r w:rsidRPr="00597853">
        <w:rPr>
          <w:rFonts w:ascii="Times New Roman" w:hAnsi="Times New Roman"/>
          <w:lang w:val="en-GB"/>
        </w:rPr>
        <w:t>Horizontal</w:t>
      </w:r>
      <w:r w:rsidRPr="00C73A6B">
        <w:rPr>
          <w:rFonts w:ascii="Times New Roman" w:hAnsi="Times New Roman"/>
        </w:rPr>
        <w:t xml:space="preserve"> </w:t>
      </w:r>
      <w:r w:rsidRPr="00597853">
        <w:rPr>
          <w:rFonts w:ascii="Times New Roman" w:hAnsi="Times New Roman"/>
          <w:lang w:val="en-GB"/>
        </w:rPr>
        <w:t>Policy</w:t>
      </w:r>
      <w:r w:rsidRPr="00C73A6B">
        <w:rPr>
          <w:rFonts w:ascii="Times New Roman" w:hAnsi="Times New Roman"/>
        </w:rPr>
        <w:t xml:space="preserve"> </w:t>
      </w:r>
      <w:r w:rsidRPr="00597853">
        <w:rPr>
          <w:rFonts w:ascii="Times New Roman" w:hAnsi="Times New Roman"/>
          <w:lang w:val="en-GB"/>
        </w:rPr>
        <w:t>Coordination</w:t>
      </w:r>
      <w:r w:rsidRPr="00C73A6B">
        <w:rPr>
          <w:rFonts w:ascii="Times New Roman" w:hAnsi="Times New Roman"/>
        </w:rPr>
        <w:t xml:space="preserve">, </w:t>
      </w:r>
      <w:r w:rsidRPr="00597853">
        <w:rPr>
          <w:rFonts w:ascii="Times New Roman" w:hAnsi="Times New Roman"/>
          <w:lang w:val="en-GB"/>
        </w:rPr>
        <w:t>Belgrade</w:t>
      </w:r>
      <w:r w:rsidRPr="00C73A6B">
        <w:rPr>
          <w:rFonts w:ascii="Times New Roman" w:hAnsi="Times New Roman"/>
        </w:rPr>
        <w:t xml:space="preserve">: </w:t>
      </w:r>
      <w:r w:rsidRPr="00597853">
        <w:rPr>
          <w:rFonts w:ascii="Times New Roman" w:hAnsi="Times New Roman"/>
          <w:lang w:val="en-GB"/>
        </w:rPr>
        <w:t>Ministry</w:t>
      </w:r>
      <w:r w:rsidRPr="00C73A6B">
        <w:rPr>
          <w:rFonts w:ascii="Times New Roman" w:hAnsi="Times New Roman"/>
        </w:rPr>
        <w:t xml:space="preserve"> </w:t>
      </w:r>
      <w:r w:rsidRPr="00597853">
        <w:rPr>
          <w:rFonts w:ascii="Times New Roman" w:hAnsi="Times New Roman"/>
          <w:lang w:val="en-GB"/>
        </w:rPr>
        <w:t>of</w:t>
      </w:r>
      <w:r w:rsidRPr="00C73A6B">
        <w:rPr>
          <w:rFonts w:ascii="Times New Roman" w:hAnsi="Times New Roman"/>
        </w:rPr>
        <w:t xml:space="preserve"> </w:t>
      </w:r>
      <w:r w:rsidRPr="00597853">
        <w:rPr>
          <w:rFonts w:ascii="Times New Roman" w:hAnsi="Times New Roman"/>
          <w:lang w:val="en-GB"/>
        </w:rPr>
        <w:t>Public</w:t>
      </w:r>
      <w:r w:rsidRPr="00C73A6B">
        <w:rPr>
          <w:rFonts w:ascii="Times New Roman" w:hAnsi="Times New Roman"/>
        </w:rPr>
        <w:t xml:space="preserve"> </w:t>
      </w:r>
      <w:r w:rsidRPr="00597853">
        <w:rPr>
          <w:rFonts w:ascii="Times New Roman" w:hAnsi="Times New Roman"/>
          <w:lang w:val="en-GB"/>
        </w:rPr>
        <w:t>Administration</w:t>
      </w:r>
      <w:r w:rsidRPr="00C73A6B">
        <w:rPr>
          <w:rFonts w:ascii="Times New Roman" w:hAnsi="Times New Roman"/>
        </w:rPr>
        <w:t xml:space="preserve"> </w:t>
      </w:r>
      <w:r w:rsidRPr="00597853">
        <w:rPr>
          <w:rFonts w:ascii="Times New Roman" w:hAnsi="Times New Roman"/>
          <w:lang w:val="en-GB"/>
        </w:rPr>
        <w:t>and</w:t>
      </w:r>
      <w:r w:rsidRPr="00C73A6B">
        <w:rPr>
          <w:rFonts w:ascii="Times New Roman" w:hAnsi="Times New Roman"/>
        </w:rPr>
        <w:t xml:space="preserve"> </w:t>
      </w:r>
      <w:r w:rsidRPr="00597853">
        <w:rPr>
          <w:rFonts w:ascii="Times New Roman" w:hAnsi="Times New Roman"/>
          <w:lang w:val="en-GB"/>
        </w:rPr>
        <w:t>Local</w:t>
      </w:r>
      <w:r w:rsidRPr="00C73A6B">
        <w:rPr>
          <w:rFonts w:ascii="Times New Roman" w:hAnsi="Times New Roman"/>
        </w:rPr>
        <w:t xml:space="preserve"> </w:t>
      </w:r>
      <w:r w:rsidRPr="00597853">
        <w:rPr>
          <w:rFonts w:ascii="Times New Roman" w:hAnsi="Times New Roman"/>
          <w:lang w:val="en-GB"/>
        </w:rPr>
        <w:t>Self</w:t>
      </w:r>
      <w:r w:rsidRPr="00C73A6B">
        <w:rPr>
          <w:rFonts w:ascii="Times New Roman" w:hAnsi="Times New Roman"/>
        </w:rPr>
        <w:t>-</w:t>
      </w:r>
      <w:r w:rsidRPr="00597853">
        <w:rPr>
          <w:rFonts w:ascii="Times New Roman" w:hAnsi="Times New Roman"/>
          <w:lang w:val="en-GB"/>
        </w:rPr>
        <w:t>Government</w:t>
      </w:r>
      <w:r w:rsidRPr="00C73A6B">
        <w:rPr>
          <w:rFonts w:ascii="Times New Roman" w:hAnsi="Times New Roman"/>
        </w:rPr>
        <w:t xml:space="preserve">, 2009; </w:t>
      </w:r>
      <w:r w:rsidRPr="00B5031B">
        <w:rPr>
          <w:rFonts w:ascii="Times New Roman" w:hAnsi="Times New Roman"/>
          <w:lang w:val="sr-Cyrl-CS"/>
        </w:rPr>
        <w:t xml:space="preserve">Група аутора, Изазови реформе </w:t>
      </w:r>
      <w:r>
        <w:rPr>
          <w:rFonts w:ascii="Times New Roman" w:hAnsi="Times New Roman"/>
          <w:lang w:val="sr-Cyrl-CS"/>
        </w:rPr>
        <w:t>–</w:t>
      </w:r>
      <w:r w:rsidRPr="00B5031B">
        <w:rPr>
          <w:rFonts w:ascii="Times New Roman" w:hAnsi="Times New Roman"/>
          <w:lang w:val="sr-Cyrl-CS"/>
        </w:rPr>
        <w:t xml:space="preserve"> дијагностичка студија органа државне управе Републике Србије, Београд, 2002.</w:t>
      </w:r>
    </w:p>
  </w:footnote>
  <w:footnote w:id="9">
    <w:p w:rsidR="00172313" w:rsidRPr="00597853" w:rsidRDefault="00172313" w:rsidP="00172313">
      <w:pPr>
        <w:pStyle w:val="FootnoteText"/>
        <w:spacing w:before="60" w:after="0" w:line="240" w:lineRule="auto"/>
        <w:rPr>
          <w:rFonts w:ascii="Times New Roman" w:hAnsi="Times New Roman"/>
          <w:lang w:val="en-GB"/>
        </w:rPr>
      </w:pPr>
      <w:r w:rsidRPr="00597853">
        <w:rPr>
          <w:rStyle w:val="FootnoteReference"/>
          <w:rFonts w:ascii="Times New Roman" w:hAnsi="Times New Roman"/>
          <w:lang w:val="en-GB"/>
        </w:rPr>
        <w:footnoteRef/>
      </w:r>
      <w:r w:rsidRPr="00597853">
        <w:rPr>
          <w:rFonts w:ascii="Times New Roman" w:hAnsi="Times New Roman"/>
          <w:lang w:val="en-GB"/>
        </w:rPr>
        <w:t xml:space="preserve"> Vuković, Danilo, Institutional Capacities, Social and Human Capital and the Application of Law: Reforms of the Local Social Protection System in Serbia“, paper presented at the conference Poverty and Social Inclusion in the Western Balkans-World Bank, Brussels, Belgium, 2010.</w:t>
      </w:r>
    </w:p>
  </w:footnote>
  <w:footnote w:id="10">
    <w:p w:rsidR="00172313" w:rsidRPr="00597853" w:rsidRDefault="00172313" w:rsidP="00172313">
      <w:pPr>
        <w:pStyle w:val="FootnoteText"/>
        <w:spacing w:before="60" w:after="0" w:line="240" w:lineRule="auto"/>
        <w:rPr>
          <w:rFonts w:ascii="Times New Roman" w:hAnsi="Times New Roman"/>
          <w:lang w:val="en-GB"/>
        </w:rPr>
      </w:pPr>
      <w:r w:rsidRPr="00597853">
        <w:rPr>
          <w:rStyle w:val="FootnoteReference"/>
          <w:rFonts w:ascii="Times New Roman" w:hAnsi="Times New Roman"/>
          <w:lang w:val="en-GB"/>
        </w:rPr>
        <w:footnoteRef/>
      </w:r>
      <w:r w:rsidRPr="00597853">
        <w:rPr>
          <w:rFonts w:ascii="Times New Roman" w:hAnsi="Times New Roman"/>
          <w:lang w:val="en-GB"/>
        </w:rPr>
        <w:t xml:space="preserve"> </w:t>
      </w:r>
      <w:r>
        <w:rPr>
          <w:rFonts w:ascii="Times New Roman" w:hAnsi="Times New Roman"/>
          <w:lang w:val="sr-Cyrl-CS"/>
        </w:rPr>
        <w:t xml:space="preserve">Извештај припремљен у оквиру заједничког пројекта ОЕЦД и ЕУ - </w:t>
      </w:r>
      <w:r w:rsidRPr="00597853">
        <w:rPr>
          <w:rFonts w:ascii="Times New Roman" w:hAnsi="Times New Roman"/>
          <w:lang w:val="en-GB"/>
        </w:rPr>
        <w:t xml:space="preserve">Support for Improvement in Governance and Management,  </w:t>
      </w:r>
      <w:hyperlink r:id="rId3" w:history="1">
        <w:r w:rsidRPr="00597853">
          <w:rPr>
            <w:rStyle w:val="Hyperlink"/>
            <w:rFonts w:ascii="Times New Roman" w:hAnsi="Times New Roman"/>
            <w:lang w:val="en-GB"/>
          </w:rPr>
          <w:t>http://www.oecd.org/dataoecd/40/27/48970654.pdf</w:t>
        </w:r>
      </w:hyperlink>
      <w:r w:rsidRPr="00597853">
        <w:rPr>
          <w:rFonts w:ascii="Times New Roman" w:hAnsi="Times New Roman"/>
          <w:lang w:val="en-GB"/>
        </w:rPr>
        <w:t xml:space="preserve"> </w:t>
      </w:r>
    </w:p>
  </w:footnote>
  <w:footnote w:id="11">
    <w:p w:rsidR="00172313" w:rsidRPr="00597853" w:rsidRDefault="00172313" w:rsidP="00172313">
      <w:pPr>
        <w:pStyle w:val="FootnoteText"/>
        <w:spacing w:before="60" w:after="0" w:line="240" w:lineRule="auto"/>
        <w:rPr>
          <w:rFonts w:ascii="Times New Roman" w:hAnsi="Times New Roman"/>
          <w:lang w:val="en-GB"/>
        </w:rPr>
      </w:pPr>
      <w:r w:rsidRPr="00597853">
        <w:rPr>
          <w:rStyle w:val="FootnoteReference"/>
          <w:rFonts w:ascii="Times New Roman" w:hAnsi="Times New Roman"/>
          <w:lang w:val="en-GB"/>
        </w:rPr>
        <w:footnoteRef/>
      </w:r>
      <w:r w:rsidRPr="00597853">
        <w:rPr>
          <w:rFonts w:ascii="Times New Roman" w:hAnsi="Times New Roman"/>
          <w:lang w:val="en-GB"/>
        </w:rPr>
        <w:t xml:space="preserve"> </w:t>
      </w:r>
      <w:proofErr w:type="gramStart"/>
      <w:r w:rsidRPr="00597853">
        <w:rPr>
          <w:rFonts w:ascii="Times New Roman" w:hAnsi="Times New Roman"/>
          <w:lang w:val="en-GB"/>
        </w:rPr>
        <w:t>S</w:t>
      </w:r>
      <w:r>
        <w:rPr>
          <w:rFonts w:ascii="Times New Roman" w:hAnsi="Times New Roman"/>
          <w:lang w:val="en-GB"/>
        </w:rPr>
        <w:t>IGMA, Assessment Serbia 2011.</w:t>
      </w:r>
      <w:proofErr w:type="gramEnd"/>
      <w:r>
        <w:rPr>
          <w:rFonts w:ascii="Times New Roman" w:hAnsi="Times New Roman"/>
          <w:lang w:val="en-GB"/>
        </w:rPr>
        <w:t xml:space="preserve"> [</w:t>
      </w:r>
      <w:r>
        <w:rPr>
          <w:rFonts w:ascii="Times New Roman" w:hAnsi="Times New Roman"/>
          <w:lang w:val="sr-Cyrl-CS"/>
        </w:rPr>
        <w:t>стр</w:t>
      </w:r>
      <w:r w:rsidRPr="00597853">
        <w:rPr>
          <w:rFonts w:ascii="Times New Roman" w:hAnsi="Times New Roman"/>
          <w:lang w:val="en-GB"/>
        </w:rPr>
        <w:t>.174-175]</w:t>
      </w:r>
    </w:p>
  </w:footnote>
  <w:footnote w:id="12">
    <w:p w:rsidR="00172313" w:rsidRPr="002E333E" w:rsidRDefault="00172313" w:rsidP="00172313">
      <w:pPr>
        <w:spacing w:before="60" w:after="0" w:line="240" w:lineRule="auto"/>
      </w:pPr>
      <w:r>
        <w:rPr>
          <w:rStyle w:val="FootnoteReference"/>
        </w:rPr>
        <w:footnoteRef/>
      </w:r>
      <w:r>
        <w:t xml:space="preserve"> </w:t>
      </w:r>
      <w:r w:rsidRPr="00C7528D">
        <w:rPr>
          <w:sz w:val="20"/>
          <w:szCs w:val="20"/>
          <w:lang w:val="sr-Cyrl-CS"/>
        </w:rPr>
        <w:t>Или други одговарајући стратешки документ који представља план повећања социјалне укључености и смањења сиромаштва у процесу приступања.</w:t>
      </w:r>
      <w:r>
        <w:t xml:space="preserve"> </w:t>
      </w:r>
    </w:p>
  </w:footnote>
  <w:footnote w:id="13">
    <w:p w:rsidR="00172313" w:rsidRPr="001250AD" w:rsidRDefault="00172313" w:rsidP="00C7528D">
      <w:pPr>
        <w:pStyle w:val="FootnoteText"/>
        <w:spacing w:after="0" w:line="240" w:lineRule="auto"/>
        <w:rPr>
          <w:lang w:val="sr-Latn-RS"/>
        </w:rPr>
      </w:pPr>
      <w:r>
        <w:rPr>
          <w:rStyle w:val="FootnoteReference"/>
        </w:rPr>
        <w:footnoteRef/>
      </w:r>
      <w:r>
        <w:t xml:space="preserve"> </w:t>
      </w:r>
      <w:r w:rsidRPr="00C7528D">
        <w:rPr>
          <w:rFonts w:ascii="Times New Roman" w:hAnsi="Times New Roman"/>
          <w:lang w:val="sr-Cyrl-CS"/>
        </w:rPr>
        <w:t>Путе</w:t>
      </w:r>
      <w:r>
        <w:rPr>
          <w:rFonts w:ascii="Times New Roman" w:hAnsi="Times New Roman"/>
          <w:lang w:val="sr-Cyrl-CS"/>
        </w:rPr>
        <w:t xml:space="preserve">м Отвореног метода координације у области социјалне заштите и социјалног укључивања, ЕУ пружа оквир за израду националних стратегија, као и за координацију политика између држава чланица ЕУ по питању сиромаштва и социјалне искључености, здравствене заштите и дугорочне неге, као и пензија. </w:t>
      </w:r>
    </w:p>
  </w:footnote>
  <w:footnote w:id="14">
    <w:p w:rsidR="00172313" w:rsidRPr="003F343E" w:rsidRDefault="00172313" w:rsidP="003F343E">
      <w:pPr>
        <w:pStyle w:val="BodyText"/>
        <w:spacing w:after="0" w:line="100" w:lineRule="atLeast"/>
        <w:rPr>
          <w:rFonts w:eastAsia="Arial" w:cs="Times New Roman"/>
          <w:sz w:val="20"/>
          <w:szCs w:val="20"/>
          <w:lang w:val="sr-Cyrl-CS"/>
        </w:rPr>
      </w:pPr>
      <w:r w:rsidRPr="00C27283">
        <w:rPr>
          <w:rStyle w:val="FootnoteReference"/>
          <w:sz w:val="20"/>
          <w:szCs w:val="20"/>
          <w:lang w:val="en-GB"/>
        </w:rPr>
        <w:footnoteRef/>
      </w:r>
      <w:r w:rsidRPr="00C27283">
        <w:rPr>
          <w:sz w:val="20"/>
          <w:szCs w:val="20"/>
          <w:lang w:val="en-GB"/>
        </w:rPr>
        <w:t xml:space="preserve"> </w:t>
      </w:r>
      <w:r w:rsidRPr="00597853">
        <w:rPr>
          <w:rFonts w:cs="Times New Roman"/>
          <w:sz w:val="20"/>
          <w:szCs w:val="20"/>
          <w:lang w:val="en-GB"/>
        </w:rPr>
        <w:t xml:space="preserve">MEL, </w:t>
      </w:r>
      <w:r w:rsidRPr="00597853">
        <w:rPr>
          <w:rFonts w:cs="Times New Roman"/>
          <w:i/>
          <w:iCs/>
          <w:sz w:val="20"/>
          <w:szCs w:val="20"/>
          <w:lang w:val="en-GB"/>
        </w:rPr>
        <w:t>Equal – Community Initiative Programme. Hungary 2004-2006</w:t>
      </w:r>
      <w:r w:rsidRPr="00597853">
        <w:rPr>
          <w:rFonts w:cs="Times New Roman"/>
          <w:sz w:val="20"/>
          <w:szCs w:val="20"/>
          <w:lang w:val="en-GB"/>
        </w:rPr>
        <w:t xml:space="preserve">, Budapest, Ministry of Employment and Labour, 2003; MLSA, </w:t>
      </w:r>
      <w:r w:rsidRPr="00597853">
        <w:rPr>
          <w:rFonts w:eastAsia="Arial" w:cs="Times New Roman"/>
          <w:i/>
          <w:iCs/>
          <w:sz w:val="20"/>
          <w:szCs w:val="20"/>
          <w:lang w:val="en-GB"/>
        </w:rPr>
        <w:t>First phase evaluation of Community Initiative EQUAL</w:t>
      </w:r>
      <w:r>
        <w:rPr>
          <w:rFonts w:eastAsia="Arial" w:cs="Times New Roman"/>
          <w:i/>
          <w:iCs/>
          <w:sz w:val="20"/>
          <w:szCs w:val="20"/>
          <w:lang w:val="en-GB"/>
        </w:rPr>
        <w:t xml:space="preserve"> </w:t>
      </w:r>
      <w:r w:rsidRPr="00597853">
        <w:rPr>
          <w:rFonts w:eastAsia="Arial" w:cs="Times New Roman"/>
          <w:i/>
          <w:iCs/>
          <w:sz w:val="20"/>
          <w:szCs w:val="20"/>
          <w:lang w:val="en-GB"/>
        </w:rPr>
        <w:t xml:space="preserve">- 2nd round in Czech Republic, </w:t>
      </w:r>
      <w:r w:rsidRPr="00597853">
        <w:rPr>
          <w:rFonts w:eastAsia="Arial" w:cs="Times New Roman"/>
          <w:sz w:val="20"/>
          <w:szCs w:val="20"/>
          <w:lang w:val="en-GB"/>
        </w:rPr>
        <w:t xml:space="preserve">Praha, Ministry of Labour and Social Affairs, 2005; MLSA, </w:t>
      </w:r>
      <w:r w:rsidRPr="00597853">
        <w:rPr>
          <w:rFonts w:eastAsia="Arial" w:cs="Times New Roman"/>
          <w:i/>
          <w:iCs/>
          <w:sz w:val="20"/>
          <w:szCs w:val="20"/>
          <w:lang w:val="en-GB"/>
        </w:rPr>
        <w:t xml:space="preserve">Second phase evaluation of Community Initiative EQUAL, </w:t>
      </w:r>
      <w:r w:rsidRPr="00597853">
        <w:rPr>
          <w:rFonts w:eastAsia="Arial" w:cs="Times New Roman"/>
          <w:sz w:val="20"/>
          <w:szCs w:val="20"/>
          <w:lang w:val="en-GB"/>
        </w:rPr>
        <w:t xml:space="preserve">Praha, Ministry of Labour and Social Affairs, 2006; MLSA, </w:t>
      </w:r>
      <w:r w:rsidRPr="00597853">
        <w:rPr>
          <w:rFonts w:eastAsia="Arial" w:cs="Times New Roman"/>
          <w:i/>
          <w:iCs/>
          <w:sz w:val="20"/>
          <w:szCs w:val="20"/>
          <w:lang w:val="en-GB"/>
        </w:rPr>
        <w:t xml:space="preserve">Third Phase of the Ongoing Evaluation of the Community Initiative Programme EQUAL, </w:t>
      </w:r>
      <w:r w:rsidRPr="00597853">
        <w:rPr>
          <w:rFonts w:eastAsia="Arial" w:cs="Times New Roman"/>
          <w:sz w:val="20"/>
          <w:szCs w:val="20"/>
          <w:lang w:val="en-GB"/>
        </w:rPr>
        <w:t>Praha, Ministry of Labour and Social Affairs, 2007</w:t>
      </w:r>
      <w:r>
        <w:rPr>
          <w:rFonts w:eastAsia="Arial" w:cs="Times New Roman"/>
          <w:sz w:val="20"/>
          <w:szCs w:val="20"/>
          <w:lang w:val="en-GB"/>
        </w:rPr>
        <w:t>.</w:t>
      </w:r>
    </w:p>
  </w:footnote>
  <w:footnote w:id="15">
    <w:p w:rsidR="00172313" w:rsidRPr="00E0770C" w:rsidRDefault="00172313" w:rsidP="0046476F">
      <w:pPr>
        <w:pStyle w:val="FootnoteText"/>
        <w:rPr>
          <w:lang w:val="sr-Cyrl-CS"/>
        </w:rPr>
      </w:pPr>
      <w:r w:rsidRPr="00C27283">
        <w:rPr>
          <w:rStyle w:val="FootnoteReference"/>
          <w:lang w:val="en-GB"/>
        </w:rPr>
        <w:footnoteRef/>
      </w:r>
      <w:r w:rsidRPr="00F5304C">
        <w:t xml:space="preserve"> </w:t>
      </w:r>
      <w:hyperlink r:id="rId4" w:history="1">
        <w:r w:rsidRPr="00210D00">
          <w:rPr>
            <w:rStyle w:val="Hyperlink"/>
            <w:rFonts w:ascii="Times New Roman" w:hAnsi="Times New Roman"/>
            <w:szCs w:val="18"/>
          </w:rPr>
          <w:t>http://ec.europa.eu/social/main.jsp?catId=370&amp;langId=en&amp;featuresId=106&amp;furtherFeatures=yes</w:t>
        </w:r>
      </w:hyperlink>
      <w:r>
        <w:rPr>
          <w:rFonts w:ascii="Times New Roman" w:hAnsi="Times New Roman"/>
          <w:szCs w:val="18"/>
          <w:lang w:val="sr-Cyrl-CS"/>
        </w:rPr>
        <w:t xml:space="preserve">. </w:t>
      </w:r>
    </w:p>
  </w:footnote>
  <w:footnote w:id="16">
    <w:p w:rsidR="00172313" w:rsidRPr="000C1AC8" w:rsidRDefault="00172313" w:rsidP="0046476F">
      <w:pPr>
        <w:pStyle w:val="FootnoteText"/>
        <w:spacing w:after="0"/>
        <w:rPr>
          <w:noProof/>
          <w:lang w:val="sr-Cyrl-CS"/>
        </w:rPr>
      </w:pPr>
      <w:r w:rsidRPr="000C1AC8">
        <w:rPr>
          <w:rStyle w:val="FootnoteReference"/>
          <w:rFonts w:ascii="Times New Roman" w:hAnsi="Times New Roman"/>
          <w:noProof/>
          <w:lang w:val="sr-Cyrl-CS"/>
        </w:rPr>
        <w:footnoteRef/>
      </w:r>
      <w:r w:rsidRPr="000C1AC8">
        <w:rPr>
          <w:rFonts w:ascii="Times New Roman" w:hAnsi="Times New Roman"/>
          <w:noProof/>
          <w:lang w:val="sr-Cyrl-CS"/>
        </w:rPr>
        <w:t xml:space="preserve"> </w:t>
      </w:r>
      <w:r>
        <w:rPr>
          <w:rFonts w:ascii="Times New Roman" w:hAnsi="Times New Roman"/>
          <w:noProof/>
          <w:lang w:val="sr-Cyrl-CS"/>
        </w:rPr>
        <w:t>Потрошња</w:t>
      </w:r>
      <w:r w:rsidRPr="000C1AC8">
        <w:rPr>
          <w:rFonts w:ascii="Times New Roman" w:hAnsi="Times New Roman"/>
          <w:noProof/>
          <w:lang w:val="sr-Cyrl-CS"/>
        </w:rPr>
        <w:t xml:space="preserve"> </w:t>
      </w:r>
      <w:r>
        <w:rPr>
          <w:rFonts w:ascii="Times New Roman" w:hAnsi="Times New Roman"/>
          <w:noProof/>
          <w:szCs w:val="18"/>
          <w:lang w:val="sr-Cyrl-CS"/>
        </w:rPr>
        <w:t>ЕСФ</w:t>
      </w:r>
      <w:r w:rsidRPr="000C1AC8">
        <w:rPr>
          <w:rFonts w:ascii="Times New Roman" w:hAnsi="Times New Roman"/>
          <w:noProof/>
          <w:szCs w:val="18"/>
          <w:lang w:val="sr-Cyrl-CS"/>
        </w:rPr>
        <w:t xml:space="preserve"> </w:t>
      </w:r>
      <w:r>
        <w:rPr>
          <w:rFonts w:ascii="Times New Roman" w:hAnsi="Times New Roman"/>
          <w:noProof/>
          <w:szCs w:val="18"/>
          <w:lang w:val="sr-Cyrl-CS"/>
        </w:rPr>
        <w:t>износи</w:t>
      </w:r>
      <w:r w:rsidRPr="000C1AC8">
        <w:rPr>
          <w:rFonts w:ascii="Times New Roman" w:hAnsi="Times New Roman"/>
          <w:noProof/>
          <w:szCs w:val="18"/>
          <w:lang w:val="sr-Cyrl-CS"/>
        </w:rPr>
        <w:t xml:space="preserve"> </w:t>
      </w:r>
      <w:r>
        <w:rPr>
          <w:rFonts w:ascii="Times New Roman" w:hAnsi="Times New Roman"/>
          <w:noProof/>
          <w:szCs w:val="18"/>
          <w:lang w:val="sr-Cyrl-CS"/>
        </w:rPr>
        <w:t>око</w:t>
      </w:r>
      <w:r w:rsidRPr="000C1AC8">
        <w:rPr>
          <w:rFonts w:ascii="Times New Roman" w:hAnsi="Times New Roman"/>
          <w:noProof/>
          <w:szCs w:val="18"/>
          <w:lang w:val="sr-Cyrl-CS"/>
        </w:rPr>
        <w:t xml:space="preserve"> 10% </w:t>
      </w:r>
      <w:r>
        <w:rPr>
          <w:rFonts w:ascii="Times New Roman" w:hAnsi="Times New Roman"/>
          <w:noProof/>
          <w:szCs w:val="18"/>
          <w:lang w:val="sr-Cyrl-CS"/>
        </w:rPr>
        <w:t>укупног</w:t>
      </w:r>
      <w:r w:rsidRPr="000C1AC8">
        <w:rPr>
          <w:rFonts w:ascii="Times New Roman" w:hAnsi="Times New Roman"/>
          <w:noProof/>
          <w:szCs w:val="18"/>
          <w:lang w:val="sr-Cyrl-CS"/>
        </w:rPr>
        <w:t xml:space="preserve"> </w:t>
      </w:r>
      <w:r>
        <w:rPr>
          <w:rFonts w:ascii="Times New Roman" w:hAnsi="Times New Roman"/>
          <w:noProof/>
          <w:szCs w:val="18"/>
          <w:lang w:val="sr-Cyrl-CS"/>
        </w:rPr>
        <w:t>буџета</w:t>
      </w:r>
      <w:r w:rsidRPr="000C1AC8">
        <w:rPr>
          <w:rFonts w:ascii="Times New Roman" w:hAnsi="Times New Roman"/>
          <w:noProof/>
          <w:szCs w:val="18"/>
          <w:lang w:val="sr-Cyrl-CS"/>
        </w:rPr>
        <w:t xml:space="preserve"> </w:t>
      </w:r>
      <w:r>
        <w:rPr>
          <w:rFonts w:ascii="Times New Roman" w:hAnsi="Times New Roman"/>
          <w:noProof/>
          <w:szCs w:val="18"/>
          <w:lang w:val="sr-Cyrl-CS"/>
        </w:rPr>
        <w:t>ЕУ</w:t>
      </w:r>
      <w:r w:rsidRPr="000C1AC8">
        <w:rPr>
          <w:rFonts w:ascii="Times New Roman" w:hAnsi="Times New Roman"/>
          <w:noProof/>
          <w:szCs w:val="18"/>
          <w:lang w:val="sr-Cyrl-CS"/>
        </w:rPr>
        <w:t xml:space="preserve"> – </w:t>
      </w:r>
      <w:r>
        <w:rPr>
          <w:rFonts w:ascii="Times New Roman" w:hAnsi="Times New Roman"/>
          <w:noProof/>
          <w:szCs w:val="18"/>
          <w:lang w:val="sr-Cyrl-CS"/>
        </w:rPr>
        <w:t>за</w:t>
      </w:r>
      <w:r w:rsidRPr="000C1AC8">
        <w:rPr>
          <w:rFonts w:ascii="Times New Roman" w:hAnsi="Times New Roman"/>
          <w:noProof/>
          <w:szCs w:val="18"/>
          <w:lang w:val="sr-Cyrl-CS"/>
        </w:rPr>
        <w:t xml:space="preserve"> </w:t>
      </w:r>
      <w:r>
        <w:rPr>
          <w:rFonts w:ascii="Times New Roman" w:hAnsi="Times New Roman"/>
          <w:noProof/>
          <w:szCs w:val="18"/>
          <w:lang w:val="sr-Cyrl-CS"/>
        </w:rPr>
        <w:t>период</w:t>
      </w:r>
      <w:r w:rsidRPr="000C1AC8">
        <w:rPr>
          <w:rFonts w:ascii="Times New Roman" w:hAnsi="Times New Roman"/>
          <w:noProof/>
          <w:szCs w:val="18"/>
          <w:lang w:val="sr-Cyrl-CS"/>
        </w:rPr>
        <w:t xml:space="preserve"> </w:t>
      </w:r>
      <w:r>
        <w:rPr>
          <w:rFonts w:ascii="Times New Roman" w:hAnsi="Times New Roman"/>
          <w:noProof/>
          <w:szCs w:val="18"/>
          <w:lang w:val="sr-Cyrl-CS"/>
        </w:rPr>
        <w:t>од</w:t>
      </w:r>
      <w:r w:rsidRPr="000C1AC8">
        <w:rPr>
          <w:rFonts w:ascii="Times New Roman" w:hAnsi="Times New Roman"/>
          <w:noProof/>
          <w:szCs w:val="18"/>
          <w:lang w:val="sr-Cyrl-CS"/>
        </w:rPr>
        <w:t xml:space="preserve"> 2007 </w:t>
      </w:r>
      <w:r>
        <w:rPr>
          <w:rFonts w:ascii="Times New Roman" w:hAnsi="Times New Roman"/>
          <w:noProof/>
          <w:szCs w:val="18"/>
          <w:lang w:val="sr-Cyrl-CS"/>
        </w:rPr>
        <w:t>до</w:t>
      </w:r>
      <w:r w:rsidRPr="000C1AC8">
        <w:rPr>
          <w:rFonts w:ascii="Times New Roman" w:hAnsi="Times New Roman"/>
          <w:noProof/>
          <w:szCs w:val="18"/>
          <w:lang w:val="sr-Cyrl-CS"/>
        </w:rPr>
        <w:t xml:space="preserve"> 2013.</w:t>
      </w:r>
      <w:r>
        <w:rPr>
          <w:rFonts w:ascii="Times New Roman" w:hAnsi="Times New Roman"/>
          <w:noProof/>
          <w:szCs w:val="18"/>
          <w:lang w:val="sr-Cyrl-CS"/>
        </w:rPr>
        <w:t xml:space="preserve"> године</w:t>
      </w:r>
      <w:r w:rsidRPr="000C1AC8">
        <w:rPr>
          <w:rFonts w:ascii="Times New Roman" w:hAnsi="Times New Roman"/>
          <w:noProof/>
          <w:szCs w:val="18"/>
          <w:lang w:val="sr-Cyrl-CS"/>
        </w:rPr>
        <w:t xml:space="preserve"> </w:t>
      </w:r>
      <w:r>
        <w:rPr>
          <w:rFonts w:ascii="Times New Roman" w:hAnsi="Times New Roman"/>
          <w:noProof/>
          <w:szCs w:val="18"/>
          <w:lang w:val="sr-Cyrl-CS"/>
        </w:rPr>
        <w:t>ЕСФ</w:t>
      </w:r>
      <w:r w:rsidRPr="000C1AC8">
        <w:rPr>
          <w:rFonts w:ascii="Times New Roman" w:hAnsi="Times New Roman"/>
          <w:noProof/>
          <w:szCs w:val="18"/>
          <w:lang w:val="sr-Cyrl-CS"/>
        </w:rPr>
        <w:t xml:space="preserve"> </w:t>
      </w:r>
      <w:r>
        <w:rPr>
          <w:rFonts w:ascii="Times New Roman" w:hAnsi="Times New Roman"/>
          <w:noProof/>
          <w:szCs w:val="18"/>
          <w:lang w:val="sr-Cyrl-CS"/>
        </w:rPr>
        <w:t>је</w:t>
      </w:r>
      <w:r w:rsidRPr="000C1AC8">
        <w:rPr>
          <w:rFonts w:ascii="Times New Roman" w:hAnsi="Times New Roman"/>
          <w:noProof/>
          <w:szCs w:val="18"/>
          <w:lang w:val="sr-Cyrl-CS"/>
        </w:rPr>
        <w:t xml:space="preserve"> </w:t>
      </w:r>
      <w:r>
        <w:rPr>
          <w:rFonts w:ascii="Times New Roman" w:hAnsi="Times New Roman"/>
          <w:noProof/>
          <w:szCs w:val="18"/>
          <w:lang w:val="sr-Cyrl-CS"/>
        </w:rPr>
        <w:t>додељено</w:t>
      </w:r>
      <w:r w:rsidRPr="000C1AC8">
        <w:rPr>
          <w:rFonts w:ascii="Times New Roman" w:hAnsi="Times New Roman"/>
          <w:noProof/>
          <w:szCs w:val="18"/>
          <w:lang w:val="sr-Cyrl-CS"/>
        </w:rPr>
        <w:t xml:space="preserve"> </w:t>
      </w:r>
      <w:r>
        <w:rPr>
          <w:rFonts w:ascii="Times New Roman" w:hAnsi="Times New Roman"/>
          <w:noProof/>
          <w:szCs w:val="18"/>
          <w:lang w:val="sr-Cyrl-CS"/>
        </w:rPr>
        <w:t>око</w:t>
      </w:r>
      <w:r w:rsidRPr="000C1AC8">
        <w:rPr>
          <w:rFonts w:ascii="Times New Roman" w:hAnsi="Times New Roman"/>
          <w:noProof/>
          <w:szCs w:val="18"/>
          <w:lang w:val="sr-Cyrl-CS"/>
        </w:rPr>
        <w:t xml:space="preserve"> 76 </w:t>
      </w:r>
      <w:r>
        <w:rPr>
          <w:rFonts w:ascii="Times New Roman" w:hAnsi="Times New Roman"/>
          <w:noProof/>
          <w:szCs w:val="18"/>
          <w:lang w:val="sr-Cyrl-CS"/>
        </w:rPr>
        <w:t>милијарди евра</w:t>
      </w:r>
      <w:r w:rsidRPr="000C1AC8">
        <w:rPr>
          <w:rFonts w:ascii="Times New Roman" w:hAnsi="Times New Roman"/>
          <w:noProof/>
          <w:szCs w:val="18"/>
          <w:lang w:val="sr-Cyrl-CS"/>
        </w:rPr>
        <w:t>.</w:t>
      </w:r>
    </w:p>
  </w:footnote>
  <w:footnote w:id="17">
    <w:p w:rsidR="00172313" w:rsidRPr="000C1AC8" w:rsidRDefault="00172313" w:rsidP="00A55776">
      <w:pPr>
        <w:pStyle w:val="FootnoteText"/>
        <w:spacing w:before="60" w:after="60"/>
        <w:rPr>
          <w:lang w:val="sr-Cyrl-CS"/>
        </w:rPr>
      </w:pPr>
      <w:r w:rsidRPr="000C1AC8">
        <w:rPr>
          <w:rStyle w:val="FootnoteReference"/>
          <w:rFonts w:ascii="Times New Roman" w:hAnsi="Times New Roman"/>
          <w:noProof/>
          <w:szCs w:val="18"/>
          <w:lang w:val="sr-Cyrl-CS"/>
        </w:rPr>
        <w:footnoteRef/>
      </w:r>
      <w:r w:rsidRPr="000C1AC8">
        <w:rPr>
          <w:rFonts w:ascii="Times New Roman" w:hAnsi="Times New Roman"/>
          <w:noProof/>
          <w:szCs w:val="18"/>
          <w:lang w:val="sr-Cyrl-CS"/>
        </w:rPr>
        <w:t xml:space="preserve"> </w:t>
      </w:r>
      <w:r>
        <w:rPr>
          <w:rFonts w:ascii="Times New Roman" w:hAnsi="Times New Roman"/>
          <w:noProof/>
          <w:szCs w:val="18"/>
          <w:lang w:val="sr-Cyrl-CS"/>
        </w:rPr>
        <w:t>Европска</w:t>
      </w:r>
      <w:r w:rsidRPr="000C1AC8">
        <w:rPr>
          <w:rFonts w:ascii="Times New Roman" w:hAnsi="Times New Roman"/>
          <w:noProof/>
          <w:szCs w:val="18"/>
          <w:lang w:val="sr-Cyrl-CS"/>
        </w:rPr>
        <w:t xml:space="preserve"> </w:t>
      </w:r>
      <w:r>
        <w:rPr>
          <w:rFonts w:ascii="Times New Roman" w:hAnsi="Times New Roman"/>
          <w:noProof/>
          <w:szCs w:val="18"/>
          <w:lang w:val="sr-Cyrl-CS"/>
        </w:rPr>
        <w:t>комисија,</w:t>
      </w:r>
      <w:r w:rsidRPr="000C1AC8">
        <w:rPr>
          <w:rFonts w:ascii="Times New Roman" w:hAnsi="Times New Roman"/>
          <w:noProof/>
          <w:szCs w:val="18"/>
          <w:lang w:val="sr-Cyrl-CS"/>
        </w:rPr>
        <w:t xml:space="preserve"> </w:t>
      </w:r>
      <w:r>
        <w:rPr>
          <w:rFonts w:ascii="Times New Roman" w:hAnsi="Times New Roman"/>
          <w:noProof/>
          <w:szCs w:val="18"/>
          <w:lang w:val="sr-Cyrl-CS"/>
        </w:rPr>
        <w:t>Генерални</w:t>
      </w:r>
      <w:r w:rsidRPr="000C1AC8">
        <w:rPr>
          <w:rFonts w:ascii="Times New Roman" w:hAnsi="Times New Roman"/>
          <w:noProof/>
          <w:szCs w:val="18"/>
          <w:lang w:val="sr-Cyrl-CS"/>
        </w:rPr>
        <w:t xml:space="preserve"> </w:t>
      </w:r>
      <w:r>
        <w:rPr>
          <w:rFonts w:ascii="Times New Roman" w:hAnsi="Times New Roman"/>
          <w:noProof/>
          <w:szCs w:val="18"/>
          <w:lang w:val="sr-Cyrl-CS"/>
        </w:rPr>
        <w:t>директорат</w:t>
      </w:r>
      <w:r w:rsidRPr="000C1AC8">
        <w:rPr>
          <w:rFonts w:ascii="Times New Roman" w:hAnsi="Times New Roman"/>
          <w:noProof/>
          <w:szCs w:val="18"/>
          <w:lang w:val="sr-Cyrl-CS"/>
        </w:rPr>
        <w:t xml:space="preserve"> </w:t>
      </w:r>
      <w:r>
        <w:rPr>
          <w:rFonts w:ascii="Times New Roman" w:hAnsi="Times New Roman"/>
          <w:noProof/>
          <w:szCs w:val="18"/>
          <w:lang w:val="sr-Cyrl-CS"/>
        </w:rPr>
        <w:t>за</w:t>
      </w:r>
      <w:r w:rsidRPr="000C1AC8">
        <w:rPr>
          <w:rFonts w:ascii="Times New Roman" w:hAnsi="Times New Roman"/>
          <w:noProof/>
          <w:szCs w:val="18"/>
          <w:lang w:val="sr-Cyrl-CS"/>
        </w:rPr>
        <w:t xml:space="preserve"> </w:t>
      </w:r>
      <w:r>
        <w:rPr>
          <w:rFonts w:ascii="Times New Roman" w:hAnsi="Times New Roman"/>
          <w:noProof/>
          <w:szCs w:val="18"/>
          <w:lang w:val="sr-Cyrl-CS"/>
        </w:rPr>
        <w:t>запошљавање</w:t>
      </w:r>
      <w:r w:rsidRPr="000C1AC8">
        <w:rPr>
          <w:rFonts w:ascii="Times New Roman" w:hAnsi="Times New Roman"/>
          <w:noProof/>
          <w:szCs w:val="18"/>
          <w:lang w:val="sr-Cyrl-CS"/>
        </w:rPr>
        <w:t xml:space="preserve">, </w:t>
      </w:r>
      <w:r>
        <w:rPr>
          <w:rFonts w:ascii="Times New Roman" w:hAnsi="Times New Roman"/>
          <w:noProof/>
          <w:szCs w:val="18"/>
          <w:lang w:val="sr-Cyrl-CS"/>
        </w:rPr>
        <w:t>социјална</w:t>
      </w:r>
      <w:r w:rsidRPr="000C1AC8">
        <w:rPr>
          <w:rFonts w:ascii="Times New Roman" w:hAnsi="Times New Roman"/>
          <w:noProof/>
          <w:szCs w:val="18"/>
          <w:lang w:val="sr-Cyrl-CS"/>
        </w:rPr>
        <w:t xml:space="preserve"> </w:t>
      </w:r>
      <w:r>
        <w:rPr>
          <w:rFonts w:ascii="Times New Roman" w:hAnsi="Times New Roman"/>
          <w:noProof/>
          <w:szCs w:val="18"/>
          <w:lang w:val="sr-Cyrl-CS"/>
        </w:rPr>
        <w:t>питања</w:t>
      </w:r>
      <w:r w:rsidRPr="000C1AC8">
        <w:rPr>
          <w:rFonts w:ascii="Times New Roman" w:hAnsi="Times New Roman"/>
          <w:noProof/>
          <w:szCs w:val="18"/>
          <w:lang w:val="sr-Cyrl-CS"/>
        </w:rPr>
        <w:t xml:space="preserve"> </w:t>
      </w:r>
      <w:r>
        <w:rPr>
          <w:rFonts w:ascii="Times New Roman" w:hAnsi="Times New Roman"/>
          <w:noProof/>
          <w:szCs w:val="18"/>
          <w:lang w:val="sr-Cyrl-CS"/>
        </w:rPr>
        <w:t>и</w:t>
      </w:r>
      <w:r w:rsidRPr="000C1AC8">
        <w:rPr>
          <w:rFonts w:ascii="Times New Roman" w:hAnsi="Times New Roman"/>
          <w:noProof/>
          <w:szCs w:val="18"/>
          <w:lang w:val="sr-Cyrl-CS"/>
        </w:rPr>
        <w:t xml:space="preserve"> </w:t>
      </w:r>
      <w:r>
        <w:rPr>
          <w:rFonts w:ascii="Times New Roman" w:hAnsi="Times New Roman"/>
          <w:noProof/>
          <w:szCs w:val="18"/>
          <w:lang w:val="sr-Cyrl-CS"/>
        </w:rPr>
        <w:t>укључивање</w:t>
      </w:r>
      <w:r w:rsidRPr="000C1AC8">
        <w:rPr>
          <w:rFonts w:ascii="Times New Roman" w:hAnsi="Times New Roman"/>
          <w:noProof/>
          <w:szCs w:val="18"/>
          <w:lang w:val="sr-Cyrl-CS"/>
        </w:rPr>
        <w:t xml:space="preserve">. </w:t>
      </w:r>
      <w:r w:rsidRPr="00E0770C">
        <w:rPr>
          <w:rFonts w:ascii="Times New Roman" w:hAnsi="Times New Roman"/>
          <w:noProof/>
          <w:szCs w:val="18"/>
          <w:lang w:val="sr-Cyrl-CS"/>
        </w:rPr>
        <w:t>„</w:t>
      </w:r>
      <w:r>
        <w:rPr>
          <w:rFonts w:ascii="Times New Roman" w:hAnsi="Times New Roman"/>
          <w:noProof/>
          <w:szCs w:val="18"/>
          <w:lang w:val="sr-Cyrl-CS"/>
        </w:rPr>
        <w:t>Европски</w:t>
      </w:r>
      <w:r w:rsidRPr="000C1AC8">
        <w:rPr>
          <w:rFonts w:ascii="Times New Roman" w:hAnsi="Times New Roman"/>
          <w:noProof/>
          <w:szCs w:val="18"/>
          <w:lang w:val="sr-Cyrl-CS"/>
        </w:rPr>
        <w:t xml:space="preserve"> </w:t>
      </w:r>
      <w:r>
        <w:rPr>
          <w:rFonts w:ascii="Times New Roman" w:hAnsi="Times New Roman"/>
          <w:noProof/>
          <w:szCs w:val="18"/>
          <w:lang w:val="sr-Cyrl-CS"/>
        </w:rPr>
        <w:t>социјални</w:t>
      </w:r>
      <w:r w:rsidRPr="000C1AC8">
        <w:rPr>
          <w:rFonts w:ascii="Times New Roman" w:hAnsi="Times New Roman"/>
          <w:noProof/>
          <w:szCs w:val="18"/>
          <w:lang w:val="sr-Cyrl-CS"/>
        </w:rPr>
        <w:t xml:space="preserve"> </w:t>
      </w:r>
      <w:r>
        <w:rPr>
          <w:rFonts w:ascii="Times New Roman" w:hAnsi="Times New Roman"/>
          <w:noProof/>
          <w:szCs w:val="18"/>
          <w:lang w:val="sr-Cyrl-CS"/>
        </w:rPr>
        <w:t>фонд</w:t>
      </w:r>
      <w:r w:rsidRPr="000C1AC8">
        <w:rPr>
          <w:rFonts w:ascii="Times New Roman" w:hAnsi="Times New Roman"/>
          <w:noProof/>
          <w:szCs w:val="18"/>
          <w:lang w:val="sr-Cyrl-CS"/>
        </w:rPr>
        <w:t xml:space="preserve">: </w:t>
      </w:r>
      <w:r>
        <w:rPr>
          <w:rFonts w:ascii="Times New Roman" w:hAnsi="Times New Roman"/>
          <w:noProof/>
          <w:szCs w:val="18"/>
          <w:lang w:val="sr-Cyrl-CS"/>
        </w:rPr>
        <w:t>прекретница</w:t>
      </w:r>
      <w:r w:rsidRPr="000C1AC8">
        <w:rPr>
          <w:rFonts w:ascii="Times New Roman" w:hAnsi="Times New Roman"/>
          <w:noProof/>
          <w:szCs w:val="18"/>
          <w:lang w:val="sr-Cyrl-CS"/>
        </w:rPr>
        <w:t xml:space="preserve"> </w:t>
      </w:r>
      <w:r>
        <w:rPr>
          <w:rFonts w:ascii="Times New Roman" w:hAnsi="Times New Roman"/>
          <w:noProof/>
          <w:szCs w:val="18"/>
          <w:lang w:val="sr-Cyrl-CS"/>
        </w:rPr>
        <w:t>у</w:t>
      </w:r>
      <w:r w:rsidRPr="000C1AC8">
        <w:rPr>
          <w:rFonts w:ascii="Times New Roman" w:hAnsi="Times New Roman"/>
          <w:noProof/>
          <w:szCs w:val="18"/>
          <w:lang w:val="sr-Cyrl-CS"/>
        </w:rPr>
        <w:t xml:space="preserve"> </w:t>
      </w:r>
      <w:r>
        <w:rPr>
          <w:rFonts w:ascii="Times New Roman" w:hAnsi="Times New Roman"/>
          <w:noProof/>
          <w:szCs w:val="18"/>
          <w:lang w:val="sr-Cyrl-CS"/>
        </w:rPr>
        <w:t>борби</w:t>
      </w:r>
      <w:r w:rsidRPr="000C1AC8">
        <w:rPr>
          <w:rFonts w:ascii="Times New Roman" w:hAnsi="Times New Roman"/>
          <w:noProof/>
          <w:szCs w:val="18"/>
          <w:lang w:val="sr-Cyrl-CS"/>
        </w:rPr>
        <w:t xml:space="preserve"> </w:t>
      </w:r>
      <w:r>
        <w:rPr>
          <w:rFonts w:ascii="Times New Roman" w:hAnsi="Times New Roman"/>
          <w:noProof/>
          <w:szCs w:val="18"/>
          <w:lang w:val="sr-Cyrl-CS"/>
        </w:rPr>
        <w:t>против</w:t>
      </w:r>
      <w:r w:rsidRPr="000C1AC8">
        <w:rPr>
          <w:rFonts w:ascii="Times New Roman" w:hAnsi="Times New Roman"/>
          <w:noProof/>
          <w:szCs w:val="18"/>
          <w:lang w:val="sr-Cyrl-CS"/>
        </w:rPr>
        <w:t xml:space="preserve"> </w:t>
      </w:r>
      <w:r>
        <w:rPr>
          <w:rFonts w:ascii="Times New Roman" w:hAnsi="Times New Roman"/>
          <w:noProof/>
          <w:szCs w:val="18"/>
          <w:lang w:val="sr-Cyrl-CS"/>
        </w:rPr>
        <w:t>сиромаштва</w:t>
      </w:r>
      <w:r w:rsidRPr="000C1AC8">
        <w:rPr>
          <w:rFonts w:ascii="Times New Roman" w:hAnsi="Times New Roman"/>
          <w:noProof/>
          <w:szCs w:val="18"/>
          <w:lang w:val="sr-Cyrl-CS"/>
        </w:rPr>
        <w:t xml:space="preserve"> </w:t>
      </w:r>
      <w:r>
        <w:rPr>
          <w:rFonts w:ascii="Times New Roman" w:hAnsi="Times New Roman"/>
          <w:noProof/>
          <w:szCs w:val="18"/>
          <w:lang w:val="sr-Cyrl-CS"/>
        </w:rPr>
        <w:t>и</w:t>
      </w:r>
      <w:r w:rsidRPr="000C1AC8">
        <w:rPr>
          <w:rFonts w:ascii="Times New Roman" w:hAnsi="Times New Roman"/>
          <w:noProof/>
          <w:szCs w:val="18"/>
          <w:lang w:val="sr-Cyrl-CS"/>
        </w:rPr>
        <w:t xml:space="preserve"> </w:t>
      </w:r>
      <w:r>
        <w:rPr>
          <w:rFonts w:ascii="Times New Roman" w:hAnsi="Times New Roman"/>
          <w:noProof/>
          <w:szCs w:val="18"/>
          <w:lang w:val="sr-Cyrl-CS"/>
        </w:rPr>
        <w:t>социјалне</w:t>
      </w:r>
      <w:r w:rsidRPr="000C1AC8">
        <w:rPr>
          <w:rFonts w:ascii="Times New Roman" w:hAnsi="Times New Roman"/>
          <w:noProof/>
          <w:szCs w:val="18"/>
          <w:lang w:val="sr-Cyrl-CS"/>
        </w:rPr>
        <w:t xml:space="preserve"> </w:t>
      </w:r>
      <w:r>
        <w:rPr>
          <w:rFonts w:ascii="Times New Roman" w:hAnsi="Times New Roman"/>
          <w:noProof/>
          <w:szCs w:val="18"/>
          <w:lang w:val="sr-Cyrl-CS"/>
        </w:rPr>
        <w:t>искључености</w:t>
      </w:r>
      <w:r w:rsidRPr="000C1AC8">
        <w:rPr>
          <w:rFonts w:ascii="Times New Roman" w:hAnsi="Times New Roman"/>
          <w:noProof/>
          <w:szCs w:val="18"/>
          <w:lang w:val="sr-Cyrl-CS"/>
        </w:rPr>
        <w:t>”. 2010.</w:t>
      </w:r>
    </w:p>
  </w:footnote>
  <w:footnote w:id="18">
    <w:p w:rsidR="00172313" w:rsidRPr="006B20EE" w:rsidRDefault="00172313" w:rsidP="00A55776">
      <w:pPr>
        <w:pStyle w:val="FootnoteText"/>
        <w:spacing w:before="60" w:after="60"/>
      </w:pPr>
      <w:r w:rsidRPr="00C27283">
        <w:rPr>
          <w:rStyle w:val="FootnoteReference"/>
          <w:lang w:val="en-GB"/>
        </w:rPr>
        <w:footnoteRef/>
      </w:r>
      <w:r w:rsidRPr="00F3348A">
        <w:t xml:space="preserve"> </w:t>
      </w:r>
      <w:r>
        <w:rPr>
          <w:rFonts w:ascii="Times New Roman" w:hAnsi="Times New Roman"/>
          <w:noProof/>
          <w:lang w:val="sr-Cyrl-CS"/>
        </w:rPr>
        <w:t>Предлог</w:t>
      </w:r>
      <w:r w:rsidRPr="000F73E6">
        <w:rPr>
          <w:rFonts w:ascii="Times New Roman" w:hAnsi="Times New Roman"/>
          <w:noProof/>
          <w:lang w:val="sr-Cyrl-CS"/>
        </w:rPr>
        <w:t xml:space="preserve"> </w:t>
      </w:r>
      <w:r>
        <w:rPr>
          <w:rFonts w:ascii="Times New Roman" w:hAnsi="Times New Roman"/>
          <w:noProof/>
          <w:lang w:val="sr-Cyrl-CS"/>
        </w:rPr>
        <w:t>Европске</w:t>
      </w:r>
      <w:r w:rsidRPr="000F73E6">
        <w:rPr>
          <w:rFonts w:ascii="Times New Roman" w:hAnsi="Times New Roman"/>
          <w:noProof/>
          <w:lang w:val="sr-Cyrl-CS"/>
        </w:rPr>
        <w:t xml:space="preserve"> </w:t>
      </w:r>
      <w:r>
        <w:rPr>
          <w:rFonts w:ascii="Times New Roman" w:hAnsi="Times New Roman"/>
          <w:noProof/>
          <w:lang w:val="sr-Cyrl-CS"/>
        </w:rPr>
        <w:t>комисије</w:t>
      </w:r>
      <w:r w:rsidRPr="000F73E6">
        <w:rPr>
          <w:rFonts w:ascii="Times New Roman" w:hAnsi="Times New Roman"/>
          <w:lang w:val="sr-Cyrl-CS"/>
        </w:rPr>
        <w:t xml:space="preserve"> </w:t>
      </w:r>
      <w:r w:rsidRPr="00F3348A">
        <w:rPr>
          <w:rFonts w:ascii="Times New Roman" w:hAnsi="Times New Roman"/>
        </w:rPr>
        <w:t xml:space="preserve">(COM(2011) 607) </w:t>
      </w:r>
      <w:r>
        <w:rPr>
          <w:rFonts w:ascii="Times New Roman" w:hAnsi="Times New Roman"/>
          <w:noProof/>
          <w:lang w:val="sr-Cyrl-CS"/>
        </w:rPr>
        <w:t>за</w:t>
      </w:r>
      <w:r w:rsidRPr="000F73E6">
        <w:rPr>
          <w:rFonts w:ascii="Times New Roman" w:hAnsi="Times New Roman"/>
          <w:noProof/>
          <w:lang w:val="sr-Cyrl-CS"/>
        </w:rPr>
        <w:t xml:space="preserve"> </w:t>
      </w:r>
      <w:r>
        <w:rPr>
          <w:rFonts w:ascii="Times New Roman" w:hAnsi="Times New Roman"/>
          <w:noProof/>
          <w:lang w:val="sr-Cyrl-CS"/>
        </w:rPr>
        <w:t>Уредбу</w:t>
      </w:r>
      <w:r w:rsidRPr="000F73E6">
        <w:rPr>
          <w:rFonts w:ascii="Times New Roman" w:hAnsi="Times New Roman"/>
          <w:noProof/>
          <w:lang w:val="sr-Cyrl-CS"/>
        </w:rPr>
        <w:t xml:space="preserve"> </w:t>
      </w:r>
      <w:r>
        <w:rPr>
          <w:rFonts w:ascii="Times New Roman" w:hAnsi="Times New Roman"/>
          <w:noProof/>
          <w:lang w:val="sr-Cyrl-CS"/>
        </w:rPr>
        <w:t>Европског</w:t>
      </w:r>
      <w:r w:rsidRPr="000F73E6">
        <w:rPr>
          <w:rFonts w:ascii="Times New Roman" w:hAnsi="Times New Roman"/>
          <w:noProof/>
          <w:lang w:val="sr-Cyrl-CS"/>
        </w:rPr>
        <w:t xml:space="preserve"> </w:t>
      </w:r>
      <w:r>
        <w:rPr>
          <w:rFonts w:ascii="Times New Roman" w:hAnsi="Times New Roman"/>
          <w:noProof/>
          <w:lang w:val="sr-Cyrl-CS"/>
        </w:rPr>
        <w:t>парламента</w:t>
      </w:r>
      <w:r w:rsidRPr="000F73E6">
        <w:rPr>
          <w:rFonts w:ascii="Times New Roman" w:hAnsi="Times New Roman"/>
          <w:noProof/>
          <w:lang w:val="sr-Cyrl-CS"/>
        </w:rPr>
        <w:t xml:space="preserve"> </w:t>
      </w:r>
      <w:r>
        <w:rPr>
          <w:rFonts w:ascii="Times New Roman" w:hAnsi="Times New Roman"/>
          <w:noProof/>
          <w:lang w:val="sr-Cyrl-CS"/>
        </w:rPr>
        <w:t>и</w:t>
      </w:r>
      <w:r w:rsidRPr="000F73E6">
        <w:rPr>
          <w:rFonts w:ascii="Times New Roman" w:hAnsi="Times New Roman"/>
          <w:noProof/>
          <w:lang w:val="sr-Cyrl-CS"/>
        </w:rPr>
        <w:t xml:space="preserve"> </w:t>
      </w:r>
      <w:r>
        <w:rPr>
          <w:rFonts w:ascii="Times New Roman" w:hAnsi="Times New Roman"/>
          <w:noProof/>
          <w:lang w:val="sr-Cyrl-CS"/>
        </w:rPr>
        <w:t>Савета</w:t>
      </w:r>
      <w:r w:rsidRPr="000F73E6">
        <w:rPr>
          <w:rFonts w:ascii="Times New Roman" w:hAnsi="Times New Roman"/>
          <w:noProof/>
          <w:lang w:val="sr-Cyrl-CS"/>
        </w:rPr>
        <w:t xml:space="preserve"> </w:t>
      </w:r>
      <w:r>
        <w:rPr>
          <w:rFonts w:ascii="Times New Roman" w:hAnsi="Times New Roman"/>
          <w:noProof/>
          <w:lang w:val="sr-Cyrl-CS"/>
        </w:rPr>
        <w:t>о Европском</w:t>
      </w:r>
      <w:r w:rsidRPr="000F73E6">
        <w:rPr>
          <w:rFonts w:ascii="Times New Roman" w:hAnsi="Times New Roman"/>
          <w:noProof/>
          <w:lang w:val="sr-Cyrl-CS"/>
        </w:rPr>
        <w:t xml:space="preserve"> </w:t>
      </w:r>
      <w:r>
        <w:rPr>
          <w:rFonts w:ascii="Times New Roman" w:hAnsi="Times New Roman"/>
          <w:noProof/>
          <w:lang w:val="sr-Cyrl-CS"/>
        </w:rPr>
        <w:t>социјалном</w:t>
      </w:r>
      <w:r w:rsidRPr="000F73E6">
        <w:rPr>
          <w:rFonts w:ascii="Times New Roman" w:hAnsi="Times New Roman"/>
          <w:noProof/>
          <w:lang w:val="sr-Cyrl-CS"/>
        </w:rPr>
        <w:t xml:space="preserve"> </w:t>
      </w:r>
      <w:r>
        <w:rPr>
          <w:rFonts w:ascii="Times New Roman" w:hAnsi="Times New Roman"/>
          <w:noProof/>
          <w:lang w:val="sr-Cyrl-CS"/>
        </w:rPr>
        <w:t>фонду</w:t>
      </w:r>
      <w:r w:rsidRPr="000F73E6">
        <w:rPr>
          <w:rFonts w:ascii="Times New Roman" w:hAnsi="Times New Roman"/>
          <w:noProof/>
          <w:lang w:val="sr-Cyrl-CS"/>
        </w:rPr>
        <w:t xml:space="preserve"> </w:t>
      </w:r>
      <w:r>
        <w:rPr>
          <w:rFonts w:ascii="Times New Roman" w:hAnsi="Times New Roman"/>
          <w:noProof/>
          <w:lang w:val="sr-Cyrl-CS"/>
        </w:rPr>
        <w:t>којом</w:t>
      </w:r>
      <w:r w:rsidRPr="000F73E6">
        <w:rPr>
          <w:rFonts w:ascii="Times New Roman" w:hAnsi="Times New Roman"/>
          <w:noProof/>
          <w:lang w:val="sr-Cyrl-CS"/>
        </w:rPr>
        <w:t xml:space="preserve"> </w:t>
      </w:r>
      <w:r>
        <w:rPr>
          <w:rFonts w:ascii="Times New Roman" w:hAnsi="Times New Roman"/>
          <w:noProof/>
          <w:lang w:val="sr-Cyrl-CS"/>
        </w:rPr>
        <w:t>се</w:t>
      </w:r>
      <w:r w:rsidRPr="000F73E6">
        <w:rPr>
          <w:rFonts w:ascii="Times New Roman" w:hAnsi="Times New Roman"/>
          <w:noProof/>
          <w:lang w:val="sr-Cyrl-CS"/>
        </w:rPr>
        <w:t xml:space="preserve"> </w:t>
      </w:r>
      <w:r>
        <w:rPr>
          <w:rFonts w:ascii="Times New Roman" w:hAnsi="Times New Roman"/>
          <w:noProof/>
          <w:lang w:val="sr-Cyrl-CS"/>
        </w:rPr>
        <w:t>укида</w:t>
      </w:r>
      <w:r w:rsidRPr="000F73E6">
        <w:rPr>
          <w:rFonts w:ascii="Times New Roman" w:hAnsi="Times New Roman"/>
          <w:noProof/>
          <w:lang w:val="sr-Cyrl-CS"/>
        </w:rPr>
        <w:t xml:space="preserve"> </w:t>
      </w:r>
      <w:r>
        <w:rPr>
          <w:rFonts w:ascii="Times New Roman" w:hAnsi="Times New Roman"/>
          <w:noProof/>
          <w:lang w:val="sr-Cyrl-CS"/>
        </w:rPr>
        <w:t>Уредба</w:t>
      </w:r>
      <w:r w:rsidRPr="000F73E6">
        <w:rPr>
          <w:rFonts w:ascii="Times New Roman" w:hAnsi="Times New Roman"/>
          <w:noProof/>
          <w:lang w:val="sr-Cyrl-CS"/>
        </w:rPr>
        <w:t xml:space="preserve"> </w:t>
      </w:r>
      <w:r>
        <w:rPr>
          <w:rFonts w:ascii="Times New Roman" w:hAnsi="Times New Roman"/>
          <w:noProof/>
          <w:lang w:val="sr-Cyrl-CS"/>
        </w:rPr>
        <w:t>Савет</w:t>
      </w:r>
      <w:r>
        <w:rPr>
          <w:rFonts w:ascii="Times New Roman" w:hAnsi="Times New Roman"/>
          <w:lang w:val="sr-Cyrl-CS"/>
        </w:rPr>
        <w:t>а</w:t>
      </w:r>
      <w:r>
        <w:rPr>
          <w:rFonts w:ascii="Times New Roman" w:hAnsi="Times New Roman"/>
        </w:rPr>
        <w:t xml:space="preserve"> (EЗ) </w:t>
      </w:r>
      <w:r>
        <w:rPr>
          <w:rFonts w:ascii="Times New Roman" w:hAnsi="Times New Roman"/>
          <w:lang w:val="sr-Cyrl-CS"/>
        </w:rPr>
        <w:t>бр</w:t>
      </w:r>
      <w:r>
        <w:rPr>
          <w:rFonts w:ascii="Times New Roman" w:hAnsi="Times New Roman"/>
        </w:rPr>
        <w:t xml:space="preserve">. </w:t>
      </w:r>
      <w:r w:rsidRPr="00F3348A">
        <w:rPr>
          <w:rFonts w:ascii="Times New Roman" w:hAnsi="Times New Roman"/>
        </w:rPr>
        <w:t>1081/2006</w:t>
      </w:r>
      <w:r>
        <w:rPr>
          <w:rFonts w:ascii="Times New Roman" w:hAnsi="Times New Roman"/>
        </w:rPr>
        <w:t>.</w:t>
      </w:r>
    </w:p>
  </w:footnote>
  <w:footnote w:id="19">
    <w:p w:rsidR="00172313" w:rsidRPr="003E1CBD" w:rsidRDefault="00172313" w:rsidP="003E1CBD">
      <w:pPr>
        <w:pStyle w:val="FootnoteText"/>
        <w:spacing w:after="0" w:line="240" w:lineRule="auto"/>
      </w:pPr>
      <w:r w:rsidRPr="001A05E6">
        <w:rPr>
          <w:rStyle w:val="FootnoteReference"/>
        </w:rPr>
        <w:footnoteRef/>
      </w:r>
      <w:r w:rsidRPr="001A05E6">
        <w:t xml:space="preserve"> </w:t>
      </w:r>
      <w:r w:rsidRPr="001A05E6">
        <w:rPr>
          <w:rFonts w:ascii="Times New Roman" w:hAnsi="Times New Roman"/>
          <w:szCs w:val="18"/>
          <w:lang w:val="sr-Cyrl-CS"/>
        </w:rPr>
        <w:t>Уредба Савета</w:t>
      </w:r>
      <w:r w:rsidRPr="001A05E6">
        <w:rPr>
          <w:rFonts w:ascii="Times New Roman" w:hAnsi="Times New Roman"/>
          <w:szCs w:val="18"/>
        </w:rPr>
        <w:t xml:space="preserve"> (E</w:t>
      </w:r>
      <w:r>
        <w:rPr>
          <w:rFonts w:ascii="Times New Roman" w:hAnsi="Times New Roman"/>
          <w:szCs w:val="18"/>
        </w:rPr>
        <w:t>З</w:t>
      </w:r>
      <w:r w:rsidRPr="001A05E6">
        <w:rPr>
          <w:rFonts w:ascii="Times New Roman" w:hAnsi="Times New Roman"/>
          <w:szCs w:val="18"/>
        </w:rPr>
        <w:t xml:space="preserve">) </w:t>
      </w:r>
      <w:r w:rsidRPr="001A05E6">
        <w:rPr>
          <w:rFonts w:ascii="Times New Roman" w:hAnsi="Times New Roman"/>
          <w:szCs w:val="18"/>
          <w:lang w:val="sr-Cyrl-CS"/>
        </w:rPr>
        <w:t>бр</w:t>
      </w:r>
      <w:r w:rsidRPr="001A05E6">
        <w:rPr>
          <w:rFonts w:ascii="Times New Roman" w:hAnsi="Times New Roman"/>
          <w:szCs w:val="18"/>
        </w:rPr>
        <w:t xml:space="preserve">. 1085/2006 oд 17. </w:t>
      </w:r>
      <w:r w:rsidRPr="001A05E6">
        <w:rPr>
          <w:rFonts w:ascii="Times New Roman" w:hAnsi="Times New Roman"/>
          <w:szCs w:val="18"/>
          <w:lang w:val="sr-Cyrl-CS"/>
        </w:rPr>
        <w:t>јула</w:t>
      </w:r>
      <w:r w:rsidRPr="001A05E6">
        <w:rPr>
          <w:rFonts w:ascii="Times New Roman" w:hAnsi="Times New Roman"/>
          <w:szCs w:val="18"/>
        </w:rPr>
        <w:t xml:space="preserve"> 2006.</w:t>
      </w:r>
      <w:r w:rsidRPr="001A05E6">
        <w:rPr>
          <w:rFonts w:ascii="Times New Roman" w:hAnsi="Times New Roman"/>
          <w:szCs w:val="18"/>
          <w:lang w:val="sr-Cyrl-CS"/>
        </w:rPr>
        <w:t xml:space="preserve"> године</w:t>
      </w:r>
      <w:r w:rsidRPr="001A05E6">
        <w:rPr>
          <w:rFonts w:ascii="Times New Roman" w:hAnsi="Times New Roman"/>
          <w:szCs w:val="18"/>
        </w:rPr>
        <w:t xml:space="preserve"> – ‘</w:t>
      </w:r>
      <w:r w:rsidRPr="001A05E6">
        <w:rPr>
          <w:rFonts w:ascii="Times New Roman" w:hAnsi="Times New Roman"/>
          <w:szCs w:val="18"/>
          <w:lang w:val="sr-Cyrl-CS"/>
        </w:rPr>
        <w:t>Уредба о успостављању ИПА</w:t>
      </w:r>
      <w:r w:rsidRPr="001A05E6">
        <w:rPr>
          <w:rFonts w:ascii="Times New Roman" w:hAnsi="Times New Roman"/>
          <w:szCs w:val="18"/>
        </w:rPr>
        <w:t xml:space="preserve">’, </w:t>
      </w:r>
      <w:r w:rsidRPr="001A05E6">
        <w:rPr>
          <w:rFonts w:ascii="Times New Roman" w:hAnsi="Times New Roman"/>
          <w:szCs w:val="18"/>
          <w:lang w:val="sr-Cyrl-CS"/>
        </w:rPr>
        <w:t>и</w:t>
      </w:r>
      <w:r w:rsidRPr="001A05E6">
        <w:rPr>
          <w:rFonts w:ascii="Times New Roman" w:hAnsi="Times New Roman"/>
          <w:szCs w:val="18"/>
        </w:rPr>
        <w:t xml:space="preserve"> </w:t>
      </w:r>
      <w:r w:rsidRPr="001A05E6">
        <w:rPr>
          <w:rFonts w:ascii="Times New Roman" w:hAnsi="Times New Roman"/>
          <w:szCs w:val="18"/>
          <w:lang w:val="sr-Cyrl-CS"/>
        </w:rPr>
        <w:t>Уредба Комисије</w:t>
      </w:r>
      <w:r w:rsidRPr="001A05E6">
        <w:rPr>
          <w:rFonts w:ascii="Times New Roman" w:hAnsi="Times New Roman"/>
          <w:szCs w:val="18"/>
        </w:rPr>
        <w:t xml:space="preserve"> (E</w:t>
      </w:r>
      <w:r>
        <w:rPr>
          <w:rFonts w:ascii="Times New Roman" w:hAnsi="Times New Roman"/>
          <w:szCs w:val="18"/>
        </w:rPr>
        <w:t>З</w:t>
      </w:r>
      <w:r w:rsidRPr="001A05E6">
        <w:rPr>
          <w:rFonts w:ascii="Times New Roman" w:hAnsi="Times New Roman"/>
          <w:szCs w:val="18"/>
        </w:rPr>
        <w:t xml:space="preserve">) </w:t>
      </w:r>
      <w:r w:rsidRPr="001A05E6">
        <w:rPr>
          <w:rFonts w:ascii="Times New Roman" w:hAnsi="Times New Roman"/>
          <w:szCs w:val="18"/>
          <w:lang w:val="sr-Cyrl-CS"/>
        </w:rPr>
        <w:t>бр</w:t>
      </w:r>
      <w:r w:rsidRPr="001A05E6">
        <w:rPr>
          <w:rFonts w:ascii="Times New Roman" w:hAnsi="Times New Roman"/>
          <w:szCs w:val="18"/>
        </w:rPr>
        <w:t>. 718/2007 o</w:t>
      </w:r>
      <w:r w:rsidRPr="001A05E6">
        <w:rPr>
          <w:rFonts w:ascii="Times New Roman" w:hAnsi="Times New Roman"/>
          <w:szCs w:val="18"/>
          <w:lang w:val="sr-Cyrl-CS"/>
        </w:rPr>
        <w:t>д</w:t>
      </w:r>
      <w:r w:rsidRPr="001A05E6">
        <w:rPr>
          <w:rFonts w:ascii="Times New Roman" w:hAnsi="Times New Roman"/>
          <w:szCs w:val="18"/>
        </w:rPr>
        <w:t xml:space="preserve"> 12. </w:t>
      </w:r>
      <w:r w:rsidRPr="001A05E6">
        <w:rPr>
          <w:rFonts w:ascii="Times New Roman" w:hAnsi="Times New Roman"/>
          <w:szCs w:val="18"/>
          <w:lang w:val="sr-Cyrl-CS"/>
        </w:rPr>
        <w:t>јуна</w:t>
      </w:r>
      <w:r w:rsidRPr="001A05E6">
        <w:rPr>
          <w:rFonts w:ascii="Times New Roman" w:hAnsi="Times New Roman"/>
          <w:szCs w:val="18"/>
        </w:rPr>
        <w:t xml:space="preserve"> 2007.</w:t>
      </w:r>
      <w:r w:rsidRPr="001A05E6">
        <w:rPr>
          <w:rFonts w:ascii="Times New Roman" w:hAnsi="Times New Roman"/>
          <w:szCs w:val="18"/>
          <w:lang w:val="sr-Cyrl-CS"/>
        </w:rPr>
        <w:t xml:space="preserve"> године</w:t>
      </w:r>
      <w:r w:rsidRPr="001A05E6">
        <w:rPr>
          <w:rFonts w:ascii="Times New Roman" w:hAnsi="Times New Roman"/>
          <w:szCs w:val="18"/>
        </w:rPr>
        <w:t xml:space="preserve"> </w:t>
      </w:r>
      <w:r w:rsidRPr="001A05E6">
        <w:rPr>
          <w:rFonts w:ascii="Times New Roman" w:hAnsi="Times New Roman"/>
          <w:szCs w:val="18"/>
          <w:lang w:val="sr-Cyrl-CS"/>
        </w:rPr>
        <w:t>о спровођењу Уредбе Савета</w:t>
      </w:r>
      <w:r w:rsidRPr="001A05E6">
        <w:rPr>
          <w:rFonts w:ascii="Times New Roman" w:hAnsi="Times New Roman"/>
          <w:szCs w:val="18"/>
        </w:rPr>
        <w:t xml:space="preserve"> (E</w:t>
      </w:r>
      <w:r>
        <w:rPr>
          <w:rFonts w:ascii="Times New Roman" w:hAnsi="Times New Roman"/>
          <w:szCs w:val="18"/>
        </w:rPr>
        <w:t>З</w:t>
      </w:r>
      <w:r w:rsidRPr="001A05E6">
        <w:rPr>
          <w:rFonts w:ascii="Times New Roman" w:hAnsi="Times New Roman"/>
          <w:szCs w:val="18"/>
        </w:rPr>
        <w:t xml:space="preserve">) </w:t>
      </w:r>
      <w:r w:rsidRPr="001A05E6">
        <w:rPr>
          <w:rFonts w:ascii="Times New Roman" w:hAnsi="Times New Roman"/>
          <w:szCs w:val="18"/>
          <w:lang w:val="sr-Cyrl-CS"/>
        </w:rPr>
        <w:t>бр.</w:t>
      </w:r>
      <w:r w:rsidRPr="001A05E6">
        <w:rPr>
          <w:rFonts w:ascii="Times New Roman" w:hAnsi="Times New Roman"/>
          <w:szCs w:val="18"/>
        </w:rPr>
        <w:t xml:space="preserve"> 1085/2006 – ‘</w:t>
      </w:r>
      <w:r w:rsidRPr="001A05E6">
        <w:rPr>
          <w:rFonts w:ascii="Times New Roman" w:hAnsi="Times New Roman"/>
          <w:szCs w:val="18"/>
          <w:lang w:val="sr-Cyrl-CS"/>
        </w:rPr>
        <w:t xml:space="preserve">Уредба о </w:t>
      </w:r>
      <w:r>
        <w:rPr>
          <w:rFonts w:ascii="Times New Roman" w:hAnsi="Times New Roman"/>
          <w:szCs w:val="18"/>
          <w:lang w:val="sr-Cyrl-CS"/>
        </w:rPr>
        <w:t>спровођењу</w:t>
      </w:r>
      <w:r w:rsidRPr="001A05E6">
        <w:rPr>
          <w:rFonts w:ascii="Times New Roman" w:hAnsi="Times New Roman"/>
          <w:szCs w:val="18"/>
          <w:lang w:val="sr-Cyrl-CS"/>
        </w:rPr>
        <w:t xml:space="preserve"> ИПА</w:t>
      </w:r>
      <w:r w:rsidRPr="001A05E6">
        <w:rPr>
          <w:rFonts w:ascii="Times New Roman" w:hAnsi="Times New Roman"/>
          <w:szCs w:val="18"/>
        </w:rPr>
        <w:t>’</w:t>
      </w:r>
      <w:r>
        <w:rPr>
          <w:rFonts w:ascii="Times New Roman" w:hAnsi="Times New Roman"/>
          <w:szCs w:val="18"/>
        </w:rPr>
        <w:t>.</w:t>
      </w:r>
    </w:p>
  </w:footnote>
  <w:footnote w:id="20">
    <w:p w:rsidR="00172313" w:rsidRPr="00F64439" w:rsidRDefault="00172313" w:rsidP="003E1CBD">
      <w:pPr>
        <w:pStyle w:val="FootnoteText"/>
        <w:spacing w:after="0" w:line="240" w:lineRule="auto"/>
        <w:rPr>
          <w:noProof/>
          <w:lang w:val="sr-Cyrl-CS"/>
        </w:rPr>
      </w:pPr>
      <w:r w:rsidRPr="00F64439">
        <w:rPr>
          <w:rStyle w:val="FootnoteReference"/>
          <w:noProof/>
          <w:lang w:val="sr-Cyrl-CS"/>
        </w:rPr>
        <w:footnoteRef/>
      </w:r>
      <w:r w:rsidRPr="00F64439">
        <w:rPr>
          <w:noProof/>
          <w:lang w:val="sr-Cyrl-CS"/>
        </w:rPr>
        <w:t xml:space="preserve"> </w:t>
      </w:r>
      <w:r>
        <w:rPr>
          <w:rFonts w:ascii="Times New Roman" w:hAnsi="Times New Roman"/>
          <w:noProof/>
          <w:szCs w:val="18"/>
          <w:lang w:val="sr-Cyrl-CS"/>
        </w:rPr>
        <w:t>Путем</w:t>
      </w:r>
      <w:r w:rsidRPr="00F64439">
        <w:rPr>
          <w:rFonts w:ascii="Times New Roman" w:hAnsi="Times New Roman"/>
          <w:noProof/>
          <w:szCs w:val="18"/>
          <w:lang w:val="sr-Cyrl-CS"/>
        </w:rPr>
        <w:t xml:space="preserve"> </w:t>
      </w:r>
      <w:r>
        <w:rPr>
          <w:rFonts w:ascii="Times New Roman" w:hAnsi="Times New Roman"/>
          <w:noProof/>
          <w:szCs w:val="18"/>
          <w:lang w:val="sr-Cyrl-CS"/>
        </w:rPr>
        <w:t>усвајања</w:t>
      </w:r>
      <w:r w:rsidRPr="00F64439">
        <w:rPr>
          <w:rFonts w:ascii="Times New Roman" w:hAnsi="Times New Roman"/>
          <w:noProof/>
          <w:szCs w:val="18"/>
          <w:lang w:val="sr-Cyrl-CS"/>
        </w:rPr>
        <w:t xml:space="preserve"> </w:t>
      </w:r>
      <w:r w:rsidRPr="00E0770C">
        <w:rPr>
          <w:bCs/>
          <w:noProof/>
          <w:szCs w:val="24"/>
          <w:lang w:val="sr-Cyrl-CS"/>
        </w:rPr>
        <w:t>„</w:t>
      </w:r>
      <w:r>
        <w:rPr>
          <w:rFonts w:ascii="Times New Roman" w:hAnsi="Times New Roman"/>
          <w:noProof/>
          <w:szCs w:val="18"/>
          <w:lang w:val="sr-Cyrl-CS"/>
        </w:rPr>
        <w:t>Закона</w:t>
      </w:r>
      <w:r w:rsidRPr="00F64439">
        <w:rPr>
          <w:rFonts w:ascii="Times New Roman" w:hAnsi="Times New Roman"/>
          <w:noProof/>
          <w:szCs w:val="18"/>
          <w:lang w:val="sr-Cyrl-CS"/>
        </w:rPr>
        <w:t xml:space="preserve"> </w:t>
      </w:r>
      <w:r>
        <w:rPr>
          <w:rFonts w:ascii="Times New Roman" w:hAnsi="Times New Roman"/>
          <w:noProof/>
          <w:szCs w:val="18"/>
          <w:lang w:val="sr-Cyrl-CS"/>
        </w:rPr>
        <w:t>којим</w:t>
      </w:r>
      <w:r w:rsidRPr="00F64439">
        <w:rPr>
          <w:rFonts w:ascii="Times New Roman" w:hAnsi="Times New Roman"/>
          <w:noProof/>
          <w:szCs w:val="18"/>
          <w:lang w:val="sr-Cyrl-CS"/>
        </w:rPr>
        <w:t xml:space="preserve"> </w:t>
      </w:r>
      <w:r>
        <w:rPr>
          <w:rFonts w:ascii="Times New Roman" w:hAnsi="Times New Roman"/>
          <w:noProof/>
          <w:szCs w:val="18"/>
          <w:lang w:val="sr-Cyrl-CS"/>
        </w:rPr>
        <w:t>се</w:t>
      </w:r>
      <w:r w:rsidRPr="00F64439">
        <w:rPr>
          <w:rFonts w:ascii="Times New Roman" w:hAnsi="Times New Roman"/>
          <w:noProof/>
          <w:szCs w:val="18"/>
          <w:lang w:val="sr-Cyrl-CS"/>
        </w:rPr>
        <w:t xml:space="preserve"> </w:t>
      </w:r>
      <w:r>
        <w:rPr>
          <w:rFonts w:ascii="Times New Roman" w:hAnsi="Times New Roman"/>
          <w:noProof/>
          <w:szCs w:val="18"/>
          <w:lang w:val="sr-Cyrl-CS"/>
        </w:rPr>
        <w:t>потврђује</w:t>
      </w:r>
      <w:r w:rsidRPr="00F64439">
        <w:rPr>
          <w:rFonts w:ascii="Times New Roman" w:hAnsi="Times New Roman"/>
          <w:noProof/>
          <w:szCs w:val="18"/>
          <w:lang w:val="sr-Cyrl-CS"/>
        </w:rPr>
        <w:t xml:space="preserve"> </w:t>
      </w:r>
      <w:r>
        <w:rPr>
          <w:rFonts w:ascii="Times New Roman" w:hAnsi="Times New Roman"/>
          <w:noProof/>
          <w:szCs w:val="18"/>
          <w:lang w:val="sr-Cyrl-CS"/>
        </w:rPr>
        <w:t>Оквирни</w:t>
      </w:r>
      <w:r w:rsidRPr="00F64439">
        <w:rPr>
          <w:rFonts w:ascii="Times New Roman" w:hAnsi="Times New Roman"/>
          <w:noProof/>
          <w:szCs w:val="18"/>
          <w:lang w:val="sr-Cyrl-CS"/>
        </w:rPr>
        <w:t xml:space="preserve"> </w:t>
      </w:r>
      <w:r>
        <w:rPr>
          <w:rFonts w:ascii="Times New Roman" w:hAnsi="Times New Roman"/>
          <w:noProof/>
          <w:szCs w:val="18"/>
          <w:lang w:val="sr-Cyrl-CS"/>
        </w:rPr>
        <w:t>споразум</w:t>
      </w:r>
      <w:r w:rsidRPr="00F64439">
        <w:rPr>
          <w:rFonts w:ascii="Times New Roman" w:hAnsi="Times New Roman"/>
          <w:noProof/>
          <w:szCs w:val="18"/>
          <w:lang w:val="sr-Cyrl-CS"/>
        </w:rPr>
        <w:t xml:space="preserve"> </w:t>
      </w:r>
      <w:r>
        <w:rPr>
          <w:rFonts w:ascii="Times New Roman" w:hAnsi="Times New Roman"/>
          <w:noProof/>
          <w:szCs w:val="18"/>
          <w:lang w:val="sr-Cyrl-CS"/>
        </w:rPr>
        <w:t>између</w:t>
      </w:r>
      <w:r w:rsidRPr="00F64439">
        <w:rPr>
          <w:rFonts w:ascii="Times New Roman" w:hAnsi="Times New Roman"/>
          <w:noProof/>
          <w:szCs w:val="18"/>
          <w:lang w:val="sr-Cyrl-CS"/>
        </w:rPr>
        <w:t xml:space="preserve"> </w:t>
      </w:r>
      <w:r>
        <w:rPr>
          <w:rFonts w:ascii="Times New Roman" w:hAnsi="Times New Roman"/>
          <w:noProof/>
          <w:szCs w:val="18"/>
          <w:lang w:val="sr-Cyrl-CS"/>
        </w:rPr>
        <w:t>Владе</w:t>
      </w:r>
      <w:r w:rsidRPr="00F64439">
        <w:rPr>
          <w:rFonts w:ascii="Times New Roman" w:hAnsi="Times New Roman"/>
          <w:noProof/>
          <w:szCs w:val="18"/>
          <w:lang w:val="sr-Cyrl-CS"/>
        </w:rPr>
        <w:t xml:space="preserve"> </w:t>
      </w:r>
      <w:r>
        <w:rPr>
          <w:rFonts w:ascii="Times New Roman" w:hAnsi="Times New Roman"/>
          <w:noProof/>
          <w:szCs w:val="18"/>
          <w:lang w:val="sr-Cyrl-CS"/>
        </w:rPr>
        <w:t>Републике</w:t>
      </w:r>
      <w:r w:rsidRPr="00F64439">
        <w:rPr>
          <w:rFonts w:ascii="Times New Roman" w:hAnsi="Times New Roman"/>
          <w:noProof/>
          <w:szCs w:val="18"/>
          <w:lang w:val="sr-Cyrl-CS"/>
        </w:rPr>
        <w:t xml:space="preserve"> </w:t>
      </w:r>
      <w:r>
        <w:rPr>
          <w:rFonts w:ascii="Times New Roman" w:hAnsi="Times New Roman"/>
          <w:noProof/>
          <w:szCs w:val="18"/>
          <w:lang w:val="sr-Cyrl-CS"/>
        </w:rPr>
        <w:t>Србије</w:t>
      </w:r>
      <w:r w:rsidRPr="00F64439">
        <w:rPr>
          <w:rFonts w:ascii="Times New Roman" w:hAnsi="Times New Roman"/>
          <w:noProof/>
          <w:szCs w:val="18"/>
          <w:lang w:val="sr-Cyrl-CS"/>
        </w:rPr>
        <w:t xml:space="preserve"> </w:t>
      </w:r>
      <w:r>
        <w:rPr>
          <w:rFonts w:ascii="Times New Roman" w:hAnsi="Times New Roman"/>
          <w:noProof/>
          <w:szCs w:val="18"/>
          <w:lang w:val="sr-Cyrl-CS"/>
        </w:rPr>
        <w:t>и</w:t>
      </w:r>
      <w:r w:rsidRPr="00F64439">
        <w:rPr>
          <w:rFonts w:ascii="Times New Roman" w:hAnsi="Times New Roman"/>
          <w:noProof/>
          <w:szCs w:val="18"/>
          <w:lang w:val="sr-Cyrl-CS"/>
        </w:rPr>
        <w:t xml:space="preserve"> </w:t>
      </w:r>
      <w:r>
        <w:rPr>
          <w:rFonts w:ascii="Times New Roman" w:hAnsi="Times New Roman"/>
          <w:noProof/>
          <w:szCs w:val="18"/>
          <w:lang w:val="sr-Cyrl-CS"/>
        </w:rPr>
        <w:t>Комисије</w:t>
      </w:r>
      <w:r w:rsidRPr="00F64439">
        <w:rPr>
          <w:rFonts w:ascii="Times New Roman" w:hAnsi="Times New Roman"/>
          <w:noProof/>
          <w:szCs w:val="18"/>
          <w:lang w:val="sr-Cyrl-CS"/>
        </w:rPr>
        <w:t xml:space="preserve"> </w:t>
      </w:r>
      <w:r>
        <w:rPr>
          <w:rFonts w:ascii="Times New Roman" w:hAnsi="Times New Roman"/>
          <w:noProof/>
          <w:szCs w:val="18"/>
          <w:lang w:val="sr-Cyrl-CS"/>
        </w:rPr>
        <w:t>Европских</w:t>
      </w:r>
      <w:r w:rsidRPr="00F64439">
        <w:rPr>
          <w:rFonts w:ascii="Times New Roman" w:hAnsi="Times New Roman"/>
          <w:noProof/>
          <w:szCs w:val="18"/>
          <w:lang w:val="sr-Cyrl-CS"/>
        </w:rPr>
        <w:t xml:space="preserve"> </w:t>
      </w:r>
      <w:r>
        <w:rPr>
          <w:rFonts w:ascii="Times New Roman" w:hAnsi="Times New Roman"/>
          <w:noProof/>
          <w:szCs w:val="18"/>
          <w:lang w:val="sr-Cyrl-CS"/>
        </w:rPr>
        <w:t>заједница</w:t>
      </w:r>
      <w:r w:rsidRPr="00F64439">
        <w:rPr>
          <w:rFonts w:ascii="Times New Roman" w:hAnsi="Times New Roman"/>
          <w:noProof/>
          <w:szCs w:val="18"/>
          <w:lang w:val="sr-Cyrl-CS"/>
        </w:rPr>
        <w:t xml:space="preserve"> </w:t>
      </w:r>
      <w:r>
        <w:rPr>
          <w:rFonts w:ascii="Times New Roman" w:hAnsi="Times New Roman"/>
          <w:noProof/>
          <w:szCs w:val="18"/>
          <w:lang w:val="sr-Cyrl-CS"/>
        </w:rPr>
        <w:t>о</w:t>
      </w:r>
      <w:r w:rsidRPr="00F64439">
        <w:rPr>
          <w:rFonts w:ascii="Times New Roman" w:hAnsi="Times New Roman"/>
          <w:noProof/>
          <w:szCs w:val="18"/>
          <w:lang w:val="sr-Cyrl-CS"/>
        </w:rPr>
        <w:t xml:space="preserve"> </w:t>
      </w:r>
      <w:r>
        <w:rPr>
          <w:rFonts w:ascii="Times New Roman" w:hAnsi="Times New Roman"/>
          <w:noProof/>
          <w:szCs w:val="18"/>
          <w:lang w:val="sr-Cyrl-CS"/>
        </w:rPr>
        <w:t>правилима</w:t>
      </w:r>
      <w:r w:rsidRPr="00F64439">
        <w:rPr>
          <w:rFonts w:ascii="Times New Roman" w:hAnsi="Times New Roman"/>
          <w:noProof/>
          <w:szCs w:val="18"/>
          <w:lang w:val="sr-Cyrl-CS"/>
        </w:rPr>
        <w:t xml:space="preserve"> </w:t>
      </w:r>
      <w:r>
        <w:rPr>
          <w:rFonts w:ascii="Times New Roman" w:hAnsi="Times New Roman"/>
          <w:noProof/>
          <w:szCs w:val="18"/>
          <w:lang w:val="sr-Cyrl-CS"/>
        </w:rPr>
        <w:t>сарадње</w:t>
      </w:r>
      <w:r w:rsidRPr="00F64439">
        <w:rPr>
          <w:rFonts w:ascii="Times New Roman" w:hAnsi="Times New Roman"/>
          <w:noProof/>
          <w:szCs w:val="18"/>
          <w:lang w:val="sr-Cyrl-CS"/>
        </w:rPr>
        <w:t xml:space="preserve"> </w:t>
      </w:r>
      <w:r>
        <w:rPr>
          <w:rFonts w:ascii="Times New Roman" w:hAnsi="Times New Roman"/>
          <w:noProof/>
          <w:szCs w:val="18"/>
          <w:lang w:val="sr-Cyrl-CS"/>
        </w:rPr>
        <w:t>у</w:t>
      </w:r>
      <w:r w:rsidRPr="00F64439">
        <w:rPr>
          <w:rFonts w:ascii="Times New Roman" w:hAnsi="Times New Roman"/>
          <w:noProof/>
          <w:szCs w:val="18"/>
          <w:lang w:val="sr-Cyrl-CS"/>
        </w:rPr>
        <w:t xml:space="preserve"> </w:t>
      </w:r>
      <w:r>
        <w:rPr>
          <w:rFonts w:ascii="Times New Roman" w:hAnsi="Times New Roman"/>
          <w:noProof/>
          <w:szCs w:val="18"/>
          <w:lang w:val="sr-Cyrl-CS"/>
        </w:rPr>
        <w:t>вези</w:t>
      </w:r>
      <w:r w:rsidRPr="00F64439">
        <w:rPr>
          <w:rFonts w:ascii="Times New Roman" w:hAnsi="Times New Roman"/>
          <w:noProof/>
          <w:szCs w:val="18"/>
          <w:lang w:val="sr-Cyrl-CS"/>
        </w:rPr>
        <w:t xml:space="preserve"> </w:t>
      </w:r>
      <w:r>
        <w:rPr>
          <w:rFonts w:ascii="Times New Roman" w:hAnsi="Times New Roman"/>
          <w:noProof/>
          <w:szCs w:val="18"/>
          <w:lang w:val="sr-Cyrl-CS"/>
        </w:rPr>
        <w:t>са</w:t>
      </w:r>
      <w:r w:rsidRPr="00F64439">
        <w:rPr>
          <w:rFonts w:ascii="Times New Roman" w:hAnsi="Times New Roman"/>
          <w:noProof/>
          <w:szCs w:val="18"/>
          <w:lang w:val="sr-Cyrl-CS"/>
        </w:rPr>
        <w:t xml:space="preserve"> </w:t>
      </w:r>
      <w:r>
        <w:rPr>
          <w:rFonts w:ascii="Times New Roman" w:hAnsi="Times New Roman"/>
          <w:noProof/>
          <w:szCs w:val="18"/>
          <w:lang w:val="sr-Cyrl-CS"/>
        </w:rPr>
        <w:t>финансијском</w:t>
      </w:r>
      <w:r w:rsidRPr="00F64439">
        <w:rPr>
          <w:rFonts w:ascii="Times New Roman" w:hAnsi="Times New Roman"/>
          <w:noProof/>
          <w:szCs w:val="18"/>
          <w:lang w:val="sr-Cyrl-CS"/>
        </w:rPr>
        <w:t xml:space="preserve"> </w:t>
      </w:r>
      <w:r>
        <w:rPr>
          <w:rFonts w:ascii="Times New Roman" w:hAnsi="Times New Roman"/>
          <w:noProof/>
          <w:szCs w:val="18"/>
          <w:lang w:val="sr-Cyrl-CS"/>
        </w:rPr>
        <w:t>помоћи</w:t>
      </w:r>
      <w:r w:rsidRPr="00F64439">
        <w:rPr>
          <w:rFonts w:ascii="Times New Roman" w:hAnsi="Times New Roman"/>
          <w:noProof/>
          <w:szCs w:val="18"/>
          <w:lang w:val="sr-Cyrl-CS"/>
        </w:rPr>
        <w:t xml:space="preserve"> </w:t>
      </w:r>
      <w:r>
        <w:rPr>
          <w:rFonts w:ascii="Times New Roman" w:hAnsi="Times New Roman"/>
          <w:noProof/>
          <w:szCs w:val="18"/>
          <w:lang w:val="sr-Cyrl-CS"/>
        </w:rPr>
        <w:t>Европске</w:t>
      </w:r>
      <w:r w:rsidRPr="00F64439">
        <w:rPr>
          <w:rFonts w:ascii="Times New Roman" w:hAnsi="Times New Roman"/>
          <w:noProof/>
          <w:szCs w:val="18"/>
          <w:lang w:val="sr-Cyrl-CS"/>
        </w:rPr>
        <w:t xml:space="preserve"> </w:t>
      </w:r>
      <w:r>
        <w:rPr>
          <w:rFonts w:ascii="Times New Roman" w:hAnsi="Times New Roman"/>
          <w:noProof/>
          <w:szCs w:val="18"/>
          <w:lang w:val="sr-Cyrl-CS"/>
        </w:rPr>
        <w:t>заједнице</w:t>
      </w:r>
      <w:r w:rsidRPr="00F64439">
        <w:rPr>
          <w:rFonts w:ascii="Times New Roman" w:hAnsi="Times New Roman"/>
          <w:noProof/>
          <w:szCs w:val="18"/>
          <w:lang w:val="sr-Cyrl-CS"/>
        </w:rPr>
        <w:t xml:space="preserve"> </w:t>
      </w:r>
      <w:r>
        <w:rPr>
          <w:rFonts w:ascii="Times New Roman" w:hAnsi="Times New Roman"/>
          <w:noProof/>
          <w:szCs w:val="18"/>
          <w:lang w:val="sr-Cyrl-CS"/>
        </w:rPr>
        <w:t>Републици</w:t>
      </w:r>
      <w:r w:rsidRPr="00F64439">
        <w:rPr>
          <w:rFonts w:ascii="Times New Roman" w:hAnsi="Times New Roman"/>
          <w:noProof/>
          <w:szCs w:val="18"/>
          <w:lang w:val="sr-Cyrl-CS"/>
        </w:rPr>
        <w:t xml:space="preserve"> </w:t>
      </w:r>
      <w:r>
        <w:rPr>
          <w:rFonts w:ascii="Times New Roman" w:hAnsi="Times New Roman"/>
          <w:noProof/>
          <w:szCs w:val="18"/>
          <w:lang w:val="sr-Cyrl-CS"/>
        </w:rPr>
        <w:t>Србији</w:t>
      </w:r>
      <w:r w:rsidRPr="00F64439">
        <w:rPr>
          <w:rFonts w:ascii="Times New Roman" w:hAnsi="Times New Roman"/>
          <w:noProof/>
          <w:szCs w:val="18"/>
          <w:lang w:val="sr-Cyrl-CS"/>
        </w:rPr>
        <w:t xml:space="preserve"> </w:t>
      </w:r>
      <w:r>
        <w:rPr>
          <w:rFonts w:ascii="Times New Roman" w:hAnsi="Times New Roman"/>
          <w:noProof/>
          <w:szCs w:val="18"/>
          <w:lang w:val="sr-Cyrl-CS"/>
        </w:rPr>
        <w:t>у</w:t>
      </w:r>
      <w:r w:rsidRPr="00F64439">
        <w:rPr>
          <w:rFonts w:ascii="Times New Roman" w:hAnsi="Times New Roman"/>
          <w:szCs w:val="18"/>
          <w:lang w:val="sr-Cyrl-CS"/>
        </w:rPr>
        <w:t xml:space="preserve"> </w:t>
      </w:r>
      <w:r>
        <w:rPr>
          <w:rFonts w:ascii="Times New Roman" w:hAnsi="Times New Roman"/>
          <w:noProof/>
          <w:szCs w:val="18"/>
          <w:lang w:val="sr-Cyrl-CS"/>
        </w:rPr>
        <w:t>вези</w:t>
      </w:r>
      <w:r w:rsidRPr="00F64439">
        <w:rPr>
          <w:rFonts w:ascii="Times New Roman" w:hAnsi="Times New Roman"/>
          <w:noProof/>
          <w:szCs w:val="18"/>
          <w:lang w:val="sr-Cyrl-CS"/>
        </w:rPr>
        <w:t xml:space="preserve"> </w:t>
      </w:r>
      <w:r>
        <w:rPr>
          <w:rFonts w:ascii="Times New Roman" w:hAnsi="Times New Roman"/>
          <w:noProof/>
          <w:szCs w:val="18"/>
          <w:lang w:val="sr-Cyrl-CS"/>
        </w:rPr>
        <w:t>са</w:t>
      </w:r>
      <w:r w:rsidRPr="00F64439">
        <w:rPr>
          <w:rFonts w:ascii="Times New Roman" w:hAnsi="Times New Roman"/>
          <w:noProof/>
          <w:szCs w:val="18"/>
          <w:lang w:val="sr-Cyrl-CS"/>
        </w:rPr>
        <w:t xml:space="preserve"> </w:t>
      </w:r>
      <w:r>
        <w:rPr>
          <w:rFonts w:ascii="Times New Roman" w:hAnsi="Times New Roman"/>
          <w:noProof/>
          <w:szCs w:val="18"/>
          <w:lang w:val="sr-Cyrl-CS"/>
        </w:rPr>
        <w:t>спровођењем</w:t>
      </w:r>
      <w:r w:rsidRPr="00F64439">
        <w:rPr>
          <w:rFonts w:ascii="Times New Roman" w:hAnsi="Times New Roman"/>
          <w:noProof/>
          <w:szCs w:val="18"/>
          <w:lang w:val="sr-Cyrl-CS"/>
        </w:rPr>
        <w:t xml:space="preserve"> </w:t>
      </w:r>
      <w:r>
        <w:rPr>
          <w:rFonts w:ascii="Times New Roman" w:hAnsi="Times New Roman"/>
          <w:noProof/>
          <w:szCs w:val="18"/>
          <w:lang w:val="sr-Cyrl-CS"/>
        </w:rPr>
        <w:t>помоћи</w:t>
      </w:r>
      <w:r w:rsidRPr="00F64439">
        <w:rPr>
          <w:rFonts w:ascii="Times New Roman" w:hAnsi="Times New Roman"/>
          <w:noProof/>
          <w:szCs w:val="18"/>
          <w:lang w:val="sr-Cyrl-CS"/>
        </w:rPr>
        <w:t xml:space="preserve"> </w:t>
      </w:r>
      <w:r>
        <w:rPr>
          <w:rFonts w:ascii="Times New Roman" w:hAnsi="Times New Roman"/>
          <w:noProof/>
          <w:szCs w:val="18"/>
          <w:lang w:val="sr-Cyrl-CS"/>
        </w:rPr>
        <w:t>у</w:t>
      </w:r>
      <w:r w:rsidRPr="00F64439">
        <w:rPr>
          <w:rFonts w:ascii="Times New Roman" w:hAnsi="Times New Roman"/>
          <w:noProof/>
          <w:szCs w:val="18"/>
          <w:lang w:val="sr-Cyrl-CS"/>
        </w:rPr>
        <w:t xml:space="preserve"> </w:t>
      </w:r>
      <w:r>
        <w:rPr>
          <w:rFonts w:ascii="Times New Roman" w:hAnsi="Times New Roman"/>
          <w:noProof/>
          <w:szCs w:val="18"/>
          <w:lang w:val="sr-Cyrl-CS"/>
        </w:rPr>
        <w:t>оквиру</w:t>
      </w:r>
      <w:r w:rsidRPr="00F64439">
        <w:rPr>
          <w:rFonts w:ascii="Times New Roman" w:hAnsi="Times New Roman"/>
          <w:noProof/>
          <w:szCs w:val="18"/>
          <w:lang w:val="sr-Cyrl-CS"/>
        </w:rPr>
        <w:t xml:space="preserve"> </w:t>
      </w:r>
      <w:r>
        <w:rPr>
          <w:rFonts w:ascii="Times New Roman" w:hAnsi="Times New Roman"/>
          <w:noProof/>
          <w:szCs w:val="18"/>
          <w:lang w:val="sr-Cyrl-CS"/>
        </w:rPr>
        <w:t>Инструмента</w:t>
      </w:r>
      <w:r w:rsidRPr="00F64439">
        <w:rPr>
          <w:rFonts w:ascii="Times New Roman" w:hAnsi="Times New Roman"/>
          <w:noProof/>
          <w:szCs w:val="18"/>
          <w:lang w:val="sr-Cyrl-CS"/>
        </w:rPr>
        <w:t xml:space="preserve"> </w:t>
      </w:r>
      <w:r>
        <w:rPr>
          <w:rFonts w:ascii="Times New Roman" w:hAnsi="Times New Roman"/>
          <w:noProof/>
          <w:szCs w:val="18"/>
          <w:lang w:val="sr-Cyrl-CS"/>
        </w:rPr>
        <w:t>за</w:t>
      </w:r>
      <w:r w:rsidRPr="00F64439">
        <w:rPr>
          <w:rFonts w:ascii="Times New Roman" w:hAnsi="Times New Roman"/>
          <w:noProof/>
          <w:szCs w:val="18"/>
          <w:lang w:val="sr-Cyrl-CS"/>
        </w:rPr>
        <w:t xml:space="preserve"> </w:t>
      </w:r>
      <w:r>
        <w:rPr>
          <w:rFonts w:ascii="Times New Roman" w:hAnsi="Times New Roman"/>
          <w:noProof/>
          <w:szCs w:val="18"/>
          <w:lang w:val="sr-Cyrl-CS"/>
        </w:rPr>
        <w:t>претприступну</w:t>
      </w:r>
      <w:r w:rsidRPr="00F64439">
        <w:rPr>
          <w:rFonts w:ascii="Times New Roman" w:hAnsi="Times New Roman"/>
          <w:noProof/>
          <w:szCs w:val="18"/>
          <w:lang w:val="sr-Cyrl-CS"/>
        </w:rPr>
        <w:t xml:space="preserve"> </w:t>
      </w:r>
      <w:r>
        <w:rPr>
          <w:rFonts w:ascii="Times New Roman" w:hAnsi="Times New Roman"/>
          <w:noProof/>
          <w:szCs w:val="18"/>
          <w:lang w:val="sr-Cyrl-CS"/>
        </w:rPr>
        <w:t>помоћ</w:t>
      </w:r>
      <w:r w:rsidRPr="00F64439">
        <w:rPr>
          <w:rFonts w:ascii="Times New Roman" w:hAnsi="Times New Roman"/>
          <w:noProof/>
          <w:szCs w:val="18"/>
          <w:lang w:val="sr-Cyrl-CS"/>
        </w:rPr>
        <w:t xml:space="preserve"> (</w:t>
      </w:r>
      <w:r>
        <w:rPr>
          <w:rFonts w:ascii="Times New Roman" w:hAnsi="Times New Roman"/>
          <w:noProof/>
          <w:szCs w:val="18"/>
          <w:lang w:val="sr-Cyrl-CS"/>
        </w:rPr>
        <w:t>ИПА</w:t>
      </w:r>
      <w:r w:rsidRPr="00F64439">
        <w:rPr>
          <w:rFonts w:ascii="Times New Roman" w:hAnsi="Times New Roman"/>
          <w:noProof/>
          <w:szCs w:val="18"/>
          <w:lang w:val="sr-Cyrl-CS"/>
        </w:rPr>
        <w:t>)” (</w:t>
      </w:r>
      <w:r>
        <w:rPr>
          <w:rFonts w:ascii="Times New Roman" w:hAnsi="Times New Roman"/>
          <w:noProof/>
          <w:szCs w:val="18"/>
          <w:lang w:val="sr-Cyrl-CS"/>
        </w:rPr>
        <w:t>Службени</w:t>
      </w:r>
      <w:r w:rsidRPr="00F64439">
        <w:rPr>
          <w:rFonts w:ascii="Times New Roman" w:hAnsi="Times New Roman"/>
          <w:noProof/>
          <w:szCs w:val="18"/>
          <w:lang w:val="sr-Cyrl-CS"/>
        </w:rPr>
        <w:t xml:space="preserve"> </w:t>
      </w:r>
      <w:r>
        <w:rPr>
          <w:rFonts w:ascii="Times New Roman" w:hAnsi="Times New Roman"/>
          <w:noProof/>
          <w:szCs w:val="18"/>
          <w:lang w:val="sr-Cyrl-CS"/>
        </w:rPr>
        <w:t>гласник</w:t>
      </w:r>
      <w:r w:rsidRPr="00F64439">
        <w:rPr>
          <w:rFonts w:ascii="Times New Roman" w:hAnsi="Times New Roman"/>
          <w:noProof/>
          <w:szCs w:val="18"/>
          <w:lang w:val="sr-Cyrl-CS"/>
        </w:rPr>
        <w:t xml:space="preserve"> – </w:t>
      </w:r>
      <w:r>
        <w:rPr>
          <w:rFonts w:ascii="Times New Roman" w:hAnsi="Times New Roman"/>
          <w:noProof/>
          <w:szCs w:val="18"/>
          <w:lang w:val="sr-Cyrl-CS"/>
        </w:rPr>
        <w:t>Међународни</w:t>
      </w:r>
      <w:r w:rsidRPr="00F64439">
        <w:rPr>
          <w:rFonts w:ascii="Times New Roman" w:hAnsi="Times New Roman"/>
          <w:noProof/>
          <w:szCs w:val="18"/>
          <w:lang w:val="sr-Cyrl-CS"/>
        </w:rPr>
        <w:t xml:space="preserve"> </w:t>
      </w:r>
      <w:r>
        <w:rPr>
          <w:rFonts w:ascii="Times New Roman" w:hAnsi="Times New Roman"/>
          <w:noProof/>
          <w:szCs w:val="18"/>
          <w:lang w:val="sr-Cyrl-CS"/>
        </w:rPr>
        <w:t>споразуми, број</w:t>
      </w:r>
      <w:r w:rsidRPr="00F64439">
        <w:rPr>
          <w:rFonts w:ascii="Times New Roman" w:hAnsi="Times New Roman"/>
          <w:noProof/>
          <w:szCs w:val="18"/>
          <w:lang w:val="sr-Cyrl-CS"/>
        </w:rPr>
        <w:t xml:space="preserve"> 124/07)</w:t>
      </w:r>
      <w:r>
        <w:rPr>
          <w:rFonts w:ascii="Times New Roman" w:hAnsi="Times New Roman"/>
          <w:noProof/>
          <w:szCs w:val="18"/>
          <w:lang w:val="sr-Cyrl-CS"/>
        </w:rPr>
        <w:t>.</w:t>
      </w:r>
    </w:p>
  </w:footnote>
  <w:footnote w:id="21">
    <w:p w:rsidR="00172313" w:rsidRDefault="00172313" w:rsidP="0046476F">
      <w:pPr>
        <w:pStyle w:val="FootnoteText"/>
      </w:pPr>
      <w:r w:rsidRPr="00F64439">
        <w:rPr>
          <w:rStyle w:val="FootnoteReference"/>
          <w:noProof/>
          <w:lang w:val="sr-Cyrl-CS"/>
        </w:rPr>
        <w:footnoteRef/>
      </w:r>
      <w:r w:rsidRPr="00F64439">
        <w:rPr>
          <w:noProof/>
          <w:lang w:val="sr-Cyrl-CS"/>
        </w:rPr>
        <w:t xml:space="preserve"> </w:t>
      </w:r>
      <w:r>
        <w:rPr>
          <w:rFonts w:ascii="Times New Roman" w:hAnsi="Times New Roman"/>
          <w:noProof/>
          <w:szCs w:val="18"/>
          <w:lang w:val="sr-Cyrl-CS"/>
        </w:rPr>
        <w:t>Уредба</w:t>
      </w:r>
      <w:r w:rsidRPr="00F64439">
        <w:rPr>
          <w:rFonts w:ascii="Times New Roman" w:hAnsi="Times New Roman"/>
          <w:noProof/>
          <w:szCs w:val="18"/>
          <w:lang w:val="sr-Cyrl-CS"/>
        </w:rPr>
        <w:t xml:space="preserve"> </w:t>
      </w:r>
      <w:r>
        <w:rPr>
          <w:rFonts w:ascii="Times New Roman" w:hAnsi="Times New Roman"/>
          <w:noProof/>
          <w:szCs w:val="18"/>
          <w:lang w:val="sr-Cyrl-CS"/>
        </w:rPr>
        <w:t>о</w:t>
      </w:r>
      <w:r w:rsidRPr="00F64439">
        <w:rPr>
          <w:rFonts w:ascii="Times New Roman" w:hAnsi="Times New Roman"/>
          <w:noProof/>
          <w:szCs w:val="18"/>
          <w:lang w:val="sr-Cyrl-CS"/>
        </w:rPr>
        <w:t xml:space="preserve"> </w:t>
      </w:r>
      <w:r>
        <w:rPr>
          <w:rFonts w:ascii="Times New Roman" w:hAnsi="Times New Roman"/>
          <w:noProof/>
          <w:szCs w:val="18"/>
          <w:lang w:val="sr-Cyrl-CS"/>
        </w:rPr>
        <w:t>спровођењу</w:t>
      </w:r>
      <w:r w:rsidRPr="00F64439">
        <w:rPr>
          <w:rFonts w:ascii="Times New Roman" w:hAnsi="Times New Roman"/>
          <w:noProof/>
          <w:szCs w:val="18"/>
          <w:lang w:val="sr-Cyrl-CS"/>
        </w:rPr>
        <w:t xml:space="preserve"> </w:t>
      </w:r>
      <w:r>
        <w:rPr>
          <w:rFonts w:ascii="Times New Roman" w:hAnsi="Times New Roman"/>
          <w:noProof/>
          <w:szCs w:val="18"/>
          <w:lang w:val="sr-Cyrl-CS"/>
        </w:rPr>
        <w:t>ИПА</w:t>
      </w:r>
      <w:r>
        <w:rPr>
          <w:rFonts w:ascii="Times New Roman" w:hAnsi="Times New Roman"/>
          <w:szCs w:val="18"/>
          <w:lang w:val="sr-Cyrl-CS"/>
        </w:rPr>
        <w:t>.</w:t>
      </w:r>
    </w:p>
  </w:footnote>
  <w:footnote w:id="22">
    <w:p w:rsidR="00172313" w:rsidRPr="00F64439" w:rsidRDefault="00172313" w:rsidP="0046476F">
      <w:pPr>
        <w:pStyle w:val="FootnoteText"/>
        <w:spacing w:after="0"/>
        <w:rPr>
          <w:noProof/>
          <w:lang w:val="sr-Cyrl-CS"/>
        </w:rPr>
      </w:pPr>
      <w:r w:rsidRPr="00F64439">
        <w:rPr>
          <w:rStyle w:val="FootnoteReference"/>
          <w:noProof/>
          <w:lang w:val="sr-Cyrl-CS"/>
        </w:rPr>
        <w:footnoteRef/>
      </w:r>
      <w:r w:rsidRPr="00F64439">
        <w:rPr>
          <w:noProof/>
          <w:lang w:val="sr-Cyrl-CS"/>
        </w:rPr>
        <w:t xml:space="preserve"> </w:t>
      </w:r>
      <w:r>
        <w:rPr>
          <w:rFonts w:ascii="Times New Roman" w:hAnsi="Times New Roman"/>
          <w:noProof/>
          <w:lang w:val="sr-Cyrl-CS"/>
        </w:rPr>
        <w:t>Европски</w:t>
      </w:r>
      <w:r w:rsidRPr="00F64439">
        <w:rPr>
          <w:rFonts w:ascii="Times New Roman" w:hAnsi="Times New Roman"/>
          <w:noProof/>
          <w:lang w:val="sr-Cyrl-CS"/>
        </w:rPr>
        <w:t xml:space="preserve"> </w:t>
      </w:r>
      <w:r>
        <w:rPr>
          <w:rFonts w:ascii="Times New Roman" w:hAnsi="Times New Roman"/>
          <w:noProof/>
          <w:lang w:val="sr-Cyrl-CS"/>
        </w:rPr>
        <w:t>ревизорски</w:t>
      </w:r>
      <w:r w:rsidRPr="00F64439">
        <w:rPr>
          <w:rFonts w:ascii="Times New Roman" w:hAnsi="Times New Roman"/>
          <w:noProof/>
          <w:lang w:val="sr-Cyrl-CS"/>
        </w:rPr>
        <w:t xml:space="preserve"> </w:t>
      </w:r>
      <w:r>
        <w:rPr>
          <w:rFonts w:ascii="Times New Roman" w:hAnsi="Times New Roman"/>
          <w:noProof/>
          <w:lang w:val="sr-Cyrl-CS"/>
        </w:rPr>
        <w:t>суд</w:t>
      </w:r>
      <w:r w:rsidRPr="00F64439">
        <w:rPr>
          <w:rFonts w:ascii="Times New Roman" w:hAnsi="Times New Roman"/>
          <w:noProof/>
          <w:lang w:val="sr-Cyrl-CS"/>
        </w:rPr>
        <w:t xml:space="preserve">, </w:t>
      </w:r>
      <w:r w:rsidRPr="00E0770C">
        <w:rPr>
          <w:bCs/>
          <w:noProof/>
          <w:szCs w:val="24"/>
          <w:lang w:val="sr-Cyrl-CS"/>
        </w:rPr>
        <w:t>„</w:t>
      </w:r>
      <w:r>
        <w:rPr>
          <w:rFonts w:ascii="Times New Roman" w:hAnsi="Times New Roman"/>
          <w:noProof/>
          <w:lang w:val="sr-Cyrl-CS"/>
        </w:rPr>
        <w:t>Да</w:t>
      </w:r>
      <w:r w:rsidRPr="00F64439">
        <w:rPr>
          <w:rFonts w:ascii="Times New Roman" w:hAnsi="Times New Roman"/>
          <w:noProof/>
          <w:lang w:val="sr-Cyrl-CS"/>
        </w:rPr>
        <w:t xml:space="preserve"> </w:t>
      </w:r>
      <w:r>
        <w:rPr>
          <w:rFonts w:ascii="Times New Roman" w:hAnsi="Times New Roman"/>
          <w:noProof/>
          <w:lang w:val="sr-Cyrl-CS"/>
        </w:rPr>
        <w:t>ли</w:t>
      </w:r>
      <w:r w:rsidRPr="00F64439">
        <w:rPr>
          <w:rFonts w:ascii="Times New Roman" w:hAnsi="Times New Roman"/>
          <w:noProof/>
          <w:lang w:val="sr-Cyrl-CS"/>
        </w:rPr>
        <w:t xml:space="preserve"> </w:t>
      </w:r>
      <w:r>
        <w:rPr>
          <w:rFonts w:ascii="Times New Roman" w:hAnsi="Times New Roman"/>
          <w:noProof/>
          <w:lang w:val="sr-Cyrl-CS"/>
        </w:rPr>
        <w:t>је</w:t>
      </w:r>
      <w:r w:rsidRPr="00F64439">
        <w:rPr>
          <w:rFonts w:ascii="Times New Roman" w:hAnsi="Times New Roman"/>
          <w:noProof/>
          <w:lang w:val="sr-Cyrl-CS"/>
        </w:rPr>
        <w:t xml:space="preserve"> </w:t>
      </w:r>
      <w:r>
        <w:rPr>
          <w:rFonts w:ascii="Times New Roman" w:hAnsi="Times New Roman"/>
          <w:noProof/>
          <w:lang w:val="sr-Cyrl-CS"/>
        </w:rPr>
        <w:t>помоћ</w:t>
      </w:r>
      <w:r w:rsidRPr="00F64439">
        <w:rPr>
          <w:rFonts w:ascii="Times New Roman" w:hAnsi="Times New Roman"/>
          <w:noProof/>
          <w:lang w:val="sr-Cyrl-CS"/>
        </w:rPr>
        <w:t xml:space="preserve"> </w:t>
      </w:r>
      <w:r>
        <w:rPr>
          <w:rFonts w:ascii="Times New Roman" w:hAnsi="Times New Roman"/>
          <w:noProof/>
          <w:lang w:val="sr-Cyrl-CS"/>
        </w:rPr>
        <w:t>ЕУ</w:t>
      </w:r>
      <w:r w:rsidRPr="00F64439">
        <w:rPr>
          <w:rFonts w:ascii="Times New Roman" w:hAnsi="Times New Roman"/>
          <w:noProof/>
          <w:lang w:val="sr-Cyrl-CS"/>
        </w:rPr>
        <w:t xml:space="preserve"> </w:t>
      </w:r>
      <w:r>
        <w:rPr>
          <w:rFonts w:ascii="Times New Roman" w:hAnsi="Times New Roman"/>
          <w:noProof/>
          <w:lang w:val="sr-Cyrl-CS"/>
        </w:rPr>
        <w:t>побољшала</w:t>
      </w:r>
      <w:r w:rsidRPr="00F64439">
        <w:rPr>
          <w:rFonts w:ascii="Times New Roman" w:hAnsi="Times New Roman"/>
          <w:noProof/>
          <w:lang w:val="sr-Cyrl-CS"/>
        </w:rPr>
        <w:t xml:space="preserve"> </w:t>
      </w:r>
      <w:r>
        <w:rPr>
          <w:rFonts w:ascii="Times New Roman" w:hAnsi="Times New Roman"/>
          <w:noProof/>
          <w:lang w:val="sr-Cyrl-CS"/>
        </w:rPr>
        <w:t>капацитете</w:t>
      </w:r>
      <w:r w:rsidRPr="00F64439">
        <w:rPr>
          <w:rFonts w:ascii="Times New Roman" w:hAnsi="Times New Roman"/>
          <w:noProof/>
          <w:lang w:val="sr-Cyrl-CS"/>
        </w:rPr>
        <w:t xml:space="preserve"> </w:t>
      </w:r>
      <w:r>
        <w:rPr>
          <w:rFonts w:ascii="Times New Roman" w:hAnsi="Times New Roman"/>
          <w:noProof/>
          <w:lang w:val="sr-Cyrl-CS"/>
        </w:rPr>
        <w:t>Хрватске</w:t>
      </w:r>
      <w:r w:rsidRPr="00F64439">
        <w:rPr>
          <w:rFonts w:ascii="Times New Roman" w:hAnsi="Times New Roman"/>
          <w:noProof/>
          <w:lang w:val="sr-Cyrl-CS"/>
        </w:rPr>
        <w:t xml:space="preserve"> </w:t>
      </w:r>
      <w:r>
        <w:rPr>
          <w:rFonts w:ascii="Times New Roman" w:hAnsi="Times New Roman"/>
          <w:noProof/>
          <w:lang w:val="sr-Cyrl-CS"/>
        </w:rPr>
        <w:t>да</w:t>
      </w:r>
      <w:r w:rsidRPr="00F64439">
        <w:rPr>
          <w:rFonts w:ascii="Times New Roman" w:hAnsi="Times New Roman"/>
          <w:noProof/>
          <w:lang w:val="sr-Cyrl-CS"/>
        </w:rPr>
        <w:t xml:space="preserve"> </w:t>
      </w:r>
      <w:r>
        <w:rPr>
          <w:rFonts w:ascii="Times New Roman" w:hAnsi="Times New Roman"/>
          <w:noProof/>
          <w:lang w:val="sr-Cyrl-CS"/>
        </w:rPr>
        <w:t>управља</w:t>
      </w:r>
      <w:r w:rsidRPr="00F64439">
        <w:rPr>
          <w:rFonts w:ascii="Times New Roman" w:hAnsi="Times New Roman"/>
          <w:noProof/>
          <w:lang w:val="sr-Cyrl-CS"/>
        </w:rPr>
        <w:t xml:space="preserve"> </w:t>
      </w:r>
      <w:r>
        <w:rPr>
          <w:rFonts w:ascii="Times New Roman" w:hAnsi="Times New Roman"/>
          <w:noProof/>
          <w:lang w:val="sr-Cyrl-CS"/>
        </w:rPr>
        <w:t>фондовима</w:t>
      </w:r>
      <w:r w:rsidRPr="00F64439">
        <w:rPr>
          <w:rFonts w:ascii="Times New Roman" w:hAnsi="Times New Roman"/>
          <w:noProof/>
          <w:lang w:val="sr-Cyrl-CS"/>
        </w:rPr>
        <w:t xml:space="preserve"> </w:t>
      </w:r>
      <w:r>
        <w:rPr>
          <w:rFonts w:ascii="Times New Roman" w:hAnsi="Times New Roman"/>
          <w:noProof/>
          <w:lang w:val="sr-Cyrl-CS"/>
        </w:rPr>
        <w:t>који</w:t>
      </w:r>
      <w:r w:rsidRPr="00F64439">
        <w:rPr>
          <w:rFonts w:ascii="Times New Roman" w:hAnsi="Times New Roman"/>
          <w:noProof/>
          <w:lang w:val="sr-Cyrl-CS"/>
        </w:rPr>
        <w:t xml:space="preserve"> </w:t>
      </w:r>
      <w:r>
        <w:rPr>
          <w:rFonts w:ascii="Times New Roman" w:hAnsi="Times New Roman"/>
          <w:noProof/>
          <w:lang w:val="sr-Cyrl-CS"/>
        </w:rPr>
        <w:t>ће</w:t>
      </w:r>
      <w:r w:rsidRPr="00F64439">
        <w:rPr>
          <w:rFonts w:ascii="Times New Roman" w:hAnsi="Times New Roman"/>
          <w:noProof/>
          <w:lang w:val="sr-Cyrl-CS"/>
        </w:rPr>
        <w:t xml:space="preserve"> </w:t>
      </w:r>
      <w:r>
        <w:rPr>
          <w:rFonts w:ascii="Times New Roman" w:hAnsi="Times New Roman"/>
          <w:noProof/>
          <w:lang w:val="sr-Cyrl-CS"/>
        </w:rPr>
        <w:t>јој</w:t>
      </w:r>
      <w:r w:rsidRPr="00F64439">
        <w:rPr>
          <w:rFonts w:ascii="Times New Roman" w:hAnsi="Times New Roman"/>
          <w:noProof/>
          <w:lang w:val="sr-Cyrl-CS"/>
        </w:rPr>
        <w:t xml:space="preserve"> </w:t>
      </w:r>
      <w:r>
        <w:rPr>
          <w:rFonts w:ascii="Times New Roman" w:hAnsi="Times New Roman"/>
          <w:noProof/>
          <w:lang w:val="sr-Cyrl-CS"/>
        </w:rPr>
        <w:t>бити</w:t>
      </w:r>
      <w:r w:rsidRPr="00F64439">
        <w:rPr>
          <w:rFonts w:ascii="Times New Roman" w:hAnsi="Times New Roman"/>
          <w:noProof/>
          <w:lang w:val="sr-Cyrl-CS"/>
        </w:rPr>
        <w:t xml:space="preserve"> </w:t>
      </w:r>
      <w:r>
        <w:rPr>
          <w:rFonts w:ascii="Times New Roman" w:hAnsi="Times New Roman"/>
          <w:noProof/>
          <w:lang w:val="sr-Cyrl-CS"/>
        </w:rPr>
        <w:t>на</w:t>
      </w:r>
      <w:r w:rsidRPr="00F64439">
        <w:rPr>
          <w:rFonts w:ascii="Times New Roman" w:hAnsi="Times New Roman"/>
          <w:noProof/>
          <w:lang w:val="sr-Cyrl-CS"/>
        </w:rPr>
        <w:t xml:space="preserve"> </w:t>
      </w:r>
      <w:r>
        <w:rPr>
          <w:rFonts w:ascii="Times New Roman" w:hAnsi="Times New Roman"/>
          <w:noProof/>
          <w:lang w:val="sr-Cyrl-CS"/>
        </w:rPr>
        <w:t>располагању</w:t>
      </w:r>
      <w:r w:rsidRPr="00F64439">
        <w:rPr>
          <w:rFonts w:ascii="Times New Roman" w:hAnsi="Times New Roman"/>
          <w:noProof/>
          <w:lang w:val="sr-Cyrl-CS"/>
        </w:rPr>
        <w:t xml:space="preserve"> </w:t>
      </w:r>
      <w:r>
        <w:rPr>
          <w:rFonts w:ascii="Times New Roman" w:hAnsi="Times New Roman"/>
          <w:noProof/>
          <w:lang w:val="sr-Cyrl-CS"/>
        </w:rPr>
        <w:t>након</w:t>
      </w:r>
      <w:r w:rsidRPr="00F64439">
        <w:rPr>
          <w:rFonts w:ascii="Times New Roman" w:hAnsi="Times New Roman"/>
          <w:noProof/>
          <w:lang w:val="sr-Cyrl-CS"/>
        </w:rPr>
        <w:t xml:space="preserve"> </w:t>
      </w:r>
      <w:r>
        <w:rPr>
          <w:rFonts w:ascii="Times New Roman" w:hAnsi="Times New Roman"/>
          <w:noProof/>
          <w:lang w:val="sr-Cyrl-CS"/>
        </w:rPr>
        <w:t>пријема</w:t>
      </w:r>
      <w:r w:rsidRPr="00F64439">
        <w:rPr>
          <w:rFonts w:ascii="Times New Roman" w:hAnsi="Times New Roman"/>
          <w:noProof/>
          <w:lang w:val="sr-Cyrl-CS"/>
        </w:rPr>
        <w:t xml:space="preserve"> </w:t>
      </w:r>
      <w:r>
        <w:rPr>
          <w:rFonts w:ascii="Times New Roman" w:hAnsi="Times New Roman"/>
          <w:noProof/>
          <w:lang w:val="sr-Cyrl-CS"/>
        </w:rPr>
        <w:t>у</w:t>
      </w:r>
      <w:r w:rsidRPr="00F64439">
        <w:rPr>
          <w:rFonts w:ascii="Times New Roman" w:hAnsi="Times New Roman"/>
          <w:noProof/>
          <w:lang w:val="sr-Cyrl-CS"/>
        </w:rPr>
        <w:t xml:space="preserve"> </w:t>
      </w:r>
      <w:r>
        <w:rPr>
          <w:rFonts w:ascii="Times New Roman" w:hAnsi="Times New Roman"/>
          <w:noProof/>
          <w:lang w:val="sr-Cyrl-CS"/>
        </w:rPr>
        <w:t>чланство</w:t>
      </w:r>
      <w:r w:rsidRPr="00F64439">
        <w:rPr>
          <w:rFonts w:ascii="Times New Roman" w:hAnsi="Times New Roman"/>
          <w:noProof/>
          <w:lang w:val="sr-Cyrl-CS"/>
        </w:rPr>
        <w:t xml:space="preserve">?”, </w:t>
      </w:r>
      <w:r>
        <w:rPr>
          <w:rFonts w:ascii="Times New Roman" w:hAnsi="Times New Roman"/>
          <w:noProof/>
          <w:lang w:val="sr-Cyrl-CS"/>
        </w:rPr>
        <w:t>Специјални</w:t>
      </w:r>
      <w:r w:rsidRPr="00F64439">
        <w:rPr>
          <w:rFonts w:ascii="Times New Roman" w:hAnsi="Times New Roman"/>
          <w:noProof/>
          <w:lang w:val="sr-Cyrl-CS"/>
        </w:rPr>
        <w:t xml:space="preserve"> </w:t>
      </w:r>
      <w:r>
        <w:rPr>
          <w:rFonts w:ascii="Times New Roman" w:hAnsi="Times New Roman"/>
          <w:noProof/>
          <w:lang w:val="sr-Cyrl-CS"/>
        </w:rPr>
        <w:t>извештај</w:t>
      </w:r>
      <w:r w:rsidRPr="00F64439">
        <w:rPr>
          <w:rFonts w:ascii="Times New Roman" w:hAnsi="Times New Roman"/>
          <w:noProof/>
          <w:lang w:val="sr-Cyrl-CS"/>
        </w:rPr>
        <w:t xml:space="preserve"> </w:t>
      </w:r>
      <w:r>
        <w:rPr>
          <w:rFonts w:ascii="Times New Roman" w:hAnsi="Times New Roman"/>
          <w:noProof/>
          <w:lang w:val="sr-Cyrl-CS"/>
        </w:rPr>
        <w:t>бр</w:t>
      </w:r>
      <w:r w:rsidRPr="00F64439">
        <w:rPr>
          <w:rFonts w:ascii="Times New Roman" w:hAnsi="Times New Roman"/>
          <w:noProof/>
          <w:lang w:val="sr-Cyrl-CS"/>
        </w:rPr>
        <w:t>. 14/2011, 2011;</w:t>
      </w:r>
      <w:r>
        <w:rPr>
          <w:rFonts w:ascii="Times New Roman" w:hAnsi="Times New Roman"/>
          <w:noProof/>
          <w:lang w:val="sr-Cyrl-CS"/>
        </w:rPr>
        <w:t xml:space="preserve"> Светска</w:t>
      </w:r>
      <w:r w:rsidRPr="00F64439">
        <w:rPr>
          <w:rFonts w:ascii="Times New Roman" w:hAnsi="Times New Roman"/>
          <w:noProof/>
          <w:lang w:val="sr-Cyrl-CS"/>
        </w:rPr>
        <w:t xml:space="preserve"> </w:t>
      </w:r>
      <w:r>
        <w:rPr>
          <w:rFonts w:ascii="Times New Roman" w:hAnsi="Times New Roman"/>
          <w:noProof/>
          <w:lang w:val="sr-Cyrl-CS"/>
        </w:rPr>
        <w:t>банка</w:t>
      </w:r>
      <w:r w:rsidRPr="00F64439">
        <w:rPr>
          <w:rFonts w:ascii="Times New Roman" w:hAnsi="Times New Roman"/>
          <w:noProof/>
          <w:lang w:val="sr-Cyrl-CS"/>
        </w:rPr>
        <w:t xml:space="preserve">, </w:t>
      </w:r>
      <w:r>
        <w:rPr>
          <w:rFonts w:ascii="Times New Roman" w:hAnsi="Times New Roman"/>
          <w:noProof/>
          <w:lang w:val="sr-Cyrl-CS"/>
        </w:rPr>
        <w:t>ЕУ</w:t>
      </w:r>
      <w:r w:rsidRPr="00F64439">
        <w:rPr>
          <w:rFonts w:ascii="Times New Roman" w:hAnsi="Times New Roman"/>
          <w:noProof/>
          <w:lang w:val="sr-Cyrl-CS"/>
        </w:rPr>
        <w:t xml:space="preserve">-8 </w:t>
      </w:r>
      <w:r>
        <w:rPr>
          <w:rFonts w:ascii="Times New Roman" w:hAnsi="Times New Roman"/>
          <w:noProof/>
          <w:lang w:val="sr-Cyrl-CS"/>
        </w:rPr>
        <w:t>Административни</w:t>
      </w:r>
      <w:r w:rsidRPr="00F64439">
        <w:rPr>
          <w:rFonts w:ascii="Times New Roman" w:hAnsi="Times New Roman"/>
          <w:noProof/>
          <w:lang w:val="sr-Cyrl-CS"/>
        </w:rPr>
        <w:t xml:space="preserve"> </w:t>
      </w:r>
      <w:r>
        <w:rPr>
          <w:rFonts w:ascii="Times New Roman" w:hAnsi="Times New Roman"/>
          <w:noProof/>
          <w:lang w:val="sr-Cyrl-CS"/>
        </w:rPr>
        <w:t>капацитети</w:t>
      </w:r>
      <w:r w:rsidRPr="00F64439">
        <w:rPr>
          <w:rFonts w:ascii="Times New Roman" w:hAnsi="Times New Roman"/>
          <w:noProof/>
          <w:lang w:val="sr-Cyrl-CS"/>
        </w:rPr>
        <w:t xml:space="preserve"> </w:t>
      </w:r>
      <w:r>
        <w:rPr>
          <w:rFonts w:ascii="Times New Roman" w:hAnsi="Times New Roman"/>
          <w:noProof/>
          <w:lang w:val="sr-Cyrl-CS"/>
        </w:rPr>
        <w:t>у</w:t>
      </w:r>
      <w:r w:rsidRPr="00F64439">
        <w:rPr>
          <w:rFonts w:ascii="Times New Roman" w:hAnsi="Times New Roman"/>
          <w:noProof/>
          <w:lang w:val="sr-Cyrl-CS"/>
        </w:rPr>
        <w:t xml:space="preserve"> </w:t>
      </w:r>
      <w:r>
        <w:rPr>
          <w:rFonts w:ascii="Times New Roman" w:hAnsi="Times New Roman"/>
          <w:noProof/>
          <w:lang w:val="sr-Cyrl-CS"/>
        </w:rPr>
        <w:t>новим</w:t>
      </w:r>
      <w:r w:rsidRPr="00F64439">
        <w:rPr>
          <w:rFonts w:ascii="Times New Roman" w:hAnsi="Times New Roman"/>
          <w:noProof/>
          <w:lang w:val="sr-Cyrl-CS"/>
        </w:rPr>
        <w:t xml:space="preserve"> </w:t>
      </w:r>
      <w:r>
        <w:rPr>
          <w:rFonts w:ascii="Times New Roman" w:hAnsi="Times New Roman"/>
          <w:noProof/>
          <w:lang w:val="sr-Cyrl-CS"/>
        </w:rPr>
        <w:t>Земљама</w:t>
      </w:r>
      <w:r w:rsidRPr="00F64439">
        <w:rPr>
          <w:rFonts w:ascii="Times New Roman" w:hAnsi="Times New Roman"/>
          <w:noProof/>
          <w:lang w:val="sr-Cyrl-CS"/>
        </w:rPr>
        <w:t xml:space="preserve"> </w:t>
      </w:r>
      <w:r>
        <w:rPr>
          <w:rFonts w:ascii="Times New Roman" w:hAnsi="Times New Roman"/>
          <w:noProof/>
          <w:lang w:val="sr-Cyrl-CS"/>
        </w:rPr>
        <w:t>чланицама</w:t>
      </w:r>
      <w:r w:rsidRPr="00F64439">
        <w:rPr>
          <w:rFonts w:ascii="Times New Roman" w:hAnsi="Times New Roman"/>
          <w:noProof/>
          <w:lang w:val="sr-Cyrl-CS"/>
        </w:rPr>
        <w:t xml:space="preserve">: </w:t>
      </w:r>
      <w:r>
        <w:rPr>
          <w:rFonts w:ascii="Times New Roman" w:hAnsi="Times New Roman"/>
          <w:noProof/>
          <w:lang w:val="sr-Cyrl-CS"/>
        </w:rPr>
        <w:t>Границе</w:t>
      </w:r>
      <w:r w:rsidRPr="00F64439">
        <w:rPr>
          <w:rFonts w:ascii="Times New Roman" w:hAnsi="Times New Roman"/>
          <w:noProof/>
          <w:lang w:val="sr-Cyrl-CS"/>
        </w:rPr>
        <w:t xml:space="preserve"> </w:t>
      </w:r>
      <w:r>
        <w:rPr>
          <w:rFonts w:ascii="Times New Roman" w:hAnsi="Times New Roman"/>
          <w:noProof/>
          <w:lang w:val="sr-Cyrl-CS"/>
        </w:rPr>
        <w:t>иновација</w:t>
      </w:r>
      <w:r w:rsidRPr="00F64439">
        <w:rPr>
          <w:rFonts w:ascii="Times New Roman" w:hAnsi="Times New Roman"/>
          <w:noProof/>
          <w:lang w:val="sr-Cyrl-CS"/>
        </w:rPr>
        <w:t>?, 2006</w:t>
      </w:r>
      <w:r>
        <w:rPr>
          <w:rFonts w:ascii="Times New Roman" w:hAnsi="Times New Roman"/>
          <w:noProof/>
          <w:lang w:val="sr-Cyrl-CS"/>
        </w:rPr>
        <w:t>.</w:t>
      </w:r>
    </w:p>
  </w:footnote>
  <w:footnote w:id="23">
    <w:p w:rsidR="00172313" w:rsidRPr="00F64439" w:rsidRDefault="00172313" w:rsidP="00A55776">
      <w:pPr>
        <w:spacing w:before="60" w:after="60"/>
        <w:rPr>
          <w:lang w:val="sr-Cyrl-CS"/>
        </w:rPr>
      </w:pPr>
      <w:r w:rsidRPr="00F64439">
        <w:rPr>
          <w:rStyle w:val="FootnoteReference"/>
          <w:noProof/>
          <w:sz w:val="20"/>
          <w:szCs w:val="20"/>
          <w:lang w:val="sr-Cyrl-CS"/>
        </w:rPr>
        <w:footnoteRef/>
      </w:r>
      <w:r w:rsidRPr="00F64439">
        <w:rPr>
          <w:noProof/>
          <w:sz w:val="20"/>
          <w:szCs w:val="20"/>
          <w:lang w:val="sr-Cyrl-CS"/>
        </w:rPr>
        <w:t xml:space="preserve"> </w:t>
      </w:r>
      <w:r>
        <w:rPr>
          <w:noProof/>
          <w:sz w:val="20"/>
          <w:szCs w:val="20"/>
          <w:lang w:val="sr-Cyrl-CS"/>
        </w:rPr>
        <w:t>Економски</w:t>
      </w:r>
      <w:r w:rsidRPr="00F64439">
        <w:rPr>
          <w:noProof/>
          <w:sz w:val="20"/>
          <w:szCs w:val="20"/>
          <w:lang w:val="sr-Cyrl-CS"/>
        </w:rPr>
        <w:t xml:space="preserve"> </w:t>
      </w:r>
      <w:r>
        <w:rPr>
          <w:noProof/>
          <w:sz w:val="20"/>
          <w:szCs w:val="20"/>
          <w:lang w:val="sr-Cyrl-CS"/>
        </w:rPr>
        <w:t>институт</w:t>
      </w:r>
      <w:r w:rsidRPr="00F64439">
        <w:rPr>
          <w:noProof/>
          <w:sz w:val="20"/>
          <w:szCs w:val="20"/>
          <w:lang w:val="sr-Cyrl-CS"/>
        </w:rPr>
        <w:t xml:space="preserve"> </w:t>
      </w:r>
      <w:r>
        <w:rPr>
          <w:noProof/>
          <w:sz w:val="20"/>
          <w:szCs w:val="20"/>
          <w:lang w:val="sr-Cyrl-CS"/>
        </w:rPr>
        <w:t>Холандије</w:t>
      </w:r>
      <w:r w:rsidRPr="00F64439">
        <w:rPr>
          <w:noProof/>
          <w:sz w:val="20"/>
          <w:szCs w:val="20"/>
          <w:lang w:val="sr-Cyrl-CS"/>
        </w:rPr>
        <w:t xml:space="preserve">, </w:t>
      </w:r>
      <w:r>
        <w:rPr>
          <w:noProof/>
          <w:sz w:val="20"/>
          <w:szCs w:val="20"/>
          <w:lang w:val="sr-Cyrl-CS"/>
        </w:rPr>
        <w:t>Капацитети</w:t>
      </w:r>
      <w:r w:rsidRPr="00F64439">
        <w:rPr>
          <w:noProof/>
          <w:sz w:val="20"/>
          <w:szCs w:val="20"/>
          <w:lang w:val="sr-Cyrl-CS"/>
        </w:rPr>
        <w:t xml:space="preserve"> </w:t>
      </w:r>
      <w:r>
        <w:rPr>
          <w:noProof/>
          <w:sz w:val="20"/>
          <w:szCs w:val="20"/>
          <w:lang w:val="sr-Cyrl-CS"/>
        </w:rPr>
        <w:t>за</w:t>
      </w:r>
      <w:r w:rsidRPr="00F64439">
        <w:rPr>
          <w:noProof/>
          <w:sz w:val="20"/>
          <w:szCs w:val="20"/>
          <w:lang w:val="sr-Cyrl-CS"/>
        </w:rPr>
        <w:t xml:space="preserve"> </w:t>
      </w:r>
      <w:r>
        <w:rPr>
          <w:noProof/>
          <w:sz w:val="20"/>
          <w:szCs w:val="20"/>
          <w:lang w:val="sr-Cyrl-CS"/>
        </w:rPr>
        <w:t>апсорпцију</w:t>
      </w:r>
      <w:r w:rsidRPr="00F64439">
        <w:rPr>
          <w:noProof/>
          <w:sz w:val="20"/>
          <w:szCs w:val="20"/>
          <w:lang w:val="sr-Cyrl-CS"/>
        </w:rPr>
        <w:t xml:space="preserve"> </w:t>
      </w:r>
      <w:r>
        <w:rPr>
          <w:noProof/>
          <w:sz w:val="20"/>
          <w:szCs w:val="20"/>
          <w:lang w:val="sr-Cyrl-CS"/>
        </w:rPr>
        <w:t>структурних</w:t>
      </w:r>
      <w:r w:rsidRPr="00F64439">
        <w:rPr>
          <w:noProof/>
          <w:sz w:val="20"/>
          <w:szCs w:val="20"/>
          <w:lang w:val="sr-Cyrl-CS"/>
        </w:rPr>
        <w:t xml:space="preserve"> </w:t>
      </w:r>
      <w:r>
        <w:rPr>
          <w:noProof/>
          <w:sz w:val="20"/>
          <w:szCs w:val="20"/>
          <w:lang w:val="sr-Cyrl-CS"/>
        </w:rPr>
        <w:t>фондова</w:t>
      </w:r>
      <w:r w:rsidRPr="00F64439">
        <w:rPr>
          <w:noProof/>
          <w:sz w:val="20"/>
          <w:szCs w:val="20"/>
          <w:lang w:val="sr-Cyrl-CS"/>
        </w:rPr>
        <w:t xml:space="preserve"> </w:t>
      </w:r>
      <w:r>
        <w:rPr>
          <w:noProof/>
          <w:sz w:val="20"/>
          <w:szCs w:val="20"/>
          <w:lang w:val="sr-Cyrl-CS"/>
        </w:rPr>
        <w:t>региона</w:t>
      </w:r>
      <w:r w:rsidRPr="00F64439">
        <w:rPr>
          <w:noProof/>
          <w:sz w:val="20"/>
          <w:szCs w:val="20"/>
          <w:lang w:val="sr-Cyrl-CS"/>
        </w:rPr>
        <w:t xml:space="preserve"> </w:t>
      </w:r>
      <w:r>
        <w:rPr>
          <w:noProof/>
          <w:sz w:val="20"/>
          <w:szCs w:val="20"/>
          <w:lang w:val="sr-Cyrl-CS"/>
        </w:rPr>
        <w:t>Словеније</w:t>
      </w:r>
      <w:r w:rsidRPr="00F64439">
        <w:rPr>
          <w:noProof/>
          <w:sz w:val="20"/>
          <w:szCs w:val="20"/>
          <w:lang w:val="sr-Cyrl-CS"/>
        </w:rPr>
        <w:t xml:space="preserve">, </w:t>
      </w:r>
      <w:r>
        <w:rPr>
          <w:noProof/>
          <w:sz w:val="20"/>
          <w:szCs w:val="20"/>
          <w:lang w:val="sr-Cyrl-CS"/>
        </w:rPr>
        <w:t>Љубљана</w:t>
      </w:r>
      <w:r w:rsidRPr="00F64439">
        <w:rPr>
          <w:noProof/>
          <w:sz w:val="20"/>
          <w:szCs w:val="20"/>
          <w:lang w:val="sr-Cyrl-CS"/>
        </w:rPr>
        <w:t>, 2002.</w:t>
      </w:r>
    </w:p>
  </w:footnote>
  <w:footnote w:id="24">
    <w:p w:rsidR="00172313" w:rsidRPr="007F27D0" w:rsidRDefault="00172313" w:rsidP="00A55776">
      <w:pPr>
        <w:pStyle w:val="FootnoteText"/>
        <w:spacing w:before="60" w:after="60"/>
        <w:rPr>
          <w:lang w:val="sr-Cyrl-CS"/>
        </w:rPr>
      </w:pPr>
      <w:r>
        <w:rPr>
          <w:rStyle w:val="FootnoteReference"/>
        </w:rPr>
        <w:footnoteRef/>
      </w:r>
      <w:r>
        <w:t xml:space="preserve"> </w:t>
      </w:r>
      <w:r>
        <w:rPr>
          <w:rFonts w:ascii="Times New Roman" w:hAnsi="Times New Roman"/>
          <w:noProof/>
          <w:lang w:val="sr-Cyrl-CS"/>
        </w:rPr>
        <w:t>Европска</w:t>
      </w:r>
      <w:r w:rsidRPr="007F27D0">
        <w:rPr>
          <w:rFonts w:ascii="Times New Roman" w:hAnsi="Times New Roman"/>
          <w:noProof/>
          <w:lang w:val="sr-Cyrl-CS"/>
        </w:rPr>
        <w:t xml:space="preserve"> </w:t>
      </w:r>
      <w:r>
        <w:rPr>
          <w:rFonts w:ascii="Times New Roman" w:hAnsi="Times New Roman"/>
          <w:noProof/>
          <w:lang w:val="sr-Cyrl-CS"/>
        </w:rPr>
        <w:t>комисија</w:t>
      </w:r>
      <w:r w:rsidRPr="007F27D0">
        <w:rPr>
          <w:rFonts w:ascii="Times New Roman" w:hAnsi="Times New Roman"/>
          <w:noProof/>
          <w:lang w:val="sr-Cyrl-CS"/>
        </w:rPr>
        <w:t xml:space="preserve">, </w:t>
      </w:r>
      <w:r>
        <w:rPr>
          <w:rFonts w:ascii="Times New Roman" w:hAnsi="Times New Roman"/>
          <w:szCs w:val="18"/>
          <w:lang w:val="sr-Cyrl-CS"/>
        </w:rPr>
        <w:t>„Мишљење Комисије о подношењу захтева Републике Србије за добијање чланства у Европској унији“</w:t>
      </w:r>
      <w:r w:rsidRPr="00C329B8">
        <w:rPr>
          <w:rFonts w:ascii="Times New Roman" w:hAnsi="Times New Roman"/>
          <w:szCs w:val="18"/>
          <w:lang w:val="sr-Cyrl-CS"/>
        </w:rPr>
        <w:t xml:space="preserve">, </w:t>
      </w:r>
      <w:r w:rsidRPr="00F67A9F">
        <w:rPr>
          <w:rFonts w:ascii="Times New Roman" w:hAnsi="Times New Roman"/>
          <w:szCs w:val="18"/>
          <w:lang w:val="en-GB"/>
        </w:rPr>
        <w:t>COM</w:t>
      </w:r>
      <w:r w:rsidRPr="00F67A9F">
        <w:rPr>
          <w:rFonts w:ascii="Times New Roman" w:hAnsi="Times New Roman"/>
          <w:szCs w:val="18"/>
          <w:lang w:val="sr-Cyrl-CS"/>
        </w:rPr>
        <w:t>(2011) 668</w:t>
      </w:r>
      <w:r w:rsidRPr="00F67A9F">
        <w:rPr>
          <w:rFonts w:ascii="Times New Roman" w:hAnsi="Times New Roman"/>
          <w:noProof/>
          <w:lang w:val="sr-Cyrl-CS"/>
        </w:rPr>
        <w:t>,</w:t>
      </w:r>
      <w:r w:rsidRPr="007F27D0">
        <w:rPr>
          <w:rFonts w:ascii="Times New Roman" w:hAnsi="Times New Roman"/>
          <w:noProof/>
          <w:lang w:val="sr-Cyrl-CS"/>
        </w:rPr>
        <w:t xml:space="preserve"> </w:t>
      </w:r>
      <w:r>
        <w:rPr>
          <w:rFonts w:ascii="Times New Roman" w:hAnsi="Times New Roman"/>
          <w:noProof/>
          <w:lang w:val="sr-Cyrl-CS"/>
        </w:rPr>
        <w:t>октобар</w:t>
      </w:r>
      <w:r w:rsidRPr="007F27D0">
        <w:rPr>
          <w:rFonts w:ascii="Times New Roman" w:hAnsi="Times New Roman"/>
          <w:noProof/>
          <w:lang w:val="sr-Cyrl-CS"/>
        </w:rPr>
        <w:t xml:space="preserve"> 2011. </w:t>
      </w:r>
      <w:r>
        <w:rPr>
          <w:rFonts w:ascii="Times New Roman" w:hAnsi="Times New Roman"/>
          <w:noProof/>
          <w:lang w:val="sr-Cyrl-CS"/>
        </w:rPr>
        <w:t>године.</w:t>
      </w:r>
    </w:p>
  </w:footnote>
  <w:footnote w:id="25">
    <w:p w:rsidR="00172313" w:rsidRPr="00F64439" w:rsidRDefault="00172313" w:rsidP="0046476F">
      <w:pPr>
        <w:pStyle w:val="FootnoteText"/>
        <w:spacing w:after="0" w:line="240" w:lineRule="auto"/>
        <w:rPr>
          <w:lang w:val="sr-Cyrl-CS"/>
        </w:rPr>
      </w:pPr>
      <w:r w:rsidRPr="00F64439">
        <w:rPr>
          <w:rStyle w:val="FootnoteReference"/>
          <w:noProof/>
          <w:lang w:val="sr-Cyrl-CS"/>
        </w:rPr>
        <w:footnoteRef/>
      </w:r>
      <w:r w:rsidRPr="00F64439">
        <w:rPr>
          <w:noProof/>
          <w:lang w:val="sr-Cyrl-CS"/>
        </w:rPr>
        <w:t xml:space="preserve"> </w:t>
      </w:r>
      <w:r>
        <w:rPr>
          <w:rFonts w:ascii="Times New Roman" w:hAnsi="Times New Roman"/>
          <w:noProof/>
          <w:lang w:val="sr-Cyrl-CS"/>
        </w:rPr>
        <w:t>И</w:t>
      </w:r>
      <w:r w:rsidRPr="00F64439">
        <w:rPr>
          <w:rFonts w:ascii="Times New Roman" w:hAnsi="Times New Roman"/>
          <w:noProof/>
          <w:lang w:val="sr-Cyrl-CS"/>
        </w:rPr>
        <w:t xml:space="preserve"> </w:t>
      </w:r>
      <w:r>
        <w:rPr>
          <w:rFonts w:ascii="Times New Roman" w:hAnsi="Times New Roman"/>
          <w:noProof/>
          <w:lang w:val="sr-Cyrl-CS"/>
        </w:rPr>
        <w:t>припадајући</w:t>
      </w:r>
      <w:r w:rsidRPr="00F64439">
        <w:rPr>
          <w:rFonts w:ascii="Times New Roman" w:hAnsi="Times New Roman"/>
          <w:noProof/>
          <w:lang w:val="sr-Cyrl-CS"/>
        </w:rPr>
        <w:t xml:space="preserve"> </w:t>
      </w:r>
      <w:r>
        <w:rPr>
          <w:rFonts w:ascii="Times New Roman" w:hAnsi="Times New Roman"/>
          <w:noProof/>
          <w:lang w:val="sr-Cyrl-CS"/>
        </w:rPr>
        <w:t>амандмани</w:t>
      </w:r>
      <w:r w:rsidRPr="00F64439">
        <w:rPr>
          <w:rFonts w:ascii="Times New Roman" w:hAnsi="Times New Roman"/>
          <w:noProof/>
          <w:lang w:val="sr-Cyrl-CS"/>
        </w:rPr>
        <w:t xml:space="preserve"> </w:t>
      </w:r>
      <w:r>
        <w:rPr>
          <w:rFonts w:ascii="Times New Roman" w:hAnsi="Times New Roman"/>
          <w:noProof/>
          <w:lang w:val="sr-Cyrl-CS"/>
        </w:rPr>
        <w:t>и</w:t>
      </w:r>
      <w:r w:rsidRPr="00F64439">
        <w:rPr>
          <w:rFonts w:ascii="Times New Roman" w:hAnsi="Times New Roman"/>
          <w:noProof/>
          <w:lang w:val="sr-Cyrl-CS"/>
        </w:rPr>
        <w:t xml:space="preserve"> </w:t>
      </w:r>
      <w:r>
        <w:rPr>
          <w:rFonts w:ascii="Times New Roman" w:hAnsi="Times New Roman"/>
          <w:noProof/>
          <w:lang w:val="sr-Cyrl-CS"/>
        </w:rPr>
        <w:t>корекције.</w:t>
      </w:r>
    </w:p>
  </w:footnote>
  <w:footnote w:id="26">
    <w:p w:rsidR="00172313" w:rsidRPr="00F64439" w:rsidRDefault="00172313" w:rsidP="0046476F">
      <w:pPr>
        <w:pStyle w:val="FootnoteText"/>
        <w:spacing w:after="0" w:line="240" w:lineRule="auto"/>
        <w:rPr>
          <w:noProof/>
          <w:lang w:val="sr-Cyrl-CS"/>
        </w:rPr>
      </w:pPr>
      <w:r w:rsidRPr="00F64439">
        <w:rPr>
          <w:rStyle w:val="FootnoteReference"/>
          <w:noProof/>
          <w:lang w:val="sr-Cyrl-CS"/>
        </w:rPr>
        <w:footnoteRef/>
      </w:r>
      <w:r w:rsidRPr="00F64439">
        <w:rPr>
          <w:noProof/>
          <w:lang w:val="sr-Cyrl-CS"/>
        </w:rPr>
        <w:t xml:space="preserve"> </w:t>
      </w:r>
      <w:r>
        <w:rPr>
          <w:rFonts w:ascii="Times New Roman" w:hAnsi="Times New Roman"/>
          <w:noProof/>
          <w:lang w:val="sr-Cyrl-CS"/>
        </w:rPr>
        <w:t>На</w:t>
      </w:r>
      <w:r w:rsidRPr="00F64439">
        <w:rPr>
          <w:rFonts w:ascii="Times New Roman" w:hAnsi="Times New Roman"/>
          <w:noProof/>
          <w:lang w:val="sr-Cyrl-CS"/>
        </w:rPr>
        <w:t xml:space="preserve"> </w:t>
      </w:r>
      <w:r>
        <w:rPr>
          <w:rFonts w:ascii="Times New Roman" w:hAnsi="Times New Roman"/>
          <w:noProof/>
          <w:lang w:val="sr-Cyrl-CS"/>
        </w:rPr>
        <w:t>основу</w:t>
      </w:r>
      <w:r w:rsidRPr="00F64439">
        <w:rPr>
          <w:rFonts w:ascii="Times New Roman" w:hAnsi="Times New Roman"/>
          <w:noProof/>
          <w:lang w:val="sr-Cyrl-CS"/>
        </w:rPr>
        <w:t xml:space="preserve"> </w:t>
      </w:r>
      <w:r>
        <w:rPr>
          <w:rFonts w:ascii="Times New Roman" w:hAnsi="Times New Roman"/>
          <w:noProof/>
          <w:lang w:val="sr-Cyrl-CS"/>
        </w:rPr>
        <w:t>корака</w:t>
      </w:r>
      <w:r w:rsidRPr="00F64439">
        <w:rPr>
          <w:rFonts w:ascii="Times New Roman" w:hAnsi="Times New Roman"/>
          <w:noProof/>
          <w:lang w:val="sr-Cyrl-CS"/>
        </w:rPr>
        <w:t xml:space="preserve"> </w:t>
      </w:r>
      <w:r>
        <w:rPr>
          <w:rFonts w:ascii="Times New Roman" w:hAnsi="Times New Roman"/>
          <w:noProof/>
          <w:lang w:val="sr-Cyrl-CS"/>
        </w:rPr>
        <w:t>предвиђених</w:t>
      </w:r>
      <w:r w:rsidRPr="00F64439">
        <w:rPr>
          <w:rFonts w:ascii="Times New Roman" w:hAnsi="Times New Roman"/>
          <w:noProof/>
          <w:lang w:val="sr-Cyrl-CS"/>
        </w:rPr>
        <w:t xml:space="preserve"> </w:t>
      </w:r>
      <w:r>
        <w:rPr>
          <w:rFonts w:ascii="Times New Roman" w:hAnsi="Times New Roman"/>
          <w:noProof/>
          <w:lang w:val="sr-Cyrl-CS"/>
        </w:rPr>
        <w:t>у</w:t>
      </w:r>
      <w:r w:rsidRPr="00F64439">
        <w:rPr>
          <w:rFonts w:ascii="Times New Roman" w:hAnsi="Times New Roman"/>
          <w:noProof/>
          <w:lang w:val="sr-Cyrl-CS"/>
        </w:rPr>
        <w:t xml:space="preserve"> </w:t>
      </w:r>
      <w:r>
        <w:rPr>
          <w:rFonts w:ascii="Times New Roman" w:hAnsi="Times New Roman"/>
          <w:noProof/>
          <w:lang w:val="sr-Cyrl-CS"/>
        </w:rPr>
        <w:t>ПРАГ</w:t>
      </w:r>
      <w:r w:rsidRPr="00F64439">
        <w:rPr>
          <w:rFonts w:ascii="Times New Roman" w:hAnsi="Times New Roman"/>
          <w:noProof/>
          <w:lang w:val="sr-Cyrl-CS"/>
        </w:rPr>
        <w:t xml:space="preserve"> </w:t>
      </w:r>
      <w:r>
        <w:rPr>
          <w:rFonts w:ascii="Times New Roman" w:hAnsi="Times New Roman"/>
          <w:noProof/>
          <w:lang w:val="sr-Cyrl-CS"/>
        </w:rPr>
        <w:t>и</w:t>
      </w:r>
      <w:r w:rsidRPr="00F64439">
        <w:rPr>
          <w:rFonts w:ascii="Times New Roman" w:hAnsi="Times New Roman"/>
          <w:noProof/>
          <w:lang w:val="sr-Cyrl-CS"/>
        </w:rPr>
        <w:t xml:space="preserve"> </w:t>
      </w:r>
      <w:r>
        <w:rPr>
          <w:rFonts w:ascii="Times New Roman" w:hAnsi="Times New Roman"/>
          <w:noProof/>
          <w:lang w:val="sr-Cyrl-CS"/>
        </w:rPr>
        <w:t>претпоставки</w:t>
      </w:r>
      <w:r w:rsidRPr="00F64439">
        <w:rPr>
          <w:rFonts w:ascii="Times New Roman" w:hAnsi="Times New Roman"/>
          <w:noProof/>
          <w:lang w:val="sr-Cyrl-CS"/>
        </w:rPr>
        <w:t xml:space="preserve"> </w:t>
      </w:r>
      <w:r>
        <w:rPr>
          <w:rFonts w:ascii="Times New Roman" w:hAnsi="Times New Roman"/>
          <w:noProof/>
          <w:lang w:val="sr-Cyrl-CS"/>
        </w:rPr>
        <w:t>о</w:t>
      </w:r>
      <w:r w:rsidRPr="00F64439">
        <w:rPr>
          <w:rFonts w:ascii="Times New Roman" w:hAnsi="Times New Roman"/>
          <w:noProof/>
          <w:lang w:val="sr-Cyrl-CS"/>
        </w:rPr>
        <w:t xml:space="preserve"> </w:t>
      </w:r>
      <w:r>
        <w:rPr>
          <w:rFonts w:ascii="Times New Roman" w:hAnsi="Times New Roman"/>
          <w:noProof/>
          <w:lang w:val="sr-Cyrl-CS"/>
        </w:rPr>
        <w:t>времену</w:t>
      </w:r>
      <w:r w:rsidRPr="00F64439">
        <w:rPr>
          <w:rFonts w:ascii="Times New Roman" w:hAnsi="Times New Roman"/>
          <w:noProof/>
          <w:lang w:val="sr-Cyrl-CS"/>
        </w:rPr>
        <w:t xml:space="preserve"> </w:t>
      </w:r>
      <w:r>
        <w:rPr>
          <w:rFonts w:ascii="Times New Roman" w:hAnsi="Times New Roman"/>
          <w:noProof/>
          <w:lang w:val="sr-Cyrl-CS"/>
        </w:rPr>
        <w:t>потребном</w:t>
      </w:r>
      <w:r w:rsidRPr="00F64439">
        <w:rPr>
          <w:rFonts w:ascii="Times New Roman" w:hAnsi="Times New Roman"/>
          <w:noProof/>
          <w:lang w:val="sr-Cyrl-CS"/>
        </w:rPr>
        <w:t xml:space="preserve"> </w:t>
      </w:r>
      <w:r>
        <w:rPr>
          <w:rFonts w:ascii="Times New Roman" w:hAnsi="Times New Roman"/>
          <w:noProof/>
          <w:lang w:val="sr-Cyrl-CS"/>
        </w:rPr>
        <w:t>различитим</w:t>
      </w:r>
      <w:r w:rsidRPr="00F64439">
        <w:rPr>
          <w:rFonts w:ascii="Times New Roman" w:hAnsi="Times New Roman"/>
          <w:noProof/>
          <w:lang w:val="sr-Cyrl-CS"/>
        </w:rPr>
        <w:t xml:space="preserve"> </w:t>
      </w:r>
      <w:r>
        <w:rPr>
          <w:rFonts w:ascii="Times New Roman" w:hAnsi="Times New Roman"/>
          <w:noProof/>
          <w:lang w:val="sr-Cyrl-CS"/>
        </w:rPr>
        <w:t>органима</w:t>
      </w:r>
      <w:r w:rsidRPr="00F64439">
        <w:rPr>
          <w:rFonts w:ascii="Times New Roman" w:hAnsi="Times New Roman"/>
          <w:noProof/>
          <w:lang w:val="sr-Cyrl-CS"/>
        </w:rPr>
        <w:t xml:space="preserve"> </w:t>
      </w:r>
      <w:r>
        <w:rPr>
          <w:rFonts w:ascii="Times New Roman" w:hAnsi="Times New Roman"/>
          <w:noProof/>
          <w:lang w:val="sr-Cyrl-CS"/>
        </w:rPr>
        <w:t>за</w:t>
      </w:r>
      <w:r w:rsidRPr="00F64439">
        <w:rPr>
          <w:rFonts w:ascii="Times New Roman" w:hAnsi="Times New Roman"/>
          <w:noProof/>
          <w:lang w:val="sr-Cyrl-CS"/>
        </w:rPr>
        <w:t xml:space="preserve"> </w:t>
      </w:r>
      <w:r>
        <w:rPr>
          <w:rFonts w:ascii="Times New Roman" w:hAnsi="Times New Roman"/>
          <w:noProof/>
          <w:lang w:val="sr-Cyrl-CS"/>
        </w:rPr>
        <w:t>уговарање</w:t>
      </w:r>
      <w:r w:rsidRPr="00F64439">
        <w:rPr>
          <w:rFonts w:ascii="Times New Roman" w:hAnsi="Times New Roman"/>
          <w:noProof/>
          <w:lang w:val="sr-Cyrl-CS"/>
        </w:rPr>
        <w:t xml:space="preserve"> </w:t>
      </w:r>
      <w:r>
        <w:rPr>
          <w:rFonts w:ascii="Times New Roman" w:hAnsi="Times New Roman"/>
          <w:noProof/>
          <w:lang w:val="sr-Cyrl-CS"/>
        </w:rPr>
        <w:t>и</w:t>
      </w:r>
      <w:r w:rsidRPr="00F64439">
        <w:rPr>
          <w:rFonts w:ascii="Times New Roman" w:hAnsi="Times New Roman"/>
          <w:noProof/>
          <w:lang w:val="sr-Cyrl-CS"/>
        </w:rPr>
        <w:t xml:space="preserve"> </w:t>
      </w:r>
      <w:r>
        <w:rPr>
          <w:rFonts w:ascii="Times New Roman" w:hAnsi="Times New Roman"/>
          <w:noProof/>
          <w:lang w:val="sr-Cyrl-CS"/>
        </w:rPr>
        <w:t>комисијама</w:t>
      </w:r>
      <w:r w:rsidRPr="00F64439">
        <w:rPr>
          <w:rFonts w:ascii="Times New Roman" w:hAnsi="Times New Roman"/>
          <w:noProof/>
          <w:lang w:val="sr-Cyrl-CS"/>
        </w:rPr>
        <w:t xml:space="preserve"> </w:t>
      </w:r>
      <w:r>
        <w:rPr>
          <w:rFonts w:ascii="Times New Roman" w:hAnsi="Times New Roman"/>
          <w:noProof/>
          <w:lang w:val="sr-Cyrl-CS"/>
        </w:rPr>
        <w:t>за</w:t>
      </w:r>
      <w:r w:rsidRPr="00F64439">
        <w:rPr>
          <w:rFonts w:ascii="Times New Roman" w:hAnsi="Times New Roman"/>
          <w:noProof/>
          <w:lang w:val="sr-Cyrl-CS"/>
        </w:rPr>
        <w:t xml:space="preserve"> </w:t>
      </w:r>
      <w:r>
        <w:rPr>
          <w:rFonts w:ascii="Times New Roman" w:hAnsi="Times New Roman"/>
          <w:noProof/>
          <w:lang w:val="sr-Cyrl-CS"/>
        </w:rPr>
        <w:t>евалуацију</w:t>
      </w:r>
      <w:r w:rsidRPr="00F64439">
        <w:rPr>
          <w:rFonts w:ascii="Times New Roman" w:hAnsi="Times New Roman"/>
          <w:noProof/>
          <w:lang w:val="sr-Cyrl-CS"/>
        </w:rPr>
        <w:t xml:space="preserve">, </w:t>
      </w:r>
      <w:r>
        <w:rPr>
          <w:rFonts w:ascii="Times New Roman" w:hAnsi="Times New Roman"/>
          <w:noProof/>
          <w:lang w:val="sr-Cyrl-CS"/>
        </w:rPr>
        <w:t>потребно</w:t>
      </w:r>
      <w:r w:rsidRPr="00F64439">
        <w:rPr>
          <w:rFonts w:ascii="Times New Roman" w:hAnsi="Times New Roman"/>
          <w:noProof/>
          <w:lang w:val="sr-Cyrl-CS"/>
        </w:rPr>
        <w:t xml:space="preserve"> </w:t>
      </w:r>
      <w:r>
        <w:rPr>
          <w:rFonts w:ascii="Times New Roman" w:hAnsi="Times New Roman"/>
          <w:noProof/>
          <w:lang w:val="sr-Cyrl-CS"/>
        </w:rPr>
        <w:t>је</w:t>
      </w:r>
      <w:r w:rsidRPr="00F64439">
        <w:rPr>
          <w:rFonts w:ascii="Times New Roman" w:hAnsi="Times New Roman"/>
          <w:noProof/>
          <w:lang w:val="sr-Cyrl-CS"/>
        </w:rPr>
        <w:t xml:space="preserve"> </w:t>
      </w:r>
      <w:r>
        <w:rPr>
          <w:rFonts w:ascii="Times New Roman" w:hAnsi="Times New Roman"/>
          <w:noProof/>
          <w:lang w:val="sr-Cyrl-CS"/>
        </w:rPr>
        <w:t>око</w:t>
      </w:r>
      <w:r w:rsidRPr="00F64439">
        <w:rPr>
          <w:rFonts w:ascii="Times New Roman" w:hAnsi="Times New Roman"/>
          <w:noProof/>
          <w:lang w:val="sr-Cyrl-CS"/>
        </w:rPr>
        <w:t xml:space="preserve"> 10 </w:t>
      </w:r>
      <w:r>
        <w:rPr>
          <w:rFonts w:ascii="Times New Roman" w:hAnsi="Times New Roman"/>
          <w:noProof/>
          <w:lang w:val="sr-Cyrl-CS"/>
        </w:rPr>
        <w:t>месеци</w:t>
      </w:r>
      <w:r w:rsidRPr="00F64439">
        <w:rPr>
          <w:rFonts w:ascii="Times New Roman" w:hAnsi="Times New Roman"/>
          <w:noProof/>
          <w:lang w:val="sr-Cyrl-CS"/>
        </w:rPr>
        <w:t xml:space="preserve"> </w:t>
      </w:r>
      <w:r>
        <w:rPr>
          <w:rFonts w:ascii="Times New Roman" w:hAnsi="Times New Roman"/>
          <w:noProof/>
          <w:lang w:val="sr-Cyrl-CS"/>
        </w:rPr>
        <w:t>за</w:t>
      </w:r>
      <w:r w:rsidRPr="00F64439">
        <w:rPr>
          <w:rFonts w:ascii="Times New Roman" w:hAnsi="Times New Roman"/>
          <w:noProof/>
          <w:lang w:val="sr-Cyrl-CS"/>
        </w:rPr>
        <w:t xml:space="preserve"> </w:t>
      </w:r>
      <w:r>
        <w:rPr>
          <w:rFonts w:ascii="Times New Roman" w:hAnsi="Times New Roman"/>
          <w:noProof/>
          <w:lang w:val="sr-Cyrl-CS"/>
        </w:rPr>
        <w:t>потписивање</w:t>
      </w:r>
      <w:r w:rsidRPr="00F64439">
        <w:rPr>
          <w:rFonts w:ascii="Times New Roman" w:hAnsi="Times New Roman"/>
          <w:noProof/>
          <w:lang w:val="sr-Cyrl-CS"/>
        </w:rPr>
        <w:t xml:space="preserve"> </w:t>
      </w:r>
      <w:r>
        <w:rPr>
          <w:rFonts w:ascii="Times New Roman" w:hAnsi="Times New Roman"/>
          <w:noProof/>
          <w:lang w:val="sr-Cyrl-CS"/>
        </w:rPr>
        <w:t>уговора</w:t>
      </w:r>
      <w:r w:rsidRPr="00F64439">
        <w:rPr>
          <w:rFonts w:ascii="Times New Roman" w:hAnsi="Times New Roman"/>
          <w:noProof/>
          <w:lang w:val="sr-Cyrl-CS"/>
        </w:rPr>
        <w:t xml:space="preserve"> </w:t>
      </w:r>
      <w:r>
        <w:rPr>
          <w:rFonts w:ascii="Times New Roman" w:hAnsi="Times New Roman"/>
          <w:noProof/>
          <w:lang w:val="sr-Cyrl-CS"/>
        </w:rPr>
        <w:t>о</w:t>
      </w:r>
      <w:r w:rsidRPr="00F64439">
        <w:rPr>
          <w:rFonts w:ascii="Times New Roman" w:hAnsi="Times New Roman"/>
          <w:noProof/>
          <w:lang w:val="sr-Cyrl-CS"/>
        </w:rPr>
        <w:t xml:space="preserve"> </w:t>
      </w:r>
      <w:r>
        <w:rPr>
          <w:rFonts w:ascii="Times New Roman" w:hAnsi="Times New Roman"/>
          <w:noProof/>
          <w:lang w:val="sr-Cyrl-CS"/>
        </w:rPr>
        <w:t>услугама</w:t>
      </w:r>
      <w:r w:rsidRPr="00F64439">
        <w:rPr>
          <w:rFonts w:ascii="Times New Roman" w:hAnsi="Times New Roman"/>
          <w:noProof/>
          <w:lang w:val="sr-Cyrl-CS"/>
        </w:rPr>
        <w:t xml:space="preserve">, 8 </w:t>
      </w:r>
      <w:r>
        <w:rPr>
          <w:rFonts w:ascii="Times New Roman" w:hAnsi="Times New Roman"/>
          <w:noProof/>
          <w:lang w:val="sr-Cyrl-CS"/>
        </w:rPr>
        <w:t>месеци</w:t>
      </w:r>
      <w:r w:rsidRPr="00F64439">
        <w:rPr>
          <w:rFonts w:ascii="Times New Roman" w:hAnsi="Times New Roman"/>
          <w:noProof/>
          <w:lang w:val="sr-Cyrl-CS"/>
        </w:rPr>
        <w:t xml:space="preserve"> </w:t>
      </w:r>
      <w:r>
        <w:rPr>
          <w:rFonts w:ascii="Times New Roman" w:hAnsi="Times New Roman"/>
          <w:noProof/>
          <w:lang w:val="sr-Cyrl-CS"/>
        </w:rPr>
        <w:t>за</w:t>
      </w:r>
      <w:r w:rsidRPr="00F64439">
        <w:rPr>
          <w:rFonts w:ascii="Times New Roman" w:hAnsi="Times New Roman"/>
          <w:noProof/>
          <w:lang w:val="sr-Cyrl-CS"/>
        </w:rPr>
        <w:t xml:space="preserve"> </w:t>
      </w:r>
      <w:r>
        <w:rPr>
          <w:rFonts w:ascii="Times New Roman" w:hAnsi="Times New Roman"/>
          <w:noProof/>
          <w:lang w:val="sr-Cyrl-CS"/>
        </w:rPr>
        <w:t>уговоре о роби</w:t>
      </w:r>
      <w:r w:rsidRPr="00F64439">
        <w:rPr>
          <w:rFonts w:ascii="Times New Roman" w:hAnsi="Times New Roman"/>
          <w:noProof/>
          <w:lang w:val="sr-Cyrl-CS"/>
        </w:rPr>
        <w:t xml:space="preserve"> </w:t>
      </w:r>
      <w:r>
        <w:rPr>
          <w:rFonts w:ascii="Times New Roman" w:hAnsi="Times New Roman"/>
          <w:noProof/>
          <w:lang w:val="sr-Cyrl-CS"/>
        </w:rPr>
        <w:t>и</w:t>
      </w:r>
      <w:r w:rsidRPr="00F64439">
        <w:rPr>
          <w:rFonts w:ascii="Times New Roman" w:hAnsi="Times New Roman"/>
          <w:noProof/>
          <w:lang w:val="sr-Cyrl-CS"/>
        </w:rPr>
        <w:t xml:space="preserve"> 10 </w:t>
      </w:r>
      <w:r>
        <w:rPr>
          <w:rFonts w:ascii="Times New Roman" w:hAnsi="Times New Roman"/>
          <w:noProof/>
          <w:lang w:val="sr-Cyrl-CS"/>
        </w:rPr>
        <w:t>за</w:t>
      </w:r>
      <w:r w:rsidRPr="00F64439">
        <w:rPr>
          <w:rFonts w:ascii="Times New Roman" w:hAnsi="Times New Roman"/>
          <w:noProof/>
          <w:lang w:val="sr-Cyrl-CS"/>
        </w:rPr>
        <w:t xml:space="preserve"> </w:t>
      </w:r>
      <w:r>
        <w:rPr>
          <w:rFonts w:ascii="Times New Roman" w:hAnsi="Times New Roman"/>
          <w:noProof/>
          <w:lang w:val="sr-Cyrl-CS"/>
        </w:rPr>
        <w:t>уговоре о радовима</w:t>
      </w:r>
      <w:r w:rsidRPr="00F64439">
        <w:rPr>
          <w:rFonts w:ascii="Times New Roman" w:hAnsi="Times New Roman"/>
          <w:noProof/>
          <w:lang w:val="sr-Cyrl-CS"/>
        </w:rPr>
        <w:t>.</w:t>
      </w:r>
    </w:p>
  </w:footnote>
  <w:footnote w:id="27">
    <w:p w:rsidR="00172313" w:rsidRPr="00F64439" w:rsidRDefault="00172313" w:rsidP="0046476F">
      <w:pPr>
        <w:pStyle w:val="FootnoteText"/>
        <w:spacing w:after="0"/>
        <w:rPr>
          <w:lang w:val="sr-Cyrl-CS"/>
        </w:rPr>
      </w:pPr>
      <w:r w:rsidRPr="00F64439">
        <w:rPr>
          <w:rStyle w:val="FootnoteReference"/>
          <w:noProof/>
          <w:lang w:val="sr-Cyrl-CS"/>
        </w:rPr>
        <w:footnoteRef/>
      </w:r>
      <w:r w:rsidRPr="00F64439">
        <w:rPr>
          <w:noProof/>
          <w:lang w:val="sr-Cyrl-CS"/>
        </w:rPr>
        <w:t xml:space="preserve"> </w:t>
      </w:r>
      <w:r>
        <w:rPr>
          <w:rFonts w:ascii="Times New Roman" w:hAnsi="Times New Roman"/>
          <w:noProof/>
          <w:lang w:val="sr-Cyrl-CS"/>
        </w:rPr>
        <w:t>ИПА речник појмова,</w:t>
      </w:r>
      <w:r w:rsidRPr="00F64439">
        <w:rPr>
          <w:rFonts w:ascii="Times New Roman" w:hAnsi="Times New Roman"/>
          <w:noProof/>
          <w:lang w:val="sr-Cyrl-CS"/>
        </w:rPr>
        <w:t xml:space="preserve"> </w:t>
      </w:r>
      <w:r>
        <w:rPr>
          <w:rFonts w:ascii="Times New Roman" w:hAnsi="Times New Roman"/>
          <w:noProof/>
          <w:lang w:val="sr-Cyrl-CS"/>
        </w:rPr>
        <w:t>децембар</w:t>
      </w:r>
      <w:r w:rsidRPr="00F64439">
        <w:rPr>
          <w:rFonts w:ascii="Times New Roman" w:hAnsi="Times New Roman"/>
          <w:noProof/>
          <w:lang w:val="sr-Cyrl-CS"/>
        </w:rPr>
        <w:t xml:space="preserve"> 2010. </w:t>
      </w:r>
      <w:r>
        <w:rPr>
          <w:rFonts w:ascii="Times New Roman" w:hAnsi="Times New Roman"/>
          <w:noProof/>
          <w:lang w:val="sr-Cyrl-CS"/>
        </w:rPr>
        <w:t>године.</w:t>
      </w:r>
    </w:p>
  </w:footnote>
  <w:footnote w:id="28">
    <w:p w:rsidR="00172313" w:rsidRPr="00E0770C" w:rsidRDefault="00172313" w:rsidP="0046476F">
      <w:pPr>
        <w:pStyle w:val="FootnoteText"/>
        <w:spacing w:after="0"/>
        <w:rPr>
          <w:lang w:val="sr-Cyrl-CS"/>
        </w:rPr>
      </w:pPr>
      <w:r w:rsidRPr="00F64439">
        <w:rPr>
          <w:rStyle w:val="FootnoteReference"/>
          <w:rFonts w:ascii="Times New Roman" w:hAnsi="Times New Roman"/>
          <w:noProof/>
          <w:lang w:val="sr-Cyrl-CS"/>
        </w:rPr>
        <w:footnoteRef/>
      </w:r>
      <w:r w:rsidRPr="00F64439">
        <w:rPr>
          <w:rFonts w:ascii="Times New Roman" w:hAnsi="Times New Roman"/>
          <w:noProof/>
          <w:lang w:val="sr-Cyrl-CS"/>
        </w:rPr>
        <w:t xml:space="preserve"> </w:t>
      </w:r>
      <w:r>
        <w:rPr>
          <w:rFonts w:ascii="Times New Roman" w:hAnsi="Times New Roman"/>
          <w:noProof/>
          <w:lang w:val="sr-Cyrl-CS"/>
        </w:rPr>
        <w:t>Европска комисија, Генерални</w:t>
      </w:r>
      <w:r w:rsidRPr="00F64439">
        <w:rPr>
          <w:rFonts w:ascii="Times New Roman" w:hAnsi="Times New Roman"/>
          <w:noProof/>
          <w:lang w:val="sr-Cyrl-CS"/>
        </w:rPr>
        <w:t xml:space="preserve"> </w:t>
      </w:r>
      <w:r>
        <w:rPr>
          <w:rFonts w:ascii="Times New Roman" w:hAnsi="Times New Roman"/>
          <w:noProof/>
          <w:lang w:val="sr-Cyrl-CS"/>
        </w:rPr>
        <w:t>директорат</w:t>
      </w:r>
      <w:r w:rsidRPr="00F64439">
        <w:rPr>
          <w:rFonts w:ascii="Times New Roman" w:hAnsi="Times New Roman"/>
          <w:noProof/>
          <w:lang w:val="sr-Cyrl-CS"/>
        </w:rPr>
        <w:t xml:space="preserve"> </w:t>
      </w:r>
      <w:r>
        <w:rPr>
          <w:rFonts w:ascii="Times New Roman" w:hAnsi="Times New Roman"/>
          <w:noProof/>
          <w:lang w:val="sr-Cyrl-CS"/>
        </w:rPr>
        <w:t>за</w:t>
      </w:r>
      <w:r w:rsidRPr="00F64439">
        <w:rPr>
          <w:rFonts w:ascii="Times New Roman" w:hAnsi="Times New Roman"/>
          <w:noProof/>
          <w:lang w:val="sr-Cyrl-CS"/>
        </w:rPr>
        <w:t xml:space="preserve"> </w:t>
      </w:r>
      <w:r>
        <w:rPr>
          <w:rFonts w:ascii="Times New Roman" w:hAnsi="Times New Roman"/>
          <w:noProof/>
          <w:lang w:val="sr-Cyrl-CS"/>
        </w:rPr>
        <w:t>запошљавање</w:t>
      </w:r>
      <w:r w:rsidRPr="00F64439">
        <w:rPr>
          <w:rFonts w:ascii="Times New Roman" w:hAnsi="Times New Roman"/>
          <w:noProof/>
          <w:lang w:val="sr-Cyrl-CS"/>
        </w:rPr>
        <w:t xml:space="preserve">, </w:t>
      </w:r>
      <w:r>
        <w:rPr>
          <w:rFonts w:ascii="Times New Roman" w:hAnsi="Times New Roman"/>
          <w:noProof/>
          <w:lang w:val="sr-Cyrl-CS"/>
        </w:rPr>
        <w:t>социјална</w:t>
      </w:r>
      <w:r w:rsidRPr="00F64439">
        <w:rPr>
          <w:rFonts w:ascii="Times New Roman" w:hAnsi="Times New Roman"/>
          <w:noProof/>
          <w:lang w:val="sr-Cyrl-CS"/>
        </w:rPr>
        <w:t xml:space="preserve"> </w:t>
      </w:r>
      <w:r>
        <w:rPr>
          <w:rFonts w:ascii="Times New Roman" w:hAnsi="Times New Roman"/>
          <w:noProof/>
          <w:lang w:val="sr-Cyrl-CS"/>
        </w:rPr>
        <w:t>питања</w:t>
      </w:r>
      <w:r w:rsidRPr="00F64439">
        <w:rPr>
          <w:rFonts w:ascii="Times New Roman" w:hAnsi="Times New Roman"/>
          <w:noProof/>
          <w:lang w:val="sr-Cyrl-CS"/>
        </w:rPr>
        <w:t xml:space="preserve"> </w:t>
      </w:r>
      <w:r>
        <w:rPr>
          <w:rFonts w:ascii="Times New Roman" w:hAnsi="Times New Roman"/>
          <w:noProof/>
          <w:lang w:val="sr-Cyrl-CS"/>
        </w:rPr>
        <w:t>и</w:t>
      </w:r>
      <w:r w:rsidRPr="00F64439">
        <w:rPr>
          <w:rFonts w:ascii="Times New Roman" w:hAnsi="Times New Roman"/>
          <w:noProof/>
          <w:lang w:val="sr-Cyrl-CS"/>
        </w:rPr>
        <w:t xml:space="preserve"> </w:t>
      </w:r>
      <w:r>
        <w:rPr>
          <w:rFonts w:ascii="Times New Roman" w:hAnsi="Times New Roman"/>
          <w:noProof/>
          <w:lang w:val="sr-Cyrl-CS"/>
        </w:rPr>
        <w:t>укључивање</w:t>
      </w:r>
      <w:r w:rsidRPr="00F64439">
        <w:rPr>
          <w:rFonts w:ascii="Times New Roman" w:hAnsi="Times New Roman"/>
          <w:noProof/>
          <w:lang w:val="sr-Cyrl-CS"/>
        </w:rPr>
        <w:t xml:space="preserve">, </w:t>
      </w:r>
      <w:r w:rsidRPr="00C277DA">
        <w:rPr>
          <w:szCs w:val="24"/>
          <w:lang w:val="sr-Cyrl-CS"/>
        </w:rPr>
        <w:t>„</w:t>
      </w:r>
      <w:r>
        <w:rPr>
          <w:rFonts w:ascii="Times New Roman" w:hAnsi="Times New Roman"/>
          <w:noProof/>
          <w:lang w:val="sr-Cyrl-CS"/>
        </w:rPr>
        <w:t>Европски</w:t>
      </w:r>
      <w:r w:rsidRPr="00F64439">
        <w:rPr>
          <w:rFonts w:ascii="Times New Roman" w:hAnsi="Times New Roman"/>
          <w:noProof/>
          <w:lang w:val="sr-Cyrl-CS"/>
        </w:rPr>
        <w:t xml:space="preserve"> </w:t>
      </w:r>
      <w:r>
        <w:rPr>
          <w:rFonts w:ascii="Times New Roman" w:hAnsi="Times New Roman"/>
          <w:noProof/>
          <w:lang w:val="sr-Cyrl-CS"/>
        </w:rPr>
        <w:t>социјални</w:t>
      </w:r>
      <w:r w:rsidRPr="00F64439">
        <w:rPr>
          <w:rFonts w:ascii="Times New Roman" w:hAnsi="Times New Roman"/>
          <w:noProof/>
          <w:lang w:val="sr-Cyrl-CS"/>
        </w:rPr>
        <w:t xml:space="preserve"> </w:t>
      </w:r>
      <w:r>
        <w:rPr>
          <w:rFonts w:ascii="Times New Roman" w:hAnsi="Times New Roman"/>
          <w:noProof/>
          <w:lang w:val="sr-Cyrl-CS"/>
        </w:rPr>
        <w:t>фонд</w:t>
      </w:r>
      <w:r w:rsidRPr="00F64439">
        <w:rPr>
          <w:rFonts w:ascii="Times New Roman" w:hAnsi="Times New Roman"/>
          <w:lang w:val="sr-Cyrl-CS"/>
        </w:rPr>
        <w:t xml:space="preserve"> </w:t>
      </w:r>
      <w:r w:rsidRPr="00995E81">
        <w:rPr>
          <w:rFonts w:ascii="Times New Roman" w:hAnsi="Times New Roman"/>
        </w:rPr>
        <w:t xml:space="preserve">”. </w:t>
      </w:r>
      <w:hyperlink r:id="rId5" w:history="1">
        <w:r w:rsidRPr="00210D00">
          <w:rPr>
            <w:rStyle w:val="Hyperlink"/>
            <w:rFonts w:ascii="Times New Roman" w:hAnsi="Times New Roman"/>
          </w:rPr>
          <w:t>http://ec.europa.eu/esf/main.jsp?catId=32&amp;langId=en</w:t>
        </w:r>
      </w:hyperlink>
      <w:r>
        <w:rPr>
          <w:rFonts w:ascii="Times New Roman" w:hAnsi="Times New Roman"/>
          <w:lang w:val="sr-Cyrl-CS"/>
        </w:rPr>
        <w:t xml:space="preserve">. </w:t>
      </w:r>
    </w:p>
  </w:footnote>
  <w:footnote w:id="29">
    <w:p w:rsidR="00172313" w:rsidRPr="008D62BD" w:rsidRDefault="00172313" w:rsidP="00124CA4">
      <w:pPr>
        <w:pStyle w:val="FootnoteText"/>
        <w:spacing w:after="0" w:line="240" w:lineRule="auto"/>
        <w:rPr>
          <w:rFonts w:ascii="Times New Roman" w:hAnsi="Times New Roman"/>
          <w:lang w:val="sr-Cyrl-CS"/>
        </w:rPr>
      </w:pPr>
      <w:r w:rsidRPr="00C27283">
        <w:rPr>
          <w:rStyle w:val="FootnoteReference"/>
          <w:lang w:val="en-GB"/>
        </w:rPr>
        <w:footnoteRef/>
      </w:r>
      <w:r w:rsidRPr="008D62BD">
        <w:rPr>
          <w:lang w:val="sr-Cyrl-CS"/>
        </w:rPr>
        <w:t xml:space="preserve"> </w:t>
      </w:r>
      <w:r>
        <w:rPr>
          <w:rFonts w:ascii="Times New Roman" w:hAnsi="Times New Roman"/>
        </w:rPr>
        <w:t>Влада Републике Србије, Први национални извештај о социјалном укључивању и смањењу сиромаштва у Републици Србији, Београд, 2011.</w:t>
      </w:r>
    </w:p>
  </w:footnote>
  <w:footnote w:id="30">
    <w:p w:rsidR="00172313" w:rsidRPr="00597853" w:rsidRDefault="00172313" w:rsidP="00741707">
      <w:pPr>
        <w:pStyle w:val="BodyText"/>
        <w:spacing w:after="0" w:line="100" w:lineRule="atLeast"/>
        <w:rPr>
          <w:rFonts w:eastAsia="Courier" w:cs="Times New Roman"/>
          <w:sz w:val="20"/>
          <w:szCs w:val="20"/>
          <w:lang w:val="en-GB"/>
        </w:rPr>
      </w:pPr>
      <w:r w:rsidRPr="00C27283">
        <w:rPr>
          <w:rStyle w:val="FootnoteReference"/>
          <w:sz w:val="20"/>
          <w:szCs w:val="20"/>
          <w:lang w:val="en-GB"/>
        </w:rPr>
        <w:footnoteRef/>
      </w:r>
      <w:r w:rsidRPr="00741707">
        <w:rPr>
          <w:sz w:val="20"/>
          <w:szCs w:val="20"/>
          <w:lang w:val="sr-Cyrl-CS"/>
        </w:rPr>
        <w:t xml:space="preserve"> </w:t>
      </w:r>
      <w:r>
        <w:rPr>
          <w:rFonts w:cs="Times New Roman"/>
          <w:sz w:val="20"/>
          <w:szCs w:val="20"/>
          <w:lang w:val="sr-Cyrl-CS"/>
        </w:rPr>
        <w:t xml:space="preserve">Ово је био уобичајен модел у оквиру којег је Светска банка финансирала и руководила </w:t>
      </w:r>
      <w:r w:rsidRPr="00E82CB3">
        <w:rPr>
          <w:rFonts w:cs="Times New Roman"/>
          <w:sz w:val="20"/>
          <w:szCs w:val="20"/>
          <w:lang w:val="sr-Cyrl-CS"/>
        </w:rPr>
        <w:t>фондовима за социјалн</w:t>
      </w:r>
      <w:r w:rsidRPr="00E82CB3">
        <w:rPr>
          <w:rFonts w:cs="Times New Roman"/>
          <w:sz w:val="20"/>
          <w:szCs w:val="20"/>
          <w:lang w:val="sr-Latn-CS"/>
        </w:rPr>
        <w:t>a</w:t>
      </w:r>
      <w:r w:rsidRPr="00E82CB3">
        <w:rPr>
          <w:rFonts w:cs="Times New Roman"/>
          <w:sz w:val="20"/>
          <w:szCs w:val="20"/>
          <w:lang w:val="sr-Cyrl-CS"/>
        </w:rPr>
        <w:t xml:space="preserve"> улагања.</w:t>
      </w:r>
      <w:r w:rsidRPr="00741707">
        <w:rPr>
          <w:rFonts w:cs="Times New Roman"/>
          <w:sz w:val="20"/>
          <w:szCs w:val="20"/>
          <w:lang w:val="sr-Cyrl-CS"/>
        </w:rPr>
        <w:t xml:space="preserve"> </w:t>
      </w:r>
      <w:r>
        <w:rPr>
          <w:rFonts w:cs="Times New Roman"/>
          <w:sz w:val="20"/>
          <w:szCs w:val="20"/>
          <w:lang w:val="sr-Cyrl-CS"/>
        </w:rPr>
        <w:t>Упоредити</w:t>
      </w:r>
      <w:r w:rsidRPr="00597853">
        <w:rPr>
          <w:rFonts w:cs="Times New Roman"/>
          <w:sz w:val="20"/>
          <w:szCs w:val="20"/>
          <w:lang w:val="en-GB"/>
        </w:rPr>
        <w:t xml:space="preserve">: </w:t>
      </w:r>
      <w:r w:rsidRPr="00597853">
        <w:rPr>
          <w:rFonts w:eastAsia="Courier" w:cs="Times New Roman"/>
          <w:sz w:val="20"/>
          <w:szCs w:val="20"/>
          <w:lang w:val="en-GB"/>
        </w:rPr>
        <w:t xml:space="preserve">de Silva, Samantha and June-wei Sum (2008), </w:t>
      </w:r>
      <w:r w:rsidRPr="00597853">
        <w:rPr>
          <w:rFonts w:eastAsia="Courier" w:cs="Times New Roman"/>
          <w:i/>
          <w:iCs/>
          <w:sz w:val="20"/>
          <w:szCs w:val="20"/>
          <w:lang w:val="en-GB"/>
        </w:rPr>
        <w:t>Social Funds as an Instrument of Social Protection: An Analysis of Lending Trends</w:t>
      </w:r>
      <w:r w:rsidRPr="00597853">
        <w:rPr>
          <w:rFonts w:eastAsia="Courier" w:cs="Times New Roman"/>
          <w:sz w:val="20"/>
          <w:szCs w:val="20"/>
          <w:lang w:val="en-GB"/>
        </w:rPr>
        <w:t>, Wash</w:t>
      </w:r>
      <w:r>
        <w:rPr>
          <w:rFonts w:eastAsia="Courier" w:cs="Times New Roman"/>
          <w:sz w:val="20"/>
          <w:szCs w:val="20"/>
        </w:rPr>
        <w:t>i</w:t>
      </w:r>
      <w:r w:rsidRPr="00597853">
        <w:rPr>
          <w:rFonts w:eastAsia="Courier" w:cs="Times New Roman"/>
          <w:sz w:val="20"/>
          <w:szCs w:val="20"/>
          <w:lang w:val="en-GB"/>
        </w:rPr>
        <w:t xml:space="preserve">ngton D.C.: The World Bank; Tendler, Judith with Rodrigo Serrano (1999), </w:t>
      </w:r>
      <w:r w:rsidRPr="00597853">
        <w:rPr>
          <w:rFonts w:eastAsia="Courier" w:cs="Times New Roman"/>
          <w:i/>
          <w:iCs/>
          <w:sz w:val="20"/>
          <w:szCs w:val="20"/>
          <w:lang w:val="en-GB"/>
        </w:rPr>
        <w:t>The Rise of Social Funds: What Are They A Model Of?</w:t>
      </w:r>
      <w:r w:rsidRPr="00597853">
        <w:rPr>
          <w:rFonts w:eastAsia="Courier" w:cs="Times New Roman"/>
          <w:sz w:val="20"/>
          <w:szCs w:val="20"/>
          <w:lang w:val="en-GB"/>
        </w:rPr>
        <w:t xml:space="preserve">, New York: MIT and UNDP ; Tendler, Judith (2000), “Why are Social Funds so Popular?”, in Simon J. Evenett, Weiping Wu and Shahid Yusuf (eds), Local Dynamics in an Era of Globalization: 21st Century Catalysts for Development, Washington: World Bank/Oxford University Press; WB (2002), </w:t>
      </w:r>
      <w:r w:rsidRPr="00597853">
        <w:rPr>
          <w:rFonts w:eastAsia="Courier" w:cs="Times New Roman"/>
          <w:i/>
          <w:iCs/>
          <w:sz w:val="20"/>
          <w:szCs w:val="20"/>
          <w:lang w:val="en-GB"/>
        </w:rPr>
        <w:t xml:space="preserve">Social Funds – Assessing Effectiveness, </w:t>
      </w:r>
      <w:r w:rsidRPr="00597853">
        <w:rPr>
          <w:rFonts w:eastAsia="Courier" w:cs="Times New Roman"/>
          <w:sz w:val="20"/>
          <w:szCs w:val="20"/>
          <w:lang w:val="en-GB"/>
        </w:rPr>
        <w:t xml:space="preserve">Washington, D.C.: The World Bank; </w:t>
      </w:r>
      <w:r w:rsidRPr="00597853">
        <w:rPr>
          <w:rFonts w:cs="Times New Roman"/>
          <w:sz w:val="20"/>
          <w:szCs w:val="20"/>
          <w:lang w:val="en-GB"/>
        </w:rPr>
        <w:t>Govaertes, Piet (1998), Employme</w:t>
      </w:r>
      <w:r w:rsidR="005D41D9">
        <w:rPr>
          <w:rFonts w:cs="Times New Roman"/>
          <w:sz w:val="20"/>
          <w:szCs w:val="20"/>
          <w:lang w:val="en-GB"/>
        </w:rPr>
        <w:t>n</w:t>
      </w:r>
      <w:r w:rsidRPr="00597853">
        <w:rPr>
          <w:rFonts w:cs="Times New Roman"/>
          <w:sz w:val="20"/>
          <w:szCs w:val="20"/>
          <w:lang w:val="en-GB"/>
        </w:rPr>
        <w:t>t and Social Investment Funds in Central and Eastern Europe and CIS, Geneve: ILO</w:t>
      </w:r>
      <w:r w:rsidR="005D41D9">
        <w:rPr>
          <w:rFonts w:cs="Times New Roman"/>
          <w:sz w:val="20"/>
          <w:szCs w:val="20"/>
          <w:lang w:val="en-GB"/>
        </w:rPr>
        <w:t>.</w:t>
      </w:r>
    </w:p>
  </w:footnote>
  <w:footnote w:id="31">
    <w:p w:rsidR="00172313" w:rsidRPr="00597853" w:rsidRDefault="00172313" w:rsidP="00792DAA">
      <w:pPr>
        <w:pStyle w:val="FootnoteText"/>
        <w:spacing w:after="0" w:line="240" w:lineRule="auto"/>
        <w:rPr>
          <w:rFonts w:ascii="Times New Roman" w:hAnsi="Times New Roman"/>
        </w:rPr>
      </w:pPr>
      <w:r>
        <w:rPr>
          <w:rStyle w:val="FootnoteReference"/>
        </w:rPr>
        <w:footnoteRef/>
      </w:r>
      <w:r>
        <w:t xml:space="preserve"> </w:t>
      </w:r>
      <w:r>
        <w:rPr>
          <w:rFonts w:ascii="Times New Roman" w:hAnsi="Times New Roman"/>
          <w:lang w:val="sr-Cyrl-CS"/>
        </w:rPr>
        <w:t>Према начелу обједињавања, Фонд за социјално укључивање не треба да обухвати додатна средства из националног буџета, већ да допринесе делотворнијој прерасподели и ефикасном искоришћењу постојећих средстава.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313" w:rsidRDefault="00172313" w:rsidP="003C7E47">
    <w:pPr>
      <w:pStyle w:val="Header"/>
      <w:ind w:firstLine="1440"/>
    </w:pPr>
  </w:p>
  <w:p w:rsidR="00172313" w:rsidRDefault="00172313" w:rsidP="00792DAA">
    <w:pPr>
      <w:pStyle w:val="Header"/>
      <w:ind w:firstLine="1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843"/>
    <w:multiLevelType w:val="hybridMultilevel"/>
    <w:tmpl w:val="F9B2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F03DE"/>
    <w:multiLevelType w:val="hybridMultilevel"/>
    <w:tmpl w:val="F4AE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95771"/>
    <w:multiLevelType w:val="hybridMultilevel"/>
    <w:tmpl w:val="AF72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853E0"/>
    <w:multiLevelType w:val="hybridMultilevel"/>
    <w:tmpl w:val="0E5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50ABC"/>
    <w:multiLevelType w:val="hybridMultilevel"/>
    <w:tmpl w:val="BFDE18BE"/>
    <w:lvl w:ilvl="0" w:tplc="04090001">
      <w:start w:val="1"/>
      <w:numFmt w:val="bullet"/>
      <w:lvlText w:val=""/>
      <w:lvlJc w:val="left"/>
      <w:pPr>
        <w:ind w:left="1800" w:hanging="360"/>
      </w:pPr>
      <w:rPr>
        <w:rFonts w:ascii="Symbol" w:hAnsi="Symbol" w:hint="default"/>
      </w:rPr>
    </w:lvl>
    <w:lvl w:ilvl="1" w:tplc="72105C4E">
      <w:start w:val="2"/>
      <w:numFmt w:val="bullet"/>
      <w:lvlText w:val="-"/>
      <w:lvlJc w:val="left"/>
      <w:pPr>
        <w:ind w:left="2880" w:hanging="720"/>
      </w:pPr>
      <w:rPr>
        <w:rFonts w:ascii="Calibri" w:eastAsia="Times New Roman" w:hAnsi="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96788B"/>
    <w:multiLevelType w:val="hybridMultilevel"/>
    <w:tmpl w:val="59EE8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67153B"/>
    <w:multiLevelType w:val="hybridMultilevel"/>
    <w:tmpl w:val="74C04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0659C5"/>
    <w:multiLevelType w:val="hybridMultilevel"/>
    <w:tmpl w:val="6B0AC1C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F48C9"/>
    <w:multiLevelType w:val="hybridMultilevel"/>
    <w:tmpl w:val="25D4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0116B4"/>
    <w:multiLevelType w:val="hybridMultilevel"/>
    <w:tmpl w:val="9AAC2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85120E"/>
    <w:multiLevelType w:val="hybridMultilevel"/>
    <w:tmpl w:val="B8D6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A668B"/>
    <w:multiLevelType w:val="hybridMultilevel"/>
    <w:tmpl w:val="4C18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12B64"/>
    <w:multiLevelType w:val="hybridMultilevel"/>
    <w:tmpl w:val="C564F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D20B54"/>
    <w:multiLevelType w:val="hybridMultilevel"/>
    <w:tmpl w:val="10B65BAA"/>
    <w:lvl w:ilvl="0" w:tplc="281A000F">
      <w:start w:val="2"/>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22F84FFA"/>
    <w:multiLevelType w:val="multilevel"/>
    <w:tmpl w:val="1E2CC38E"/>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29A307E5"/>
    <w:multiLevelType w:val="hybridMultilevel"/>
    <w:tmpl w:val="1B9C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F7A84"/>
    <w:multiLevelType w:val="hybridMultilevel"/>
    <w:tmpl w:val="EBD4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A13C4"/>
    <w:multiLevelType w:val="hybridMultilevel"/>
    <w:tmpl w:val="77A44B70"/>
    <w:lvl w:ilvl="0" w:tplc="0409000F">
      <w:start w:val="1"/>
      <w:numFmt w:val="decimal"/>
      <w:lvlText w:val="%1."/>
      <w:lvlJc w:val="left"/>
      <w:pPr>
        <w:ind w:left="720" w:hanging="360"/>
      </w:pPr>
    </w:lvl>
    <w:lvl w:ilvl="1" w:tplc="795E88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831DD"/>
    <w:multiLevelType w:val="multilevel"/>
    <w:tmpl w:val="4496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2D1291"/>
    <w:multiLevelType w:val="hybridMultilevel"/>
    <w:tmpl w:val="E9A05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11112B"/>
    <w:multiLevelType w:val="hybridMultilevel"/>
    <w:tmpl w:val="B7C0B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A4097C"/>
    <w:multiLevelType w:val="hybridMultilevel"/>
    <w:tmpl w:val="8FC62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303928"/>
    <w:multiLevelType w:val="hybridMultilevel"/>
    <w:tmpl w:val="C90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16C21"/>
    <w:multiLevelType w:val="hybridMultilevel"/>
    <w:tmpl w:val="EE02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204880"/>
    <w:multiLevelType w:val="hybridMultilevel"/>
    <w:tmpl w:val="3A3EE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2B2D49"/>
    <w:multiLevelType w:val="hybridMultilevel"/>
    <w:tmpl w:val="FCB6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E61EC"/>
    <w:multiLevelType w:val="hybridMultilevel"/>
    <w:tmpl w:val="CA02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567F06D5"/>
    <w:multiLevelType w:val="hybridMultilevel"/>
    <w:tmpl w:val="AAB8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99D31D2"/>
    <w:multiLevelType w:val="hybridMultilevel"/>
    <w:tmpl w:val="1480CB34"/>
    <w:lvl w:ilvl="0" w:tplc="3EAE2224">
      <w:start w:val="1"/>
      <w:numFmt w:val="bullet"/>
      <w:lvlText w:val=""/>
      <w:lvlJc w:val="left"/>
      <w:pPr>
        <w:ind w:left="720" w:hanging="360"/>
      </w:pPr>
      <w:rPr>
        <w:rFonts w:ascii="Symbol" w:hAnsi="Symbol" w:hint="default"/>
        <w:b/>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B81C24"/>
    <w:multiLevelType w:val="hybridMultilevel"/>
    <w:tmpl w:val="BCE66F08"/>
    <w:lvl w:ilvl="0" w:tplc="FAB81592">
      <w:start w:val="1"/>
      <w:numFmt w:val="decimal"/>
      <w:pStyle w:val="Heading1"/>
      <w:lvlText w:val="%1."/>
      <w:lvlJc w:val="left"/>
      <w:pPr>
        <w:ind w:left="945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BF3966"/>
    <w:multiLevelType w:val="hybridMultilevel"/>
    <w:tmpl w:val="915E2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F378A0"/>
    <w:multiLevelType w:val="multilevel"/>
    <w:tmpl w:val="BF10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0E12C5"/>
    <w:multiLevelType w:val="hybridMultilevel"/>
    <w:tmpl w:val="689A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449B7"/>
    <w:multiLevelType w:val="hybridMultilevel"/>
    <w:tmpl w:val="50A6461E"/>
    <w:lvl w:ilvl="0" w:tplc="0CC2E8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FF61BFC"/>
    <w:multiLevelType w:val="hybridMultilevel"/>
    <w:tmpl w:val="DB4C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A1D03"/>
    <w:multiLevelType w:val="hybridMultilevel"/>
    <w:tmpl w:val="6A34CBA2"/>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882CE2"/>
    <w:multiLevelType w:val="hybridMultilevel"/>
    <w:tmpl w:val="4402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B154B5"/>
    <w:multiLevelType w:val="hybridMultilevel"/>
    <w:tmpl w:val="B2E0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DF5B5B"/>
    <w:multiLevelType w:val="hybridMultilevel"/>
    <w:tmpl w:val="EFBC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C06A37"/>
    <w:multiLevelType w:val="hybridMultilevel"/>
    <w:tmpl w:val="FF32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4508D8"/>
    <w:multiLevelType w:val="hybridMultilevel"/>
    <w:tmpl w:val="D3F6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6528BA"/>
    <w:multiLevelType w:val="hybridMultilevel"/>
    <w:tmpl w:val="B0D8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F1547"/>
    <w:multiLevelType w:val="hybridMultilevel"/>
    <w:tmpl w:val="8FC62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929766B"/>
    <w:multiLevelType w:val="hybridMultilevel"/>
    <w:tmpl w:val="77A44B70"/>
    <w:lvl w:ilvl="0" w:tplc="0409000F">
      <w:start w:val="1"/>
      <w:numFmt w:val="decimal"/>
      <w:lvlText w:val="%1."/>
      <w:lvlJc w:val="left"/>
      <w:pPr>
        <w:ind w:left="720" w:hanging="360"/>
      </w:pPr>
    </w:lvl>
    <w:lvl w:ilvl="1" w:tplc="795E88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80633E"/>
    <w:multiLevelType w:val="hybridMultilevel"/>
    <w:tmpl w:val="2134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AE4234"/>
    <w:multiLevelType w:val="hybridMultilevel"/>
    <w:tmpl w:val="25CA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6577E6"/>
    <w:multiLevelType w:val="hybridMultilevel"/>
    <w:tmpl w:val="F538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9"/>
  </w:num>
  <w:num w:numId="4">
    <w:abstractNumId w:val="7"/>
  </w:num>
  <w:num w:numId="5">
    <w:abstractNumId w:val="33"/>
  </w:num>
  <w:num w:numId="6">
    <w:abstractNumId w:val="11"/>
  </w:num>
  <w:num w:numId="7">
    <w:abstractNumId w:val="44"/>
  </w:num>
  <w:num w:numId="8">
    <w:abstractNumId w:val="41"/>
  </w:num>
  <w:num w:numId="9">
    <w:abstractNumId w:val="14"/>
  </w:num>
  <w:num w:numId="10">
    <w:abstractNumId w:val="43"/>
  </w:num>
  <w:num w:numId="11">
    <w:abstractNumId w:val="8"/>
  </w:num>
  <w:num w:numId="12">
    <w:abstractNumId w:val="35"/>
  </w:num>
  <w:num w:numId="13">
    <w:abstractNumId w:val="32"/>
  </w:num>
  <w:num w:numId="14">
    <w:abstractNumId w:val="18"/>
  </w:num>
  <w:num w:numId="15">
    <w:abstractNumId w:val="46"/>
  </w:num>
  <w:num w:numId="16">
    <w:abstractNumId w:val="25"/>
  </w:num>
  <w:num w:numId="17">
    <w:abstractNumId w:val="3"/>
  </w:num>
  <w:num w:numId="18">
    <w:abstractNumId w:val="40"/>
  </w:num>
  <w:num w:numId="19">
    <w:abstractNumId w:val="16"/>
  </w:num>
  <w:num w:numId="20">
    <w:abstractNumId w:val="10"/>
  </w:num>
  <w:num w:numId="21">
    <w:abstractNumId w:val="0"/>
  </w:num>
  <w:num w:numId="22">
    <w:abstractNumId w:val="22"/>
  </w:num>
  <w:num w:numId="23">
    <w:abstractNumId w:val="45"/>
  </w:num>
  <w:num w:numId="24">
    <w:abstractNumId w:val="37"/>
  </w:num>
  <w:num w:numId="25">
    <w:abstractNumId w:val="15"/>
  </w:num>
  <w:num w:numId="26">
    <w:abstractNumId w:val="19"/>
  </w:num>
  <w:num w:numId="27">
    <w:abstractNumId w:val="1"/>
  </w:num>
  <w:num w:numId="28">
    <w:abstractNumId w:val="47"/>
  </w:num>
  <w:num w:numId="29">
    <w:abstractNumId w:val="38"/>
  </w:num>
  <w:num w:numId="30">
    <w:abstractNumId w:val="29"/>
  </w:num>
  <w:num w:numId="31">
    <w:abstractNumId w:val="42"/>
  </w:num>
  <w:num w:numId="32">
    <w:abstractNumId w:val="21"/>
  </w:num>
  <w:num w:numId="33">
    <w:abstractNumId w:val="39"/>
  </w:num>
  <w:num w:numId="34">
    <w:abstractNumId w:val="12"/>
  </w:num>
  <w:num w:numId="35">
    <w:abstractNumId w:val="28"/>
  </w:num>
  <w:num w:numId="36">
    <w:abstractNumId w:val="4"/>
  </w:num>
  <w:num w:numId="37">
    <w:abstractNumId w:val="2"/>
  </w:num>
  <w:num w:numId="38">
    <w:abstractNumId w:val="26"/>
  </w:num>
  <w:num w:numId="39">
    <w:abstractNumId w:val="24"/>
  </w:num>
  <w:num w:numId="40">
    <w:abstractNumId w:val="20"/>
  </w:num>
  <w:num w:numId="41">
    <w:abstractNumId w:val="31"/>
  </w:num>
  <w:num w:numId="42">
    <w:abstractNumId w:val="30"/>
  </w:num>
  <w:num w:numId="43">
    <w:abstractNumId w:val="36"/>
  </w:num>
  <w:num w:numId="44">
    <w:abstractNumId w:val="17"/>
  </w:num>
  <w:num w:numId="45">
    <w:abstractNumId w:val="23"/>
  </w:num>
  <w:num w:numId="46">
    <w:abstractNumId w:val="27"/>
  </w:num>
  <w:num w:numId="47">
    <w:abstractNumId w:val="13"/>
  </w:num>
  <w:num w:numId="48">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34"/>
    <w:rsid w:val="00001568"/>
    <w:rsid w:val="000016F4"/>
    <w:rsid w:val="00002BD2"/>
    <w:rsid w:val="00003C09"/>
    <w:rsid w:val="00005985"/>
    <w:rsid w:val="00006294"/>
    <w:rsid w:val="000077F0"/>
    <w:rsid w:val="00007C82"/>
    <w:rsid w:val="00012498"/>
    <w:rsid w:val="00014E8B"/>
    <w:rsid w:val="000256ED"/>
    <w:rsid w:val="00026132"/>
    <w:rsid w:val="00027C04"/>
    <w:rsid w:val="00027E80"/>
    <w:rsid w:val="00033111"/>
    <w:rsid w:val="00033B17"/>
    <w:rsid w:val="00037AE0"/>
    <w:rsid w:val="000404B0"/>
    <w:rsid w:val="00044891"/>
    <w:rsid w:val="00046B06"/>
    <w:rsid w:val="00047CC3"/>
    <w:rsid w:val="00051207"/>
    <w:rsid w:val="00051497"/>
    <w:rsid w:val="0005214B"/>
    <w:rsid w:val="00055AC8"/>
    <w:rsid w:val="00056CFD"/>
    <w:rsid w:val="000626E3"/>
    <w:rsid w:val="000633B4"/>
    <w:rsid w:val="000647A1"/>
    <w:rsid w:val="0006489F"/>
    <w:rsid w:val="0006590A"/>
    <w:rsid w:val="00067BA1"/>
    <w:rsid w:val="00071A91"/>
    <w:rsid w:val="000801EE"/>
    <w:rsid w:val="00083A64"/>
    <w:rsid w:val="000905D0"/>
    <w:rsid w:val="00095DB6"/>
    <w:rsid w:val="000A093E"/>
    <w:rsid w:val="000A6EF8"/>
    <w:rsid w:val="000A6F2F"/>
    <w:rsid w:val="000A7C9B"/>
    <w:rsid w:val="000B0071"/>
    <w:rsid w:val="000B1432"/>
    <w:rsid w:val="000B238C"/>
    <w:rsid w:val="000C3B9B"/>
    <w:rsid w:val="000C6D97"/>
    <w:rsid w:val="000C73AA"/>
    <w:rsid w:val="000C75B3"/>
    <w:rsid w:val="000C7F84"/>
    <w:rsid w:val="000D06A5"/>
    <w:rsid w:val="000D35AD"/>
    <w:rsid w:val="000D5251"/>
    <w:rsid w:val="000D7A2E"/>
    <w:rsid w:val="000E2F20"/>
    <w:rsid w:val="000E372E"/>
    <w:rsid w:val="000F16AE"/>
    <w:rsid w:val="000F6C2E"/>
    <w:rsid w:val="000F729C"/>
    <w:rsid w:val="000F754F"/>
    <w:rsid w:val="001009D3"/>
    <w:rsid w:val="00101110"/>
    <w:rsid w:val="001033CF"/>
    <w:rsid w:val="001034F9"/>
    <w:rsid w:val="00104645"/>
    <w:rsid w:val="00104A79"/>
    <w:rsid w:val="00111CE1"/>
    <w:rsid w:val="0011367B"/>
    <w:rsid w:val="001163B5"/>
    <w:rsid w:val="00117CF0"/>
    <w:rsid w:val="00120CE6"/>
    <w:rsid w:val="00122054"/>
    <w:rsid w:val="001220BC"/>
    <w:rsid w:val="00124CA4"/>
    <w:rsid w:val="00124FB8"/>
    <w:rsid w:val="001312E6"/>
    <w:rsid w:val="0013278C"/>
    <w:rsid w:val="00134760"/>
    <w:rsid w:val="001405D8"/>
    <w:rsid w:val="0014143E"/>
    <w:rsid w:val="00143809"/>
    <w:rsid w:val="00146DC2"/>
    <w:rsid w:val="00155F67"/>
    <w:rsid w:val="00162E58"/>
    <w:rsid w:val="00166C56"/>
    <w:rsid w:val="00167CD3"/>
    <w:rsid w:val="001714E4"/>
    <w:rsid w:val="00171522"/>
    <w:rsid w:val="001721B1"/>
    <w:rsid w:val="00172313"/>
    <w:rsid w:val="00172F32"/>
    <w:rsid w:val="00177135"/>
    <w:rsid w:val="001873BD"/>
    <w:rsid w:val="001905F4"/>
    <w:rsid w:val="0019235E"/>
    <w:rsid w:val="00193F06"/>
    <w:rsid w:val="00194001"/>
    <w:rsid w:val="001940AB"/>
    <w:rsid w:val="001941AC"/>
    <w:rsid w:val="00195415"/>
    <w:rsid w:val="00195BBC"/>
    <w:rsid w:val="001A0AAB"/>
    <w:rsid w:val="001A0E58"/>
    <w:rsid w:val="001A18B0"/>
    <w:rsid w:val="001B4EE5"/>
    <w:rsid w:val="001B6D33"/>
    <w:rsid w:val="001B7677"/>
    <w:rsid w:val="001D73F7"/>
    <w:rsid w:val="001D7BCF"/>
    <w:rsid w:val="001E1921"/>
    <w:rsid w:val="001E2A59"/>
    <w:rsid w:val="001E60EE"/>
    <w:rsid w:val="001E6441"/>
    <w:rsid w:val="001F25CD"/>
    <w:rsid w:val="00201571"/>
    <w:rsid w:val="0020290F"/>
    <w:rsid w:val="0020489F"/>
    <w:rsid w:val="00207887"/>
    <w:rsid w:val="00210D84"/>
    <w:rsid w:val="00212CF2"/>
    <w:rsid w:val="00212F53"/>
    <w:rsid w:val="002130B3"/>
    <w:rsid w:val="00214553"/>
    <w:rsid w:val="0021646B"/>
    <w:rsid w:val="002201ED"/>
    <w:rsid w:val="0022083F"/>
    <w:rsid w:val="00227819"/>
    <w:rsid w:val="00227EF3"/>
    <w:rsid w:val="002310C6"/>
    <w:rsid w:val="00232BDA"/>
    <w:rsid w:val="00241CE5"/>
    <w:rsid w:val="00242430"/>
    <w:rsid w:val="002526AF"/>
    <w:rsid w:val="002578CD"/>
    <w:rsid w:val="0026013E"/>
    <w:rsid w:val="00262861"/>
    <w:rsid w:val="00265298"/>
    <w:rsid w:val="00270A48"/>
    <w:rsid w:val="00270E7C"/>
    <w:rsid w:val="00273B50"/>
    <w:rsid w:val="0028042E"/>
    <w:rsid w:val="00285984"/>
    <w:rsid w:val="00293DA1"/>
    <w:rsid w:val="002A4E1E"/>
    <w:rsid w:val="002B41CF"/>
    <w:rsid w:val="002B561C"/>
    <w:rsid w:val="002B57F2"/>
    <w:rsid w:val="002C0D64"/>
    <w:rsid w:val="002C29FB"/>
    <w:rsid w:val="002C653D"/>
    <w:rsid w:val="002D461C"/>
    <w:rsid w:val="002D742F"/>
    <w:rsid w:val="002E2A46"/>
    <w:rsid w:val="002E7B44"/>
    <w:rsid w:val="002E7E44"/>
    <w:rsid w:val="002F0810"/>
    <w:rsid w:val="002F09DA"/>
    <w:rsid w:val="002F2216"/>
    <w:rsid w:val="002F282A"/>
    <w:rsid w:val="002F3095"/>
    <w:rsid w:val="002F3E0E"/>
    <w:rsid w:val="00302DEA"/>
    <w:rsid w:val="00303AD1"/>
    <w:rsid w:val="00304485"/>
    <w:rsid w:val="00310685"/>
    <w:rsid w:val="003112D1"/>
    <w:rsid w:val="00312991"/>
    <w:rsid w:val="00324431"/>
    <w:rsid w:val="0032498C"/>
    <w:rsid w:val="00325434"/>
    <w:rsid w:val="00327002"/>
    <w:rsid w:val="00327D69"/>
    <w:rsid w:val="00345410"/>
    <w:rsid w:val="00345B73"/>
    <w:rsid w:val="00346647"/>
    <w:rsid w:val="00346ED8"/>
    <w:rsid w:val="0035096B"/>
    <w:rsid w:val="00352A6A"/>
    <w:rsid w:val="00354E01"/>
    <w:rsid w:val="00366906"/>
    <w:rsid w:val="00366E2A"/>
    <w:rsid w:val="00367650"/>
    <w:rsid w:val="0037349E"/>
    <w:rsid w:val="00376150"/>
    <w:rsid w:val="0037671F"/>
    <w:rsid w:val="003777DC"/>
    <w:rsid w:val="003819D5"/>
    <w:rsid w:val="00386A22"/>
    <w:rsid w:val="00386E9B"/>
    <w:rsid w:val="003914E7"/>
    <w:rsid w:val="003929B7"/>
    <w:rsid w:val="00393013"/>
    <w:rsid w:val="00395DF4"/>
    <w:rsid w:val="003A0D6B"/>
    <w:rsid w:val="003A1505"/>
    <w:rsid w:val="003A2A7D"/>
    <w:rsid w:val="003B00C9"/>
    <w:rsid w:val="003B1F78"/>
    <w:rsid w:val="003B4400"/>
    <w:rsid w:val="003B561A"/>
    <w:rsid w:val="003B596F"/>
    <w:rsid w:val="003B61BB"/>
    <w:rsid w:val="003C00C9"/>
    <w:rsid w:val="003C1A20"/>
    <w:rsid w:val="003C297A"/>
    <w:rsid w:val="003C3078"/>
    <w:rsid w:val="003C39B4"/>
    <w:rsid w:val="003C67D9"/>
    <w:rsid w:val="003C7E47"/>
    <w:rsid w:val="003D1C1D"/>
    <w:rsid w:val="003D2BBB"/>
    <w:rsid w:val="003D3EA9"/>
    <w:rsid w:val="003D5485"/>
    <w:rsid w:val="003E1CBD"/>
    <w:rsid w:val="003F1519"/>
    <w:rsid w:val="003F3005"/>
    <w:rsid w:val="003F343E"/>
    <w:rsid w:val="003F46F1"/>
    <w:rsid w:val="003F581A"/>
    <w:rsid w:val="003F6C35"/>
    <w:rsid w:val="003F7538"/>
    <w:rsid w:val="00400D10"/>
    <w:rsid w:val="004041CE"/>
    <w:rsid w:val="00406294"/>
    <w:rsid w:val="0041299C"/>
    <w:rsid w:val="00412B71"/>
    <w:rsid w:val="00417A27"/>
    <w:rsid w:val="00423240"/>
    <w:rsid w:val="00423675"/>
    <w:rsid w:val="00431B40"/>
    <w:rsid w:val="00432A5C"/>
    <w:rsid w:val="00432D81"/>
    <w:rsid w:val="0043595B"/>
    <w:rsid w:val="00441677"/>
    <w:rsid w:val="004472B9"/>
    <w:rsid w:val="004520E8"/>
    <w:rsid w:val="004564A1"/>
    <w:rsid w:val="0046476F"/>
    <w:rsid w:val="00464C2D"/>
    <w:rsid w:val="00474057"/>
    <w:rsid w:val="0047484D"/>
    <w:rsid w:val="004779D0"/>
    <w:rsid w:val="00484581"/>
    <w:rsid w:val="00487922"/>
    <w:rsid w:val="00491311"/>
    <w:rsid w:val="004944FA"/>
    <w:rsid w:val="00495854"/>
    <w:rsid w:val="0049586B"/>
    <w:rsid w:val="00497BB9"/>
    <w:rsid w:val="004A0712"/>
    <w:rsid w:val="004A10E2"/>
    <w:rsid w:val="004B4343"/>
    <w:rsid w:val="004B50FD"/>
    <w:rsid w:val="004B79E4"/>
    <w:rsid w:val="004C1053"/>
    <w:rsid w:val="004C39FF"/>
    <w:rsid w:val="004C3D09"/>
    <w:rsid w:val="004C653D"/>
    <w:rsid w:val="004D0FC3"/>
    <w:rsid w:val="004D32D0"/>
    <w:rsid w:val="004D561A"/>
    <w:rsid w:val="004D750C"/>
    <w:rsid w:val="004E3AF4"/>
    <w:rsid w:val="004F4ED8"/>
    <w:rsid w:val="004F6493"/>
    <w:rsid w:val="004F7008"/>
    <w:rsid w:val="00500199"/>
    <w:rsid w:val="005003B5"/>
    <w:rsid w:val="00501C74"/>
    <w:rsid w:val="0050248F"/>
    <w:rsid w:val="0050267A"/>
    <w:rsid w:val="0050273A"/>
    <w:rsid w:val="005070EC"/>
    <w:rsid w:val="00507788"/>
    <w:rsid w:val="005138C1"/>
    <w:rsid w:val="00513AE7"/>
    <w:rsid w:val="00517A3C"/>
    <w:rsid w:val="00522F48"/>
    <w:rsid w:val="00523108"/>
    <w:rsid w:val="0052374F"/>
    <w:rsid w:val="00524338"/>
    <w:rsid w:val="00524D83"/>
    <w:rsid w:val="00531A9D"/>
    <w:rsid w:val="00540525"/>
    <w:rsid w:val="00541A8C"/>
    <w:rsid w:val="0054409B"/>
    <w:rsid w:val="005441E6"/>
    <w:rsid w:val="00553FFC"/>
    <w:rsid w:val="00555B5D"/>
    <w:rsid w:val="00556243"/>
    <w:rsid w:val="00564483"/>
    <w:rsid w:val="0056571B"/>
    <w:rsid w:val="00570D26"/>
    <w:rsid w:val="00571C37"/>
    <w:rsid w:val="00585C37"/>
    <w:rsid w:val="005909A6"/>
    <w:rsid w:val="00590FC8"/>
    <w:rsid w:val="00591FE9"/>
    <w:rsid w:val="00595021"/>
    <w:rsid w:val="00595F49"/>
    <w:rsid w:val="005965E3"/>
    <w:rsid w:val="00596EA4"/>
    <w:rsid w:val="00597853"/>
    <w:rsid w:val="005A0BAC"/>
    <w:rsid w:val="005A1427"/>
    <w:rsid w:val="005A3C3A"/>
    <w:rsid w:val="005A542B"/>
    <w:rsid w:val="005A5809"/>
    <w:rsid w:val="005A6F21"/>
    <w:rsid w:val="005B06A9"/>
    <w:rsid w:val="005B2678"/>
    <w:rsid w:val="005B2BE0"/>
    <w:rsid w:val="005B2D70"/>
    <w:rsid w:val="005B5F57"/>
    <w:rsid w:val="005C0A08"/>
    <w:rsid w:val="005C2AF1"/>
    <w:rsid w:val="005C3C49"/>
    <w:rsid w:val="005C4E58"/>
    <w:rsid w:val="005D0980"/>
    <w:rsid w:val="005D15ED"/>
    <w:rsid w:val="005D2F1D"/>
    <w:rsid w:val="005D41D9"/>
    <w:rsid w:val="005D483B"/>
    <w:rsid w:val="005E10EB"/>
    <w:rsid w:val="005E25B1"/>
    <w:rsid w:val="005E2834"/>
    <w:rsid w:val="005E341F"/>
    <w:rsid w:val="005E4C20"/>
    <w:rsid w:val="005F1A49"/>
    <w:rsid w:val="005F385C"/>
    <w:rsid w:val="005F3A2D"/>
    <w:rsid w:val="005F6835"/>
    <w:rsid w:val="006022B9"/>
    <w:rsid w:val="00602805"/>
    <w:rsid w:val="006039C7"/>
    <w:rsid w:val="00606550"/>
    <w:rsid w:val="00610130"/>
    <w:rsid w:val="00614D5D"/>
    <w:rsid w:val="00624258"/>
    <w:rsid w:val="006415D6"/>
    <w:rsid w:val="006420F1"/>
    <w:rsid w:val="00642E5A"/>
    <w:rsid w:val="006458C4"/>
    <w:rsid w:val="0064606C"/>
    <w:rsid w:val="00653CCD"/>
    <w:rsid w:val="00654962"/>
    <w:rsid w:val="00655013"/>
    <w:rsid w:val="006550A0"/>
    <w:rsid w:val="00661CBA"/>
    <w:rsid w:val="006620B7"/>
    <w:rsid w:val="00662711"/>
    <w:rsid w:val="00666623"/>
    <w:rsid w:val="00667971"/>
    <w:rsid w:val="00676F32"/>
    <w:rsid w:val="00681568"/>
    <w:rsid w:val="00685339"/>
    <w:rsid w:val="00687897"/>
    <w:rsid w:val="006927AF"/>
    <w:rsid w:val="0069416F"/>
    <w:rsid w:val="006A0455"/>
    <w:rsid w:val="006A3910"/>
    <w:rsid w:val="006A4DC8"/>
    <w:rsid w:val="006A526B"/>
    <w:rsid w:val="006A5AEB"/>
    <w:rsid w:val="006A798A"/>
    <w:rsid w:val="006B0D77"/>
    <w:rsid w:val="006B20EE"/>
    <w:rsid w:val="006B24E3"/>
    <w:rsid w:val="006B2864"/>
    <w:rsid w:val="006B5387"/>
    <w:rsid w:val="006B55E2"/>
    <w:rsid w:val="006C2C68"/>
    <w:rsid w:val="006C556E"/>
    <w:rsid w:val="006C5C45"/>
    <w:rsid w:val="006C5C72"/>
    <w:rsid w:val="006C5F72"/>
    <w:rsid w:val="006C64D9"/>
    <w:rsid w:val="006D31D3"/>
    <w:rsid w:val="006D5839"/>
    <w:rsid w:val="006F2042"/>
    <w:rsid w:val="006F3651"/>
    <w:rsid w:val="006F3E1C"/>
    <w:rsid w:val="006F406A"/>
    <w:rsid w:val="00704699"/>
    <w:rsid w:val="00707A1E"/>
    <w:rsid w:val="00710DA3"/>
    <w:rsid w:val="00711DAD"/>
    <w:rsid w:val="00712907"/>
    <w:rsid w:val="0071523B"/>
    <w:rsid w:val="00715D63"/>
    <w:rsid w:val="00716EDF"/>
    <w:rsid w:val="0072439E"/>
    <w:rsid w:val="00726089"/>
    <w:rsid w:val="007261F9"/>
    <w:rsid w:val="007301EC"/>
    <w:rsid w:val="00741707"/>
    <w:rsid w:val="007417E4"/>
    <w:rsid w:val="00752269"/>
    <w:rsid w:val="00753641"/>
    <w:rsid w:val="007537CF"/>
    <w:rsid w:val="00757089"/>
    <w:rsid w:val="00760338"/>
    <w:rsid w:val="0076711A"/>
    <w:rsid w:val="00770ECE"/>
    <w:rsid w:val="0077633E"/>
    <w:rsid w:val="0078085F"/>
    <w:rsid w:val="007834C8"/>
    <w:rsid w:val="00783DE7"/>
    <w:rsid w:val="00787409"/>
    <w:rsid w:val="00787C82"/>
    <w:rsid w:val="00792DAA"/>
    <w:rsid w:val="0079303C"/>
    <w:rsid w:val="0079527F"/>
    <w:rsid w:val="007A18F4"/>
    <w:rsid w:val="007A2D2F"/>
    <w:rsid w:val="007B1B77"/>
    <w:rsid w:val="007B378C"/>
    <w:rsid w:val="007C2437"/>
    <w:rsid w:val="007C4239"/>
    <w:rsid w:val="007C5425"/>
    <w:rsid w:val="007D005A"/>
    <w:rsid w:val="007D070A"/>
    <w:rsid w:val="007D5276"/>
    <w:rsid w:val="007D76A7"/>
    <w:rsid w:val="007E1FB2"/>
    <w:rsid w:val="007E33BC"/>
    <w:rsid w:val="007E467B"/>
    <w:rsid w:val="007E4746"/>
    <w:rsid w:val="007E630C"/>
    <w:rsid w:val="00800B85"/>
    <w:rsid w:val="00801862"/>
    <w:rsid w:val="00801AB9"/>
    <w:rsid w:val="00813915"/>
    <w:rsid w:val="008174AD"/>
    <w:rsid w:val="008175B9"/>
    <w:rsid w:val="0082494F"/>
    <w:rsid w:val="00825384"/>
    <w:rsid w:val="00826947"/>
    <w:rsid w:val="0082695F"/>
    <w:rsid w:val="00833871"/>
    <w:rsid w:val="00835F99"/>
    <w:rsid w:val="008365F6"/>
    <w:rsid w:val="0083711B"/>
    <w:rsid w:val="00842B69"/>
    <w:rsid w:val="00854DA0"/>
    <w:rsid w:val="00861768"/>
    <w:rsid w:val="00862447"/>
    <w:rsid w:val="00870BCA"/>
    <w:rsid w:val="0087540F"/>
    <w:rsid w:val="0087654B"/>
    <w:rsid w:val="00876D33"/>
    <w:rsid w:val="00884A49"/>
    <w:rsid w:val="008867BF"/>
    <w:rsid w:val="0089222C"/>
    <w:rsid w:val="008947D1"/>
    <w:rsid w:val="008A07B3"/>
    <w:rsid w:val="008A5091"/>
    <w:rsid w:val="008B263C"/>
    <w:rsid w:val="008B3C76"/>
    <w:rsid w:val="008B414F"/>
    <w:rsid w:val="008C08A9"/>
    <w:rsid w:val="008C1E97"/>
    <w:rsid w:val="008C3311"/>
    <w:rsid w:val="008C4D9D"/>
    <w:rsid w:val="008C59E3"/>
    <w:rsid w:val="008C6EA3"/>
    <w:rsid w:val="008C74D5"/>
    <w:rsid w:val="008D0390"/>
    <w:rsid w:val="008D3585"/>
    <w:rsid w:val="008D62BD"/>
    <w:rsid w:val="008D7F66"/>
    <w:rsid w:val="008E1084"/>
    <w:rsid w:val="008E56AE"/>
    <w:rsid w:val="008E5F07"/>
    <w:rsid w:val="008E759D"/>
    <w:rsid w:val="008E7C64"/>
    <w:rsid w:val="008F3818"/>
    <w:rsid w:val="009020BA"/>
    <w:rsid w:val="00905159"/>
    <w:rsid w:val="00915234"/>
    <w:rsid w:val="00916B84"/>
    <w:rsid w:val="00923FD5"/>
    <w:rsid w:val="0092740A"/>
    <w:rsid w:val="0092798C"/>
    <w:rsid w:val="00930876"/>
    <w:rsid w:val="0093178C"/>
    <w:rsid w:val="009332A6"/>
    <w:rsid w:val="00933999"/>
    <w:rsid w:val="00933BFE"/>
    <w:rsid w:val="00934050"/>
    <w:rsid w:val="00935352"/>
    <w:rsid w:val="009372F8"/>
    <w:rsid w:val="00940AD8"/>
    <w:rsid w:val="00942E56"/>
    <w:rsid w:val="009437CB"/>
    <w:rsid w:val="009464F9"/>
    <w:rsid w:val="00952F8D"/>
    <w:rsid w:val="009536CA"/>
    <w:rsid w:val="00956EDC"/>
    <w:rsid w:val="00961C4E"/>
    <w:rsid w:val="00976D3F"/>
    <w:rsid w:val="00981BB8"/>
    <w:rsid w:val="00981F83"/>
    <w:rsid w:val="00986B5E"/>
    <w:rsid w:val="009871A6"/>
    <w:rsid w:val="0099054C"/>
    <w:rsid w:val="00995DE6"/>
    <w:rsid w:val="009A28D8"/>
    <w:rsid w:val="009A5953"/>
    <w:rsid w:val="009C5983"/>
    <w:rsid w:val="009D0B3F"/>
    <w:rsid w:val="009D11E9"/>
    <w:rsid w:val="009D4900"/>
    <w:rsid w:val="009D77CF"/>
    <w:rsid w:val="009E0E4B"/>
    <w:rsid w:val="009E0ED4"/>
    <w:rsid w:val="009E100B"/>
    <w:rsid w:val="009E1649"/>
    <w:rsid w:val="009E237D"/>
    <w:rsid w:val="009E32A5"/>
    <w:rsid w:val="009E33C6"/>
    <w:rsid w:val="009E7673"/>
    <w:rsid w:val="009F09F4"/>
    <w:rsid w:val="009F0E5B"/>
    <w:rsid w:val="009F2EBB"/>
    <w:rsid w:val="009F5B52"/>
    <w:rsid w:val="009F72D7"/>
    <w:rsid w:val="009F7759"/>
    <w:rsid w:val="009F79C2"/>
    <w:rsid w:val="00A00D19"/>
    <w:rsid w:val="00A04195"/>
    <w:rsid w:val="00A06E40"/>
    <w:rsid w:val="00A12F9A"/>
    <w:rsid w:val="00A16AA6"/>
    <w:rsid w:val="00A1702C"/>
    <w:rsid w:val="00A17CBB"/>
    <w:rsid w:val="00A2007C"/>
    <w:rsid w:val="00A204B8"/>
    <w:rsid w:val="00A20C59"/>
    <w:rsid w:val="00A21A85"/>
    <w:rsid w:val="00A21EC6"/>
    <w:rsid w:val="00A222FB"/>
    <w:rsid w:val="00A22D05"/>
    <w:rsid w:val="00A2364F"/>
    <w:rsid w:val="00A254FA"/>
    <w:rsid w:val="00A30A17"/>
    <w:rsid w:val="00A30A9B"/>
    <w:rsid w:val="00A340B4"/>
    <w:rsid w:val="00A36C84"/>
    <w:rsid w:val="00A45396"/>
    <w:rsid w:val="00A46908"/>
    <w:rsid w:val="00A474AD"/>
    <w:rsid w:val="00A51BE0"/>
    <w:rsid w:val="00A55776"/>
    <w:rsid w:val="00A60D07"/>
    <w:rsid w:val="00A61FE1"/>
    <w:rsid w:val="00A745DE"/>
    <w:rsid w:val="00A76CBD"/>
    <w:rsid w:val="00A83D70"/>
    <w:rsid w:val="00A870FE"/>
    <w:rsid w:val="00A93EAC"/>
    <w:rsid w:val="00A944D3"/>
    <w:rsid w:val="00A9753B"/>
    <w:rsid w:val="00AA2573"/>
    <w:rsid w:val="00AA37D5"/>
    <w:rsid w:val="00AA5F9B"/>
    <w:rsid w:val="00AA7B67"/>
    <w:rsid w:val="00AB6943"/>
    <w:rsid w:val="00AB784F"/>
    <w:rsid w:val="00AB7C33"/>
    <w:rsid w:val="00AD4724"/>
    <w:rsid w:val="00AD5263"/>
    <w:rsid w:val="00AD5808"/>
    <w:rsid w:val="00AD5CAB"/>
    <w:rsid w:val="00AE02AB"/>
    <w:rsid w:val="00AE165D"/>
    <w:rsid w:val="00AE2D76"/>
    <w:rsid w:val="00AE31EA"/>
    <w:rsid w:val="00AE51E1"/>
    <w:rsid w:val="00AE61B3"/>
    <w:rsid w:val="00AE703D"/>
    <w:rsid w:val="00AF2676"/>
    <w:rsid w:val="00AF3700"/>
    <w:rsid w:val="00AF4004"/>
    <w:rsid w:val="00B0057D"/>
    <w:rsid w:val="00B00A37"/>
    <w:rsid w:val="00B01CF2"/>
    <w:rsid w:val="00B0431F"/>
    <w:rsid w:val="00B0434D"/>
    <w:rsid w:val="00B072BF"/>
    <w:rsid w:val="00B10A97"/>
    <w:rsid w:val="00B11053"/>
    <w:rsid w:val="00B114DF"/>
    <w:rsid w:val="00B15BBF"/>
    <w:rsid w:val="00B17A9C"/>
    <w:rsid w:val="00B241F7"/>
    <w:rsid w:val="00B249E3"/>
    <w:rsid w:val="00B26241"/>
    <w:rsid w:val="00B27EFB"/>
    <w:rsid w:val="00B31760"/>
    <w:rsid w:val="00B37180"/>
    <w:rsid w:val="00B416D7"/>
    <w:rsid w:val="00B53A03"/>
    <w:rsid w:val="00B53CE9"/>
    <w:rsid w:val="00B53F63"/>
    <w:rsid w:val="00B55465"/>
    <w:rsid w:val="00B612FD"/>
    <w:rsid w:val="00B62C4A"/>
    <w:rsid w:val="00B65320"/>
    <w:rsid w:val="00B67BC7"/>
    <w:rsid w:val="00B711A7"/>
    <w:rsid w:val="00B7459D"/>
    <w:rsid w:val="00B74DA9"/>
    <w:rsid w:val="00B835A8"/>
    <w:rsid w:val="00B860E2"/>
    <w:rsid w:val="00B86772"/>
    <w:rsid w:val="00B926EC"/>
    <w:rsid w:val="00BA0BD7"/>
    <w:rsid w:val="00BA4BCA"/>
    <w:rsid w:val="00BA78A4"/>
    <w:rsid w:val="00BA7D77"/>
    <w:rsid w:val="00BB025E"/>
    <w:rsid w:val="00BB02AC"/>
    <w:rsid w:val="00BB2FF5"/>
    <w:rsid w:val="00BB43D8"/>
    <w:rsid w:val="00BB53BE"/>
    <w:rsid w:val="00BC10A2"/>
    <w:rsid w:val="00BC40AB"/>
    <w:rsid w:val="00BC520F"/>
    <w:rsid w:val="00BC5306"/>
    <w:rsid w:val="00BD046E"/>
    <w:rsid w:val="00BD3074"/>
    <w:rsid w:val="00BD370D"/>
    <w:rsid w:val="00BD51C8"/>
    <w:rsid w:val="00BD5449"/>
    <w:rsid w:val="00BD65C9"/>
    <w:rsid w:val="00BD6725"/>
    <w:rsid w:val="00BD6DEE"/>
    <w:rsid w:val="00BD7DA1"/>
    <w:rsid w:val="00BE54D4"/>
    <w:rsid w:val="00BF1DFD"/>
    <w:rsid w:val="00BF3795"/>
    <w:rsid w:val="00BF5640"/>
    <w:rsid w:val="00BF6D2C"/>
    <w:rsid w:val="00C103EB"/>
    <w:rsid w:val="00C119C5"/>
    <w:rsid w:val="00C1380E"/>
    <w:rsid w:val="00C14BBC"/>
    <w:rsid w:val="00C158D0"/>
    <w:rsid w:val="00C15BBB"/>
    <w:rsid w:val="00C16767"/>
    <w:rsid w:val="00C16D4C"/>
    <w:rsid w:val="00C20466"/>
    <w:rsid w:val="00C23FD8"/>
    <w:rsid w:val="00C24746"/>
    <w:rsid w:val="00C2612E"/>
    <w:rsid w:val="00C27283"/>
    <w:rsid w:val="00C277DA"/>
    <w:rsid w:val="00C27823"/>
    <w:rsid w:val="00C27BDB"/>
    <w:rsid w:val="00C30A38"/>
    <w:rsid w:val="00C329B8"/>
    <w:rsid w:val="00C329F2"/>
    <w:rsid w:val="00C3520D"/>
    <w:rsid w:val="00C41BC0"/>
    <w:rsid w:val="00C45E08"/>
    <w:rsid w:val="00C46E6E"/>
    <w:rsid w:val="00C46F98"/>
    <w:rsid w:val="00C5277A"/>
    <w:rsid w:val="00C54A39"/>
    <w:rsid w:val="00C550A9"/>
    <w:rsid w:val="00C564B2"/>
    <w:rsid w:val="00C56E0D"/>
    <w:rsid w:val="00C61538"/>
    <w:rsid w:val="00C66520"/>
    <w:rsid w:val="00C66ECB"/>
    <w:rsid w:val="00C73A6B"/>
    <w:rsid w:val="00C7528D"/>
    <w:rsid w:val="00C81EEA"/>
    <w:rsid w:val="00C82937"/>
    <w:rsid w:val="00C872B6"/>
    <w:rsid w:val="00C96162"/>
    <w:rsid w:val="00C97638"/>
    <w:rsid w:val="00CA2C1B"/>
    <w:rsid w:val="00CA3524"/>
    <w:rsid w:val="00CA6879"/>
    <w:rsid w:val="00CB3FA7"/>
    <w:rsid w:val="00CB4896"/>
    <w:rsid w:val="00CB5597"/>
    <w:rsid w:val="00CB7AC1"/>
    <w:rsid w:val="00CC1ED6"/>
    <w:rsid w:val="00CC376B"/>
    <w:rsid w:val="00CC46C3"/>
    <w:rsid w:val="00CC55CC"/>
    <w:rsid w:val="00CD7943"/>
    <w:rsid w:val="00CE0309"/>
    <w:rsid w:val="00CE0DD0"/>
    <w:rsid w:val="00CE1964"/>
    <w:rsid w:val="00CE2CA6"/>
    <w:rsid w:val="00CE580C"/>
    <w:rsid w:val="00CE5C37"/>
    <w:rsid w:val="00CE6755"/>
    <w:rsid w:val="00CF3AB7"/>
    <w:rsid w:val="00D00969"/>
    <w:rsid w:val="00D01FDB"/>
    <w:rsid w:val="00D035A4"/>
    <w:rsid w:val="00D039AF"/>
    <w:rsid w:val="00D058DD"/>
    <w:rsid w:val="00D06842"/>
    <w:rsid w:val="00D10726"/>
    <w:rsid w:val="00D11214"/>
    <w:rsid w:val="00D11AB2"/>
    <w:rsid w:val="00D216F0"/>
    <w:rsid w:val="00D222FC"/>
    <w:rsid w:val="00D2338B"/>
    <w:rsid w:val="00D2622D"/>
    <w:rsid w:val="00D27C47"/>
    <w:rsid w:val="00D3051C"/>
    <w:rsid w:val="00D31FC4"/>
    <w:rsid w:val="00D348D2"/>
    <w:rsid w:val="00D400A3"/>
    <w:rsid w:val="00D42A2A"/>
    <w:rsid w:val="00D447AA"/>
    <w:rsid w:val="00D506D4"/>
    <w:rsid w:val="00D51241"/>
    <w:rsid w:val="00D51DAB"/>
    <w:rsid w:val="00D52ADC"/>
    <w:rsid w:val="00D551BF"/>
    <w:rsid w:val="00D60F08"/>
    <w:rsid w:val="00D66CAC"/>
    <w:rsid w:val="00D71BD4"/>
    <w:rsid w:val="00D71FDD"/>
    <w:rsid w:val="00D769FD"/>
    <w:rsid w:val="00D82D28"/>
    <w:rsid w:val="00D833D8"/>
    <w:rsid w:val="00D91012"/>
    <w:rsid w:val="00D91C26"/>
    <w:rsid w:val="00D92836"/>
    <w:rsid w:val="00D9325A"/>
    <w:rsid w:val="00D93F68"/>
    <w:rsid w:val="00D95C3D"/>
    <w:rsid w:val="00D964DB"/>
    <w:rsid w:val="00DA5C66"/>
    <w:rsid w:val="00DC1DC7"/>
    <w:rsid w:val="00DC1E34"/>
    <w:rsid w:val="00DC5C32"/>
    <w:rsid w:val="00DD0F34"/>
    <w:rsid w:val="00DD155C"/>
    <w:rsid w:val="00DD2C7E"/>
    <w:rsid w:val="00DD508E"/>
    <w:rsid w:val="00DD50BD"/>
    <w:rsid w:val="00DD726A"/>
    <w:rsid w:val="00DE18A0"/>
    <w:rsid w:val="00DE44FA"/>
    <w:rsid w:val="00DF0C0B"/>
    <w:rsid w:val="00E004B4"/>
    <w:rsid w:val="00E00747"/>
    <w:rsid w:val="00E0152C"/>
    <w:rsid w:val="00E03838"/>
    <w:rsid w:val="00E053ED"/>
    <w:rsid w:val="00E0770C"/>
    <w:rsid w:val="00E11CAE"/>
    <w:rsid w:val="00E12C15"/>
    <w:rsid w:val="00E15E55"/>
    <w:rsid w:val="00E1620D"/>
    <w:rsid w:val="00E17E79"/>
    <w:rsid w:val="00E247C4"/>
    <w:rsid w:val="00E26FB8"/>
    <w:rsid w:val="00E32B57"/>
    <w:rsid w:val="00E3445D"/>
    <w:rsid w:val="00E47834"/>
    <w:rsid w:val="00E51A6E"/>
    <w:rsid w:val="00E52D41"/>
    <w:rsid w:val="00E57B9C"/>
    <w:rsid w:val="00E616C9"/>
    <w:rsid w:val="00E638EA"/>
    <w:rsid w:val="00E65709"/>
    <w:rsid w:val="00E66B05"/>
    <w:rsid w:val="00E67148"/>
    <w:rsid w:val="00E707C1"/>
    <w:rsid w:val="00E70838"/>
    <w:rsid w:val="00E77F1F"/>
    <w:rsid w:val="00E804B7"/>
    <w:rsid w:val="00E823EE"/>
    <w:rsid w:val="00E82CB3"/>
    <w:rsid w:val="00E82F86"/>
    <w:rsid w:val="00E864E1"/>
    <w:rsid w:val="00E90793"/>
    <w:rsid w:val="00E91057"/>
    <w:rsid w:val="00E93AA7"/>
    <w:rsid w:val="00E93BDB"/>
    <w:rsid w:val="00E93FD6"/>
    <w:rsid w:val="00E95F9C"/>
    <w:rsid w:val="00EA1FD4"/>
    <w:rsid w:val="00EA2511"/>
    <w:rsid w:val="00EA381F"/>
    <w:rsid w:val="00EA7DC1"/>
    <w:rsid w:val="00EB0373"/>
    <w:rsid w:val="00EB0F88"/>
    <w:rsid w:val="00EB3220"/>
    <w:rsid w:val="00EB3AEE"/>
    <w:rsid w:val="00EB57E7"/>
    <w:rsid w:val="00EC218A"/>
    <w:rsid w:val="00EC34AE"/>
    <w:rsid w:val="00EC439D"/>
    <w:rsid w:val="00EC6890"/>
    <w:rsid w:val="00EC7663"/>
    <w:rsid w:val="00ED5D5A"/>
    <w:rsid w:val="00ED6008"/>
    <w:rsid w:val="00ED6BCD"/>
    <w:rsid w:val="00ED7C33"/>
    <w:rsid w:val="00EE011B"/>
    <w:rsid w:val="00EE0B86"/>
    <w:rsid w:val="00EE1989"/>
    <w:rsid w:val="00EE49B8"/>
    <w:rsid w:val="00EF1E67"/>
    <w:rsid w:val="00EF6F9C"/>
    <w:rsid w:val="00F00766"/>
    <w:rsid w:val="00F00950"/>
    <w:rsid w:val="00F0193B"/>
    <w:rsid w:val="00F02010"/>
    <w:rsid w:val="00F03181"/>
    <w:rsid w:val="00F05EDC"/>
    <w:rsid w:val="00F064E5"/>
    <w:rsid w:val="00F13830"/>
    <w:rsid w:val="00F154CF"/>
    <w:rsid w:val="00F16DCB"/>
    <w:rsid w:val="00F17EDA"/>
    <w:rsid w:val="00F2246D"/>
    <w:rsid w:val="00F24744"/>
    <w:rsid w:val="00F26EA4"/>
    <w:rsid w:val="00F2753B"/>
    <w:rsid w:val="00F358EA"/>
    <w:rsid w:val="00F3651E"/>
    <w:rsid w:val="00F37FD5"/>
    <w:rsid w:val="00F4424E"/>
    <w:rsid w:val="00F4429C"/>
    <w:rsid w:val="00F47A9B"/>
    <w:rsid w:val="00F47E3E"/>
    <w:rsid w:val="00F51F72"/>
    <w:rsid w:val="00F52760"/>
    <w:rsid w:val="00F52C8D"/>
    <w:rsid w:val="00F533A1"/>
    <w:rsid w:val="00F546C3"/>
    <w:rsid w:val="00F5590A"/>
    <w:rsid w:val="00F56082"/>
    <w:rsid w:val="00F5700A"/>
    <w:rsid w:val="00F579C1"/>
    <w:rsid w:val="00F6018E"/>
    <w:rsid w:val="00F6058E"/>
    <w:rsid w:val="00F60A1A"/>
    <w:rsid w:val="00F60A46"/>
    <w:rsid w:val="00F6333C"/>
    <w:rsid w:val="00F67A9F"/>
    <w:rsid w:val="00F71DAE"/>
    <w:rsid w:val="00F73800"/>
    <w:rsid w:val="00F74E40"/>
    <w:rsid w:val="00F84F1A"/>
    <w:rsid w:val="00F855D8"/>
    <w:rsid w:val="00F86DB2"/>
    <w:rsid w:val="00F91B64"/>
    <w:rsid w:val="00F927F0"/>
    <w:rsid w:val="00F930C8"/>
    <w:rsid w:val="00F95AC2"/>
    <w:rsid w:val="00F972CD"/>
    <w:rsid w:val="00FA1E2D"/>
    <w:rsid w:val="00FA2870"/>
    <w:rsid w:val="00FA2F9B"/>
    <w:rsid w:val="00FA76F3"/>
    <w:rsid w:val="00FB1533"/>
    <w:rsid w:val="00FB3B33"/>
    <w:rsid w:val="00FB3D0F"/>
    <w:rsid w:val="00FC3050"/>
    <w:rsid w:val="00FC3886"/>
    <w:rsid w:val="00FC3DCC"/>
    <w:rsid w:val="00FC6194"/>
    <w:rsid w:val="00FC72E9"/>
    <w:rsid w:val="00FD6CB5"/>
    <w:rsid w:val="00FE1A2C"/>
    <w:rsid w:val="00FE4A92"/>
    <w:rsid w:val="00FE7A9C"/>
    <w:rsid w:val="00FE7BDD"/>
    <w:rsid w:val="00FF7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72313"/>
    <w:pPr>
      <w:spacing w:before="120" w:after="120"/>
      <w:jc w:val="both"/>
    </w:pPr>
    <w:rPr>
      <w:rFonts w:ascii="Times New Roman" w:hAnsi="Times New Roman"/>
      <w:sz w:val="24"/>
    </w:rPr>
  </w:style>
  <w:style w:type="paragraph" w:styleId="Heading1">
    <w:name w:val="heading 1"/>
    <w:basedOn w:val="Normal"/>
    <w:next w:val="Normal"/>
    <w:link w:val="Heading1Char1"/>
    <w:qFormat/>
    <w:rsid w:val="00F4424E"/>
    <w:pPr>
      <w:keepNext/>
      <w:keepLines/>
      <w:numPr>
        <w:numId w:val="42"/>
      </w:numPr>
      <w:spacing w:before="480" w:after="360"/>
      <w:ind w:left="360"/>
      <w:outlineLvl w:val="0"/>
    </w:pPr>
    <w:rPr>
      <w:rFonts w:asciiTheme="majorHAnsi" w:eastAsiaTheme="majorEastAsia" w:hAnsiTheme="majorHAnsi" w:cstheme="majorBidi"/>
      <w:b/>
      <w:bCs/>
      <w:caps/>
      <w:color w:val="365F91" w:themeColor="accent1" w:themeShade="BF"/>
      <w:sz w:val="28"/>
      <w:szCs w:val="28"/>
      <w:u w:val="single"/>
    </w:rPr>
  </w:style>
  <w:style w:type="paragraph" w:styleId="Heading2">
    <w:name w:val="heading 2"/>
    <w:basedOn w:val="Normal"/>
    <w:next w:val="Normal"/>
    <w:link w:val="Heading2Char1"/>
    <w:unhideWhenUsed/>
    <w:qFormat/>
    <w:rsid w:val="001011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101110"/>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B7677"/>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7677"/>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7677"/>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B767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B767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767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F25CD"/>
    <w:rPr>
      <w:sz w:val="16"/>
      <w:szCs w:val="16"/>
    </w:rPr>
  </w:style>
  <w:style w:type="paragraph" w:styleId="CommentText">
    <w:name w:val="annotation text"/>
    <w:basedOn w:val="Normal"/>
    <w:link w:val="CommentTextChar"/>
    <w:semiHidden/>
    <w:unhideWhenUsed/>
    <w:rsid w:val="001F25CD"/>
    <w:pPr>
      <w:spacing w:line="240" w:lineRule="auto"/>
    </w:pPr>
    <w:rPr>
      <w:sz w:val="20"/>
      <w:szCs w:val="20"/>
    </w:rPr>
  </w:style>
  <w:style w:type="character" w:customStyle="1" w:styleId="CommentTextChar">
    <w:name w:val="Comment Text Char"/>
    <w:basedOn w:val="DefaultParagraphFont"/>
    <w:link w:val="CommentText"/>
    <w:semiHidden/>
    <w:rsid w:val="001F25CD"/>
    <w:rPr>
      <w:sz w:val="20"/>
      <w:szCs w:val="20"/>
    </w:rPr>
  </w:style>
  <w:style w:type="paragraph" w:styleId="CommentSubject">
    <w:name w:val="annotation subject"/>
    <w:basedOn w:val="CommentText"/>
    <w:next w:val="CommentText"/>
    <w:link w:val="CommentSubjectChar"/>
    <w:semiHidden/>
    <w:unhideWhenUsed/>
    <w:rsid w:val="001F25CD"/>
    <w:rPr>
      <w:b/>
      <w:bCs/>
    </w:rPr>
  </w:style>
  <w:style w:type="character" w:customStyle="1" w:styleId="CommentSubjectChar">
    <w:name w:val="Comment Subject Char"/>
    <w:basedOn w:val="CommentTextChar"/>
    <w:link w:val="CommentSubject"/>
    <w:semiHidden/>
    <w:rsid w:val="001F25CD"/>
    <w:rPr>
      <w:b/>
      <w:bCs/>
      <w:sz w:val="20"/>
      <w:szCs w:val="20"/>
    </w:rPr>
  </w:style>
  <w:style w:type="paragraph" w:styleId="BalloonText">
    <w:name w:val="Balloon Text"/>
    <w:basedOn w:val="Normal"/>
    <w:link w:val="BalloonTextChar"/>
    <w:semiHidden/>
    <w:unhideWhenUsed/>
    <w:rsid w:val="001F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25CD"/>
    <w:rPr>
      <w:rFonts w:ascii="Tahoma" w:hAnsi="Tahoma" w:cs="Tahoma"/>
      <w:sz w:val="16"/>
      <w:szCs w:val="16"/>
    </w:rPr>
  </w:style>
  <w:style w:type="paragraph" w:customStyle="1" w:styleId="PIMIPATextChar">
    <w:name w:val="PIMIPA Text Char"/>
    <w:basedOn w:val="BodyText"/>
    <w:link w:val="PIMIPATextCharChar"/>
    <w:qFormat/>
    <w:rsid w:val="002A4E1E"/>
    <w:pPr>
      <w:spacing w:before="40" w:after="80" w:line="240" w:lineRule="auto"/>
      <w:ind w:left="1134"/>
    </w:pPr>
    <w:rPr>
      <w:rFonts w:ascii="Arial" w:eastAsia="Times New Roman" w:hAnsi="Arial" w:cs="Garamond"/>
      <w:spacing w:val="-5"/>
      <w:szCs w:val="24"/>
      <w:lang w:val="en-GB"/>
    </w:rPr>
  </w:style>
  <w:style w:type="character" w:customStyle="1" w:styleId="PIMIPATextCharChar">
    <w:name w:val="PIMIPA Text Char Char"/>
    <w:basedOn w:val="BodyTextChar"/>
    <w:link w:val="PIMIPATextChar"/>
    <w:rsid w:val="002A4E1E"/>
    <w:rPr>
      <w:rFonts w:ascii="Arial" w:eastAsia="Times New Roman" w:hAnsi="Arial" w:cs="Garamond"/>
      <w:spacing w:val="-5"/>
      <w:sz w:val="24"/>
      <w:szCs w:val="24"/>
      <w:lang w:val="en-GB"/>
    </w:rPr>
  </w:style>
  <w:style w:type="paragraph" w:styleId="BodyText">
    <w:name w:val="Body Text"/>
    <w:basedOn w:val="Normal"/>
    <w:link w:val="BodyTextChar"/>
    <w:unhideWhenUsed/>
    <w:rsid w:val="002A4E1E"/>
  </w:style>
  <w:style w:type="character" w:customStyle="1" w:styleId="BodyTextChar">
    <w:name w:val="Body Text Char"/>
    <w:basedOn w:val="DefaultParagraphFont"/>
    <w:link w:val="BodyText"/>
    <w:rsid w:val="002A4E1E"/>
  </w:style>
  <w:style w:type="character" w:styleId="Hyperlink">
    <w:name w:val="Hyperlink"/>
    <w:basedOn w:val="DefaultParagraphFont"/>
    <w:uiPriority w:val="99"/>
    <w:unhideWhenUsed/>
    <w:rsid w:val="00B835A8"/>
    <w:rPr>
      <w:color w:val="0000FF"/>
      <w:u w:val="single"/>
    </w:rPr>
  </w:style>
  <w:style w:type="paragraph" w:styleId="ListParagraph">
    <w:name w:val="List Paragraph"/>
    <w:basedOn w:val="Normal"/>
    <w:link w:val="ListParagraphChar"/>
    <w:qFormat/>
    <w:rsid w:val="009A5953"/>
    <w:pPr>
      <w:ind w:left="720"/>
      <w:contextualSpacing/>
    </w:pPr>
  </w:style>
  <w:style w:type="paragraph" w:styleId="IntenseQuote">
    <w:name w:val="Intense Quote"/>
    <w:basedOn w:val="Normal"/>
    <w:next w:val="Normal"/>
    <w:link w:val="IntenseQuoteChar"/>
    <w:qFormat/>
    <w:rsid w:val="000C73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C73AA"/>
    <w:rPr>
      <w:b/>
      <w:bCs/>
      <w:i/>
      <w:iCs/>
      <w:color w:val="4F81BD" w:themeColor="accent1"/>
    </w:rPr>
  </w:style>
  <w:style w:type="character" w:styleId="IntenseReference">
    <w:name w:val="Intense Reference"/>
    <w:basedOn w:val="DefaultParagraphFont"/>
    <w:qFormat/>
    <w:rsid w:val="000C73AA"/>
    <w:rPr>
      <w:b/>
      <w:bCs/>
      <w:smallCaps/>
      <w:color w:val="C0504D" w:themeColor="accent2"/>
      <w:spacing w:val="5"/>
      <w:u w:val="single"/>
    </w:rPr>
  </w:style>
  <w:style w:type="table" w:styleId="TableGrid">
    <w:name w:val="Table Grid"/>
    <w:basedOn w:val="TableNormal"/>
    <w:rsid w:val="00C23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75226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75226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SubtleReference">
    <w:name w:val="Subtle Reference"/>
    <w:basedOn w:val="DefaultParagraphFont"/>
    <w:qFormat/>
    <w:rsid w:val="00752269"/>
    <w:rPr>
      <w:smallCaps/>
      <w:color w:val="C0504D" w:themeColor="accent2"/>
      <w:u w:val="single"/>
    </w:rPr>
  </w:style>
  <w:style w:type="character" w:styleId="Emphasis">
    <w:name w:val="Emphasis"/>
    <w:basedOn w:val="DefaultParagraphFont"/>
    <w:qFormat/>
    <w:rsid w:val="00752269"/>
    <w:rPr>
      <w:i/>
      <w:iCs/>
    </w:rPr>
  </w:style>
  <w:style w:type="character" w:styleId="SubtleEmphasis">
    <w:name w:val="Subtle Emphasis"/>
    <w:basedOn w:val="DefaultParagraphFont"/>
    <w:qFormat/>
    <w:rsid w:val="00752269"/>
    <w:rPr>
      <w:i/>
      <w:iCs/>
      <w:color w:val="808080" w:themeColor="text1" w:themeTint="7F"/>
    </w:rPr>
  </w:style>
  <w:style w:type="paragraph" w:styleId="Subtitle">
    <w:name w:val="Subtitle"/>
    <w:basedOn w:val="Normal"/>
    <w:next w:val="Normal"/>
    <w:link w:val="SubtitleChar"/>
    <w:qFormat/>
    <w:rsid w:val="0075226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52269"/>
    <w:rPr>
      <w:rFonts w:asciiTheme="majorHAnsi" w:eastAsiaTheme="majorEastAsia" w:hAnsiTheme="majorHAnsi" w:cstheme="majorBidi"/>
      <w:i/>
      <w:iCs/>
      <w:color w:val="4F81BD" w:themeColor="accent1"/>
      <w:spacing w:val="15"/>
      <w:sz w:val="24"/>
      <w:szCs w:val="24"/>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
    <w:basedOn w:val="Normal"/>
    <w:link w:val="FootnoteTextChar"/>
    <w:unhideWhenUsed/>
    <w:rsid w:val="00553FFC"/>
    <w:rPr>
      <w:rFonts w:ascii="Calibri" w:eastAsia="Calibri" w:hAnsi="Calibri" w:cs="Times New Roman"/>
      <w:sz w:val="20"/>
      <w:szCs w:val="20"/>
      <w:lang w:val="sr-Latn-CS"/>
    </w:rPr>
  </w:style>
  <w:style w:type="character" w:customStyle="1" w:styleId="FootnoteTextChar">
    <w:name w:val="Footnote Text Char"/>
    <w:aliases w:val="Footnote Text Char Char Char Char1,Footnote Text Char Char Char2,Footnote Text Char1 Char1,single space Char Char1,ft Char Char1,single space Char2,ft Char2,Footnote Text Char Char Char Char Char Char Char Char Char,fn Char1"/>
    <w:basedOn w:val="DefaultParagraphFont"/>
    <w:link w:val="FootnoteText"/>
    <w:uiPriority w:val="99"/>
    <w:semiHidden/>
    <w:rsid w:val="00553FFC"/>
    <w:rPr>
      <w:rFonts w:ascii="Calibri" w:eastAsia="Calibri" w:hAnsi="Calibri" w:cs="Times New Roman"/>
      <w:sz w:val="20"/>
      <w:szCs w:val="20"/>
      <w:lang w:val="sr-Latn-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basedOn w:val="DefaultParagraphFont"/>
    <w:unhideWhenUsed/>
    <w:rsid w:val="00553FFC"/>
    <w:rPr>
      <w:vertAlign w:val="superscript"/>
    </w:rPr>
  </w:style>
  <w:style w:type="paragraph" w:customStyle="1" w:styleId="Default">
    <w:name w:val="Default"/>
    <w:rsid w:val="00553FFC"/>
    <w:pPr>
      <w:autoSpaceDE w:val="0"/>
      <w:autoSpaceDN w:val="0"/>
      <w:adjustRightInd w:val="0"/>
      <w:spacing w:after="0" w:line="240" w:lineRule="auto"/>
    </w:pPr>
    <w:rPr>
      <w:rFonts w:ascii="Arial" w:eastAsia="Calibri" w:hAnsi="Arial" w:cs="Arial"/>
      <w:color w:val="000000"/>
      <w:sz w:val="24"/>
      <w:szCs w:val="24"/>
      <w:lang w:val="sr-Latn-CS" w:eastAsia="sr-Latn-CS"/>
    </w:rPr>
  </w:style>
  <w:style w:type="paragraph" w:styleId="Header">
    <w:name w:val="header"/>
    <w:basedOn w:val="Normal"/>
    <w:link w:val="HeaderChar"/>
    <w:unhideWhenUsed/>
    <w:rsid w:val="00C103EB"/>
    <w:pPr>
      <w:tabs>
        <w:tab w:val="center" w:pos="4680"/>
        <w:tab w:val="right" w:pos="9360"/>
      </w:tabs>
      <w:spacing w:after="0" w:line="240" w:lineRule="auto"/>
    </w:pPr>
  </w:style>
  <w:style w:type="character" w:customStyle="1" w:styleId="HeaderChar">
    <w:name w:val="Header Char"/>
    <w:basedOn w:val="DefaultParagraphFont"/>
    <w:link w:val="Header"/>
    <w:rsid w:val="00C103EB"/>
  </w:style>
  <w:style w:type="paragraph" w:styleId="Footer">
    <w:name w:val="footer"/>
    <w:basedOn w:val="Normal"/>
    <w:link w:val="FooterChar"/>
    <w:unhideWhenUsed/>
    <w:rsid w:val="00C103EB"/>
    <w:pPr>
      <w:tabs>
        <w:tab w:val="center" w:pos="4680"/>
        <w:tab w:val="right" w:pos="9360"/>
      </w:tabs>
      <w:spacing w:after="0" w:line="240" w:lineRule="auto"/>
    </w:pPr>
  </w:style>
  <w:style w:type="character" w:customStyle="1" w:styleId="FooterChar">
    <w:name w:val="Footer Char"/>
    <w:basedOn w:val="DefaultParagraphFont"/>
    <w:link w:val="Footer"/>
    <w:rsid w:val="00C103EB"/>
  </w:style>
  <w:style w:type="character" w:customStyle="1" w:styleId="Heading1Char">
    <w:name w:val="Heading 1 Char"/>
    <w:basedOn w:val="DefaultParagraphFont"/>
    <w:rsid w:val="00D01FD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24744"/>
    <w:pPr>
      <w:spacing w:after="100"/>
    </w:pPr>
  </w:style>
  <w:style w:type="character" w:customStyle="1" w:styleId="Heading2Char">
    <w:name w:val="Heading 2 Char"/>
    <w:basedOn w:val="DefaultParagraphFont"/>
    <w:rsid w:val="00E162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E1620D"/>
    <w:rPr>
      <w:rFonts w:asciiTheme="majorHAnsi" w:eastAsiaTheme="majorEastAsia" w:hAnsiTheme="majorHAnsi" w:cstheme="majorBidi"/>
      <w:b/>
      <w:bCs/>
      <w:sz w:val="24"/>
    </w:rPr>
  </w:style>
  <w:style w:type="paragraph" w:customStyle="1" w:styleId="Prvi">
    <w:name w:val="Prvi"/>
    <w:basedOn w:val="IntenseQuote"/>
    <w:link w:val="PrviChar"/>
    <w:qFormat/>
    <w:rsid w:val="00F24744"/>
    <w:pPr>
      <w:ind w:left="0"/>
    </w:pPr>
    <w:rPr>
      <w:sz w:val="36"/>
      <w:lang w:val="en-GB"/>
    </w:rPr>
  </w:style>
  <w:style w:type="paragraph" w:customStyle="1" w:styleId="treci">
    <w:name w:val="treci"/>
    <w:basedOn w:val="Subtitle"/>
    <w:link w:val="treciChar"/>
    <w:qFormat/>
    <w:rsid w:val="00EF6F9C"/>
  </w:style>
  <w:style w:type="character" w:customStyle="1" w:styleId="PrviChar">
    <w:name w:val="Prvi Char"/>
    <w:basedOn w:val="IntenseQuoteChar"/>
    <w:link w:val="Prvi"/>
    <w:rsid w:val="00F24744"/>
    <w:rPr>
      <w:b/>
      <w:bCs/>
      <w:i/>
      <w:iCs/>
      <w:color w:val="4F81BD" w:themeColor="accent1"/>
      <w:sz w:val="36"/>
      <w:lang w:val="en-GB"/>
    </w:rPr>
  </w:style>
  <w:style w:type="paragraph" w:customStyle="1" w:styleId="drugi">
    <w:name w:val="drugi"/>
    <w:basedOn w:val="Normal"/>
    <w:link w:val="drugiChar"/>
    <w:rsid w:val="00EF6F9C"/>
    <w:rPr>
      <w:sz w:val="28"/>
      <w:lang w:val="en-GB"/>
    </w:rPr>
  </w:style>
  <w:style w:type="character" w:customStyle="1" w:styleId="treciChar">
    <w:name w:val="treci Char"/>
    <w:basedOn w:val="SubtitleChar"/>
    <w:link w:val="treci"/>
    <w:rsid w:val="00EF6F9C"/>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rsid w:val="00EF6F9C"/>
    <w:pPr>
      <w:spacing w:after="100"/>
      <w:ind w:left="220"/>
    </w:pPr>
  </w:style>
  <w:style w:type="character" w:customStyle="1" w:styleId="drugiChar">
    <w:name w:val="drugi Char"/>
    <w:basedOn w:val="DefaultParagraphFont"/>
    <w:link w:val="drugi"/>
    <w:rsid w:val="00EF6F9C"/>
    <w:rPr>
      <w:sz w:val="28"/>
      <w:lang w:val="en-GB"/>
    </w:rPr>
  </w:style>
  <w:style w:type="paragraph" w:styleId="TOC3">
    <w:name w:val="toc 3"/>
    <w:basedOn w:val="Normal"/>
    <w:next w:val="Normal"/>
    <w:autoRedefine/>
    <w:uiPriority w:val="39"/>
    <w:unhideWhenUsed/>
    <w:rsid w:val="00EF6F9C"/>
    <w:pPr>
      <w:spacing w:after="100"/>
      <w:ind w:left="440"/>
    </w:pPr>
  </w:style>
  <w:style w:type="paragraph" w:customStyle="1" w:styleId="drugi1">
    <w:name w:val="drugi1"/>
    <w:basedOn w:val="drugi"/>
    <w:link w:val="drugi1Char"/>
    <w:qFormat/>
    <w:rsid w:val="00F6058E"/>
    <w:rPr>
      <w:color w:val="C00000"/>
    </w:rPr>
  </w:style>
  <w:style w:type="paragraph" w:customStyle="1" w:styleId="Bodis2">
    <w:name w:val="Bodis 2"/>
    <w:basedOn w:val="Normal"/>
    <w:rsid w:val="005F1A49"/>
    <w:pPr>
      <w:spacing w:line="240" w:lineRule="auto"/>
      <w:ind w:left="1134"/>
    </w:pPr>
    <w:rPr>
      <w:rFonts w:eastAsia="Times New Roman" w:cs="Times New Roman"/>
      <w:szCs w:val="20"/>
      <w:lang w:val="en-GB" w:eastAsia="lt-LT"/>
    </w:rPr>
  </w:style>
  <w:style w:type="character" w:customStyle="1" w:styleId="drugi1Char">
    <w:name w:val="drugi1 Char"/>
    <w:basedOn w:val="drugiChar"/>
    <w:link w:val="drugi1"/>
    <w:rsid w:val="00F6058E"/>
    <w:rPr>
      <w:color w:val="C00000"/>
      <w:sz w:val="28"/>
      <w:lang w:val="en-GB"/>
    </w:rPr>
  </w:style>
  <w:style w:type="table" w:styleId="MediumShading1-Accent5">
    <w:name w:val="Medium Shading 1 Accent 5"/>
    <w:basedOn w:val="TableNormal"/>
    <w:uiPriority w:val="63"/>
    <w:rsid w:val="008D03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D03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8D03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8D039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A798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Heading">
    <w:name w:val="TOC Heading"/>
    <w:basedOn w:val="Normal"/>
    <w:next w:val="Normal"/>
    <w:unhideWhenUsed/>
    <w:qFormat/>
    <w:rsid w:val="00A93EAC"/>
    <w:rPr>
      <w:lang w:eastAsia="ja-JP"/>
    </w:rPr>
  </w:style>
  <w:style w:type="character" w:customStyle="1" w:styleId="Heading4Char">
    <w:name w:val="Heading 4 Char"/>
    <w:basedOn w:val="DefaultParagraphFont"/>
    <w:link w:val="Heading4"/>
    <w:semiHidden/>
    <w:rsid w:val="001B767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1B767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1B767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1B767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1B76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7677"/>
    <w:rPr>
      <w:rFonts w:asciiTheme="majorHAnsi" w:eastAsiaTheme="majorEastAsia" w:hAnsiTheme="majorHAnsi" w:cstheme="majorBidi"/>
      <w:i/>
      <w:iCs/>
      <w:color w:val="404040" w:themeColor="text1" w:themeTint="BF"/>
      <w:sz w:val="20"/>
      <w:szCs w:val="20"/>
    </w:rPr>
  </w:style>
  <w:style w:type="character" w:customStyle="1" w:styleId="hps">
    <w:name w:val="hps"/>
    <w:basedOn w:val="DefaultParagraphFont"/>
    <w:rsid w:val="003777DC"/>
  </w:style>
  <w:style w:type="character" w:customStyle="1" w:styleId="ListParagraphChar">
    <w:name w:val="List Paragraph Char"/>
    <w:basedOn w:val="DefaultParagraphFont"/>
    <w:link w:val="ListParagraph"/>
    <w:rsid w:val="009A5953"/>
    <w:rPr>
      <w:rFonts w:ascii="Times New Roman" w:hAnsi="Times New Roman"/>
      <w:sz w:val="24"/>
    </w:rPr>
  </w:style>
  <w:style w:type="paragraph" w:customStyle="1" w:styleId="druginivo">
    <w:name w:val="drugi nivo"/>
    <w:basedOn w:val="Normal"/>
    <w:link w:val="druginivoChar"/>
    <w:qFormat/>
    <w:rsid w:val="00C96162"/>
    <w:rPr>
      <w:rFonts w:eastAsia="Times New Roman" w:cstheme="minorHAnsi"/>
      <w:b/>
      <w:color w:val="7F7F7F" w:themeColor="text1" w:themeTint="80"/>
      <w:szCs w:val="24"/>
      <w:lang w:eastAsia="en-GB"/>
    </w:rPr>
  </w:style>
  <w:style w:type="paragraph" w:customStyle="1" w:styleId="2">
    <w:name w:val="2."/>
    <w:basedOn w:val="Normal"/>
    <w:link w:val="2Char"/>
    <w:qFormat/>
    <w:rsid w:val="006A3910"/>
    <w:pPr>
      <w:spacing w:after="100"/>
    </w:pPr>
    <w:rPr>
      <w:i/>
    </w:rPr>
  </w:style>
  <w:style w:type="character" w:customStyle="1" w:styleId="druginivoChar">
    <w:name w:val="drugi nivo Char"/>
    <w:basedOn w:val="DefaultParagraphFont"/>
    <w:link w:val="druginivo"/>
    <w:rsid w:val="00C96162"/>
    <w:rPr>
      <w:rFonts w:eastAsia="Times New Roman" w:cstheme="minorHAnsi"/>
      <w:b/>
      <w:color w:val="7F7F7F" w:themeColor="text1" w:themeTint="80"/>
      <w:sz w:val="24"/>
      <w:szCs w:val="24"/>
      <w:lang w:eastAsia="en-GB"/>
    </w:rPr>
  </w:style>
  <w:style w:type="paragraph" w:customStyle="1" w:styleId="a3520normal">
    <w:name w:val="a___35__20_normal"/>
    <w:basedOn w:val="Normal"/>
    <w:rsid w:val="00270A48"/>
    <w:pPr>
      <w:spacing w:line="240" w:lineRule="auto"/>
    </w:pPr>
    <w:rPr>
      <w:rFonts w:eastAsia="Times New Roman" w:cs="Times New Roman"/>
      <w:szCs w:val="24"/>
    </w:rPr>
  </w:style>
  <w:style w:type="character" w:customStyle="1" w:styleId="2Char">
    <w:name w:val="2. Char"/>
    <w:basedOn w:val="Heading2Char"/>
    <w:link w:val="2"/>
    <w:rsid w:val="006A3910"/>
    <w:rPr>
      <w:rFonts w:asciiTheme="majorHAnsi" w:eastAsiaTheme="majorEastAsia" w:hAnsiTheme="majorHAnsi" w:cstheme="majorBidi"/>
      <w:b/>
      <w:bCs/>
      <w:i/>
      <w:color w:val="4F81BD" w:themeColor="accent1"/>
      <w:sz w:val="24"/>
      <w:szCs w:val="26"/>
    </w:rPr>
  </w:style>
  <w:style w:type="table" w:customStyle="1" w:styleId="LightList-Accent11">
    <w:name w:val="Light List - Accent 11"/>
    <w:basedOn w:val="TableNormal"/>
    <w:uiPriority w:val="61"/>
    <w:rsid w:val="00F05E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A36C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nhideWhenUsed/>
    <w:rsid w:val="00E51A6E"/>
    <w:pPr>
      <w:spacing w:before="100" w:beforeAutospacing="1" w:after="115" w:line="240" w:lineRule="auto"/>
    </w:pPr>
    <w:rPr>
      <w:rFonts w:eastAsia="Times New Roman" w:cs="Times New Roman"/>
      <w:szCs w:val="24"/>
    </w:rPr>
  </w:style>
  <w:style w:type="table" w:customStyle="1" w:styleId="LightShading-Accent51">
    <w:name w:val="Light Shading - Accent 51"/>
    <w:basedOn w:val="TableNormal"/>
    <w:next w:val="LightShading-Accent5"/>
    <w:rsid w:val="00E51A6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A60D0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
    <w:name w:val="st"/>
    <w:basedOn w:val="DefaultParagraphFont"/>
    <w:rsid w:val="00C61538"/>
  </w:style>
  <w:style w:type="character" w:styleId="FollowedHyperlink">
    <w:name w:val="FollowedHyperlink"/>
    <w:basedOn w:val="DefaultParagraphFont"/>
    <w:semiHidden/>
    <w:unhideWhenUsed/>
    <w:rsid w:val="00F52C8D"/>
    <w:rPr>
      <w:color w:val="800080" w:themeColor="followedHyperlink"/>
      <w:u w:val="single"/>
    </w:rPr>
  </w:style>
  <w:style w:type="character" w:customStyle="1" w:styleId="shorttext">
    <w:name w:val="short_text"/>
    <w:basedOn w:val="DefaultParagraphFont"/>
    <w:rsid w:val="005D483B"/>
  </w:style>
  <w:style w:type="character" w:customStyle="1" w:styleId="Date1">
    <w:name w:val="Date1"/>
    <w:basedOn w:val="DefaultParagraphFont"/>
    <w:rsid w:val="00FE4A92"/>
  </w:style>
  <w:style w:type="character" w:styleId="Strong">
    <w:name w:val="Strong"/>
    <w:basedOn w:val="DefaultParagraphFont"/>
    <w:qFormat/>
    <w:rsid w:val="00F95AC2"/>
    <w:rPr>
      <w:b/>
      <w:bCs/>
    </w:rPr>
  </w:style>
  <w:style w:type="table" w:customStyle="1" w:styleId="LightShading-Accent52">
    <w:name w:val="Light Shading - Accent 52"/>
    <w:rsid w:val="009A5953"/>
    <w:pPr>
      <w:spacing w:after="0" w:line="240" w:lineRule="auto"/>
    </w:pPr>
    <w:rPr>
      <w:rFonts w:ascii="Calibri" w:eastAsia="Times New Roman" w:hAnsi="Calibri" w:cs="Times New Roman"/>
      <w:color w:val="31849B"/>
      <w:sz w:val="20"/>
      <w:szCs w:val="20"/>
      <w:lang w:val="sr-Cyrl-RS" w:eastAsia="sr-Cyrl-R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Accent21">
    <w:name w:val="Light Shading - Accent 21"/>
    <w:rsid w:val="009A5953"/>
    <w:pPr>
      <w:spacing w:after="0" w:line="240" w:lineRule="auto"/>
    </w:pPr>
    <w:rPr>
      <w:rFonts w:ascii="Calibri" w:eastAsia="Times New Roman" w:hAnsi="Calibri" w:cs="Times New Roman"/>
      <w:color w:val="943634"/>
      <w:sz w:val="20"/>
      <w:szCs w:val="20"/>
      <w:lang w:val="sr-Cyrl-RS" w:eastAsia="sr-Cyrl-R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Shading1-Accent51">
    <w:name w:val="Medium Shading 1 - Accent 5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1-Accent110">
    <w:name w:val="Medium Shading 1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Grid-Accent110">
    <w:name w:val="Light Grid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Lucida Bright" w:eastAsia="Times New Roman" w:hAnsi="Lucida Br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Lucida Bright" w:eastAsia="Times New Roman" w:hAnsi="Lucida Br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Bright" w:eastAsia="Times New Roman" w:hAnsi="Lucida Bright" w:cs="Times New Roman"/>
        <w:b/>
        <w:bCs/>
      </w:rPr>
    </w:tblStylePr>
    <w:tblStylePr w:type="lastCol">
      <w:rPr>
        <w:rFonts w:ascii="Lucida Bright" w:eastAsia="Times New Roman" w:hAnsi="Lucida Br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0">
    <w:name w:val="Light List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0">
    <w:name w:val="Light Shading - Accent 11"/>
    <w:rsid w:val="009A5953"/>
    <w:pPr>
      <w:spacing w:after="0" w:line="240" w:lineRule="auto"/>
    </w:pPr>
    <w:rPr>
      <w:rFonts w:ascii="Calibri" w:eastAsia="Times New Roman" w:hAnsi="Calibri" w:cs="Times New Roman"/>
      <w:color w:val="365F91"/>
      <w:sz w:val="20"/>
      <w:szCs w:val="20"/>
      <w:lang w:val="sr-Cyrl-RS" w:eastAsia="sr-Cyrl-R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Accent41">
    <w:name w:val="Light List - Accent 4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styleId="IntenseEmphasis">
    <w:name w:val="Intense Emphasis"/>
    <w:basedOn w:val="DefaultParagraphFont"/>
    <w:qFormat/>
    <w:rsid w:val="009A5953"/>
    <w:rPr>
      <w:b/>
      <w:bCs/>
      <w:i/>
      <w:iCs/>
      <w:color w:val="4F81BD" w:themeColor="accent1"/>
    </w:rPr>
  </w:style>
  <w:style w:type="paragraph" w:styleId="NoSpacing">
    <w:name w:val="No Spacing"/>
    <w:qFormat/>
    <w:rsid w:val="009A5953"/>
    <w:pPr>
      <w:spacing w:after="0" w:line="240" w:lineRule="auto"/>
      <w:jc w:val="both"/>
    </w:pPr>
    <w:rPr>
      <w:rFonts w:ascii="Times New Roman" w:hAnsi="Times New Roman"/>
      <w:sz w:val="24"/>
    </w:rPr>
  </w:style>
  <w:style w:type="paragraph" w:styleId="Title">
    <w:name w:val="Title"/>
    <w:basedOn w:val="Normal"/>
    <w:next w:val="Normal"/>
    <w:link w:val="TitleChar"/>
    <w:qFormat/>
    <w:rsid w:val="009A5953"/>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A5953"/>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basedOn w:val="DefaultParagraphFont"/>
    <w:link w:val="Heading1"/>
    <w:rsid w:val="00F4424E"/>
    <w:rPr>
      <w:rFonts w:asciiTheme="majorHAnsi" w:eastAsiaTheme="majorEastAsia" w:hAnsiTheme="majorHAnsi" w:cstheme="majorBidi"/>
      <w:b/>
      <w:bCs/>
      <w:caps/>
      <w:color w:val="365F91" w:themeColor="accent1" w:themeShade="BF"/>
      <w:sz w:val="28"/>
      <w:szCs w:val="28"/>
      <w:u w:val="single"/>
    </w:rPr>
  </w:style>
  <w:style w:type="character" w:customStyle="1" w:styleId="Heading2Char1">
    <w:name w:val="Heading 2 Char1"/>
    <w:basedOn w:val="DefaultParagraphFont"/>
    <w:link w:val="Heading2"/>
    <w:rsid w:val="0010111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rsid w:val="00101110"/>
    <w:rPr>
      <w:rFonts w:asciiTheme="majorHAnsi" w:eastAsiaTheme="majorEastAsia" w:hAnsiTheme="majorHAnsi" w:cstheme="majorBidi"/>
      <w:b/>
      <w:bCs/>
      <w:sz w:val="24"/>
    </w:rPr>
  </w:style>
  <w:style w:type="table" w:customStyle="1" w:styleId="LightShading-Accent53">
    <w:name w:val="Light Shading - Accent 53"/>
    <w:rsid w:val="0046476F"/>
    <w:pPr>
      <w:spacing w:after="0" w:line="240" w:lineRule="auto"/>
    </w:pPr>
    <w:rPr>
      <w:rFonts w:ascii="Calibri" w:eastAsia="Times New Roman" w:hAnsi="Calibri" w:cs="Times New Roman"/>
      <w:color w:val="31849B"/>
      <w:sz w:val="20"/>
      <w:szCs w:val="20"/>
      <w:lang w:val="sr-Cyrl-RS" w:eastAsia="sr-Cyrl-R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Accent22">
    <w:name w:val="Light Shading - Accent 22"/>
    <w:rsid w:val="0046476F"/>
    <w:pPr>
      <w:spacing w:after="0" w:line="240" w:lineRule="auto"/>
    </w:pPr>
    <w:rPr>
      <w:rFonts w:ascii="Calibri" w:eastAsia="Times New Roman" w:hAnsi="Calibri" w:cs="Times New Roman"/>
      <w:color w:val="943634"/>
      <w:sz w:val="20"/>
      <w:szCs w:val="20"/>
      <w:lang w:val="sr-Cyrl-RS" w:eastAsia="sr-Cyrl-R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Shading1-Accent52">
    <w:name w:val="Medium Shading 1 - Accent 5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1-Accent12">
    <w:name w:val="Medium Shading 1 - Accent 1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Grid-Accent12">
    <w:name w:val="Light Grid - Accent 1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Lucida Bright" w:eastAsia="Times New Roman" w:hAnsi="Lucida Br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Lucida Bright" w:eastAsia="Times New Roman" w:hAnsi="Lucida Br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Bright" w:eastAsia="Times New Roman" w:hAnsi="Lucida Bright" w:cs="Times New Roman"/>
        <w:b/>
        <w:bCs/>
      </w:rPr>
    </w:tblStylePr>
    <w:tblStylePr w:type="lastCol">
      <w:rPr>
        <w:rFonts w:ascii="Lucida Bright" w:eastAsia="Times New Roman" w:hAnsi="Lucida Br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
    <w:name w:val="Light List - Accent 5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
    <w:name w:val="Light List - Accent 1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2">
    <w:name w:val="Light Shading - Accent 12"/>
    <w:rsid w:val="0046476F"/>
    <w:pPr>
      <w:spacing w:after="0" w:line="240" w:lineRule="auto"/>
    </w:pPr>
    <w:rPr>
      <w:rFonts w:ascii="Calibri" w:eastAsia="Times New Roman" w:hAnsi="Calibri" w:cs="Times New Roman"/>
      <w:color w:val="365F91"/>
      <w:sz w:val="20"/>
      <w:szCs w:val="20"/>
      <w:lang w:val="sr-Cyrl-RS" w:eastAsia="sr-Cyrl-R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Accent42">
    <w:name w:val="Light List - Accent 4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FootnoteTextChar2">
    <w:name w:val="Footnote Text Char2"/>
    <w:aliases w:val="Footnote Text Char Char Char Char,Footnote Text Char Char Char1,Footnote Text Char1 Char,single space Char Char,ft Char Char,Footnote Text Char Char1,single space Char1,ft Char1,Footnote Text Char Char Char Char1 Char Char,fn Char"/>
    <w:locked/>
    <w:rsid w:val="00C277DA"/>
    <w:rPr>
      <w:sz w:val="18"/>
      <w:lang w:val="en-US" w:eastAsia="en-US" w:bidi="ar-SA"/>
    </w:rPr>
  </w:style>
  <w:style w:type="paragraph" w:customStyle="1" w:styleId="Numerisanipasus">
    <w:name w:val="Numerisani pasus"/>
    <w:basedOn w:val="Normal"/>
    <w:link w:val="NumerisanipasusChar"/>
    <w:autoRedefine/>
    <w:qFormat/>
    <w:rsid w:val="00C277DA"/>
    <w:pPr>
      <w:spacing w:line="240" w:lineRule="auto"/>
      <w:ind w:left="720" w:hanging="720"/>
    </w:pPr>
    <w:rPr>
      <w:rFonts w:eastAsia="Times New Roman" w:cs="Times New Roman"/>
      <w:bCs/>
      <w:iCs/>
      <w:noProof/>
      <w:color w:val="000000"/>
      <w:sz w:val="22"/>
      <w:lang w:val="ru-RU"/>
    </w:rPr>
  </w:style>
  <w:style w:type="character" w:customStyle="1" w:styleId="NumerisanipasusChar">
    <w:name w:val="Numerisani pasus Char"/>
    <w:link w:val="Numerisanipasus"/>
    <w:rsid w:val="00C277DA"/>
    <w:rPr>
      <w:rFonts w:ascii="Times New Roman" w:eastAsia="Times New Roman" w:hAnsi="Times New Roman" w:cs="Times New Roman"/>
      <w:bCs/>
      <w:iCs/>
      <w:noProof/>
      <w:color w:val="000000"/>
      <w:lang w:val="ru-RU"/>
    </w:rPr>
  </w:style>
  <w:style w:type="character" w:customStyle="1" w:styleId="rvts3">
    <w:name w:val="rvts3"/>
    <w:basedOn w:val="DefaultParagraphFont"/>
    <w:rsid w:val="007B37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72313"/>
    <w:pPr>
      <w:spacing w:before="120" w:after="120"/>
      <w:jc w:val="both"/>
    </w:pPr>
    <w:rPr>
      <w:rFonts w:ascii="Times New Roman" w:hAnsi="Times New Roman"/>
      <w:sz w:val="24"/>
    </w:rPr>
  </w:style>
  <w:style w:type="paragraph" w:styleId="Heading1">
    <w:name w:val="heading 1"/>
    <w:basedOn w:val="Normal"/>
    <w:next w:val="Normal"/>
    <w:link w:val="Heading1Char1"/>
    <w:qFormat/>
    <w:rsid w:val="00F4424E"/>
    <w:pPr>
      <w:keepNext/>
      <w:keepLines/>
      <w:numPr>
        <w:numId w:val="42"/>
      </w:numPr>
      <w:spacing w:before="480" w:after="360"/>
      <w:ind w:left="360"/>
      <w:outlineLvl w:val="0"/>
    </w:pPr>
    <w:rPr>
      <w:rFonts w:asciiTheme="majorHAnsi" w:eastAsiaTheme="majorEastAsia" w:hAnsiTheme="majorHAnsi" w:cstheme="majorBidi"/>
      <w:b/>
      <w:bCs/>
      <w:caps/>
      <w:color w:val="365F91" w:themeColor="accent1" w:themeShade="BF"/>
      <w:sz w:val="28"/>
      <w:szCs w:val="28"/>
      <w:u w:val="single"/>
    </w:rPr>
  </w:style>
  <w:style w:type="paragraph" w:styleId="Heading2">
    <w:name w:val="heading 2"/>
    <w:basedOn w:val="Normal"/>
    <w:next w:val="Normal"/>
    <w:link w:val="Heading2Char1"/>
    <w:unhideWhenUsed/>
    <w:qFormat/>
    <w:rsid w:val="001011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nhideWhenUsed/>
    <w:qFormat/>
    <w:rsid w:val="00101110"/>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1B7677"/>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7677"/>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7677"/>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1B767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1B767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767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1F25CD"/>
    <w:rPr>
      <w:sz w:val="16"/>
      <w:szCs w:val="16"/>
    </w:rPr>
  </w:style>
  <w:style w:type="paragraph" w:styleId="CommentText">
    <w:name w:val="annotation text"/>
    <w:basedOn w:val="Normal"/>
    <w:link w:val="CommentTextChar"/>
    <w:semiHidden/>
    <w:unhideWhenUsed/>
    <w:rsid w:val="001F25CD"/>
    <w:pPr>
      <w:spacing w:line="240" w:lineRule="auto"/>
    </w:pPr>
    <w:rPr>
      <w:sz w:val="20"/>
      <w:szCs w:val="20"/>
    </w:rPr>
  </w:style>
  <w:style w:type="character" w:customStyle="1" w:styleId="CommentTextChar">
    <w:name w:val="Comment Text Char"/>
    <w:basedOn w:val="DefaultParagraphFont"/>
    <w:link w:val="CommentText"/>
    <w:semiHidden/>
    <w:rsid w:val="001F25CD"/>
    <w:rPr>
      <w:sz w:val="20"/>
      <w:szCs w:val="20"/>
    </w:rPr>
  </w:style>
  <w:style w:type="paragraph" w:styleId="CommentSubject">
    <w:name w:val="annotation subject"/>
    <w:basedOn w:val="CommentText"/>
    <w:next w:val="CommentText"/>
    <w:link w:val="CommentSubjectChar"/>
    <w:semiHidden/>
    <w:unhideWhenUsed/>
    <w:rsid w:val="001F25CD"/>
    <w:rPr>
      <w:b/>
      <w:bCs/>
    </w:rPr>
  </w:style>
  <w:style w:type="character" w:customStyle="1" w:styleId="CommentSubjectChar">
    <w:name w:val="Comment Subject Char"/>
    <w:basedOn w:val="CommentTextChar"/>
    <w:link w:val="CommentSubject"/>
    <w:semiHidden/>
    <w:rsid w:val="001F25CD"/>
    <w:rPr>
      <w:b/>
      <w:bCs/>
      <w:sz w:val="20"/>
      <w:szCs w:val="20"/>
    </w:rPr>
  </w:style>
  <w:style w:type="paragraph" w:styleId="BalloonText">
    <w:name w:val="Balloon Text"/>
    <w:basedOn w:val="Normal"/>
    <w:link w:val="BalloonTextChar"/>
    <w:semiHidden/>
    <w:unhideWhenUsed/>
    <w:rsid w:val="001F2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F25CD"/>
    <w:rPr>
      <w:rFonts w:ascii="Tahoma" w:hAnsi="Tahoma" w:cs="Tahoma"/>
      <w:sz w:val="16"/>
      <w:szCs w:val="16"/>
    </w:rPr>
  </w:style>
  <w:style w:type="paragraph" w:customStyle="1" w:styleId="PIMIPATextChar">
    <w:name w:val="PIMIPA Text Char"/>
    <w:basedOn w:val="BodyText"/>
    <w:link w:val="PIMIPATextCharChar"/>
    <w:qFormat/>
    <w:rsid w:val="002A4E1E"/>
    <w:pPr>
      <w:spacing w:before="40" w:after="80" w:line="240" w:lineRule="auto"/>
      <w:ind w:left="1134"/>
    </w:pPr>
    <w:rPr>
      <w:rFonts w:ascii="Arial" w:eastAsia="Times New Roman" w:hAnsi="Arial" w:cs="Garamond"/>
      <w:spacing w:val="-5"/>
      <w:szCs w:val="24"/>
      <w:lang w:val="en-GB"/>
    </w:rPr>
  </w:style>
  <w:style w:type="character" w:customStyle="1" w:styleId="PIMIPATextCharChar">
    <w:name w:val="PIMIPA Text Char Char"/>
    <w:basedOn w:val="BodyTextChar"/>
    <w:link w:val="PIMIPATextChar"/>
    <w:rsid w:val="002A4E1E"/>
    <w:rPr>
      <w:rFonts w:ascii="Arial" w:eastAsia="Times New Roman" w:hAnsi="Arial" w:cs="Garamond"/>
      <w:spacing w:val="-5"/>
      <w:sz w:val="24"/>
      <w:szCs w:val="24"/>
      <w:lang w:val="en-GB"/>
    </w:rPr>
  </w:style>
  <w:style w:type="paragraph" w:styleId="BodyText">
    <w:name w:val="Body Text"/>
    <w:basedOn w:val="Normal"/>
    <w:link w:val="BodyTextChar"/>
    <w:unhideWhenUsed/>
    <w:rsid w:val="002A4E1E"/>
  </w:style>
  <w:style w:type="character" w:customStyle="1" w:styleId="BodyTextChar">
    <w:name w:val="Body Text Char"/>
    <w:basedOn w:val="DefaultParagraphFont"/>
    <w:link w:val="BodyText"/>
    <w:rsid w:val="002A4E1E"/>
  </w:style>
  <w:style w:type="character" w:styleId="Hyperlink">
    <w:name w:val="Hyperlink"/>
    <w:basedOn w:val="DefaultParagraphFont"/>
    <w:uiPriority w:val="99"/>
    <w:unhideWhenUsed/>
    <w:rsid w:val="00B835A8"/>
    <w:rPr>
      <w:color w:val="0000FF"/>
      <w:u w:val="single"/>
    </w:rPr>
  </w:style>
  <w:style w:type="paragraph" w:styleId="ListParagraph">
    <w:name w:val="List Paragraph"/>
    <w:basedOn w:val="Normal"/>
    <w:link w:val="ListParagraphChar"/>
    <w:qFormat/>
    <w:rsid w:val="009A5953"/>
    <w:pPr>
      <w:ind w:left="720"/>
      <w:contextualSpacing/>
    </w:pPr>
  </w:style>
  <w:style w:type="paragraph" w:styleId="IntenseQuote">
    <w:name w:val="Intense Quote"/>
    <w:basedOn w:val="Normal"/>
    <w:next w:val="Normal"/>
    <w:link w:val="IntenseQuoteChar"/>
    <w:qFormat/>
    <w:rsid w:val="000C73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0C73AA"/>
    <w:rPr>
      <w:b/>
      <w:bCs/>
      <w:i/>
      <w:iCs/>
      <w:color w:val="4F81BD" w:themeColor="accent1"/>
    </w:rPr>
  </w:style>
  <w:style w:type="character" w:styleId="IntenseReference">
    <w:name w:val="Intense Reference"/>
    <w:basedOn w:val="DefaultParagraphFont"/>
    <w:qFormat/>
    <w:rsid w:val="000C73AA"/>
    <w:rPr>
      <w:b/>
      <w:bCs/>
      <w:smallCaps/>
      <w:color w:val="C0504D" w:themeColor="accent2"/>
      <w:spacing w:val="5"/>
      <w:u w:val="single"/>
    </w:rPr>
  </w:style>
  <w:style w:type="table" w:styleId="TableGrid">
    <w:name w:val="Table Grid"/>
    <w:basedOn w:val="TableNormal"/>
    <w:rsid w:val="00C23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75226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2">
    <w:name w:val="Light Shading Accent 2"/>
    <w:basedOn w:val="TableNormal"/>
    <w:uiPriority w:val="60"/>
    <w:rsid w:val="0075226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SubtleReference">
    <w:name w:val="Subtle Reference"/>
    <w:basedOn w:val="DefaultParagraphFont"/>
    <w:qFormat/>
    <w:rsid w:val="00752269"/>
    <w:rPr>
      <w:smallCaps/>
      <w:color w:val="C0504D" w:themeColor="accent2"/>
      <w:u w:val="single"/>
    </w:rPr>
  </w:style>
  <w:style w:type="character" w:styleId="Emphasis">
    <w:name w:val="Emphasis"/>
    <w:basedOn w:val="DefaultParagraphFont"/>
    <w:qFormat/>
    <w:rsid w:val="00752269"/>
    <w:rPr>
      <w:i/>
      <w:iCs/>
    </w:rPr>
  </w:style>
  <w:style w:type="character" w:styleId="SubtleEmphasis">
    <w:name w:val="Subtle Emphasis"/>
    <w:basedOn w:val="DefaultParagraphFont"/>
    <w:qFormat/>
    <w:rsid w:val="00752269"/>
    <w:rPr>
      <w:i/>
      <w:iCs/>
      <w:color w:val="808080" w:themeColor="text1" w:themeTint="7F"/>
    </w:rPr>
  </w:style>
  <w:style w:type="paragraph" w:styleId="Subtitle">
    <w:name w:val="Subtitle"/>
    <w:basedOn w:val="Normal"/>
    <w:next w:val="Normal"/>
    <w:link w:val="SubtitleChar"/>
    <w:qFormat/>
    <w:rsid w:val="0075226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752269"/>
    <w:rPr>
      <w:rFonts w:asciiTheme="majorHAnsi" w:eastAsiaTheme="majorEastAsia" w:hAnsiTheme="majorHAnsi" w:cstheme="majorBidi"/>
      <w:i/>
      <w:iCs/>
      <w:color w:val="4F81BD" w:themeColor="accent1"/>
      <w:spacing w:val="15"/>
      <w:sz w:val="24"/>
      <w:szCs w:val="24"/>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
    <w:basedOn w:val="Normal"/>
    <w:link w:val="FootnoteTextChar"/>
    <w:unhideWhenUsed/>
    <w:rsid w:val="00553FFC"/>
    <w:rPr>
      <w:rFonts w:ascii="Calibri" w:eastAsia="Calibri" w:hAnsi="Calibri" w:cs="Times New Roman"/>
      <w:sz w:val="20"/>
      <w:szCs w:val="20"/>
      <w:lang w:val="sr-Latn-CS"/>
    </w:rPr>
  </w:style>
  <w:style w:type="character" w:customStyle="1" w:styleId="FootnoteTextChar">
    <w:name w:val="Footnote Text Char"/>
    <w:aliases w:val="Footnote Text Char Char Char Char1,Footnote Text Char Char Char2,Footnote Text Char1 Char1,single space Char Char1,ft Char Char1,single space Char2,ft Char2,Footnote Text Char Char Char Char Char Char Char Char Char,fn Char1"/>
    <w:basedOn w:val="DefaultParagraphFont"/>
    <w:link w:val="FootnoteText"/>
    <w:uiPriority w:val="99"/>
    <w:semiHidden/>
    <w:rsid w:val="00553FFC"/>
    <w:rPr>
      <w:rFonts w:ascii="Calibri" w:eastAsia="Calibri" w:hAnsi="Calibri" w:cs="Times New Roman"/>
      <w:sz w:val="20"/>
      <w:szCs w:val="20"/>
      <w:lang w:val="sr-Latn-C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basedOn w:val="DefaultParagraphFont"/>
    <w:unhideWhenUsed/>
    <w:rsid w:val="00553FFC"/>
    <w:rPr>
      <w:vertAlign w:val="superscript"/>
    </w:rPr>
  </w:style>
  <w:style w:type="paragraph" w:customStyle="1" w:styleId="Default">
    <w:name w:val="Default"/>
    <w:rsid w:val="00553FFC"/>
    <w:pPr>
      <w:autoSpaceDE w:val="0"/>
      <w:autoSpaceDN w:val="0"/>
      <w:adjustRightInd w:val="0"/>
      <w:spacing w:after="0" w:line="240" w:lineRule="auto"/>
    </w:pPr>
    <w:rPr>
      <w:rFonts w:ascii="Arial" w:eastAsia="Calibri" w:hAnsi="Arial" w:cs="Arial"/>
      <w:color w:val="000000"/>
      <w:sz w:val="24"/>
      <w:szCs w:val="24"/>
      <w:lang w:val="sr-Latn-CS" w:eastAsia="sr-Latn-CS"/>
    </w:rPr>
  </w:style>
  <w:style w:type="paragraph" w:styleId="Header">
    <w:name w:val="header"/>
    <w:basedOn w:val="Normal"/>
    <w:link w:val="HeaderChar"/>
    <w:unhideWhenUsed/>
    <w:rsid w:val="00C103EB"/>
    <w:pPr>
      <w:tabs>
        <w:tab w:val="center" w:pos="4680"/>
        <w:tab w:val="right" w:pos="9360"/>
      </w:tabs>
      <w:spacing w:after="0" w:line="240" w:lineRule="auto"/>
    </w:pPr>
  </w:style>
  <w:style w:type="character" w:customStyle="1" w:styleId="HeaderChar">
    <w:name w:val="Header Char"/>
    <w:basedOn w:val="DefaultParagraphFont"/>
    <w:link w:val="Header"/>
    <w:rsid w:val="00C103EB"/>
  </w:style>
  <w:style w:type="paragraph" w:styleId="Footer">
    <w:name w:val="footer"/>
    <w:basedOn w:val="Normal"/>
    <w:link w:val="FooterChar"/>
    <w:unhideWhenUsed/>
    <w:rsid w:val="00C103EB"/>
    <w:pPr>
      <w:tabs>
        <w:tab w:val="center" w:pos="4680"/>
        <w:tab w:val="right" w:pos="9360"/>
      </w:tabs>
      <w:spacing w:after="0" w:line="240" w:lineRule="auto"/>
    </w:pPr>
  </w:style>
  <w:style w:type="character" w:customStyle="1" w:styleId="FooterChar">
    <w:name w:val="Footer Char"/>
    <w:basedOn w:val="DefaultParagraphFont"/>
    <w:link w:val="Footer"/>
    <w:rsid w:val="00C103EB"/>
  </w:style>
  <w:style w:type="character" w:customStyle="1" w:styleId="Heading1Char">
    <w:name w:val="Heading 1 Char"/>
    <w:basedOn w:val="DefaultParagraphFont"/>
    <w:rsid w:val="00D01FD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24744"/>
    <w:pPr>
      <w:spacing w:after="100"/>
    </w:pPr>
  </w:style>
  <w:style w:type="character" w:customStyle="1" w:styleId="Heading2Char">
    <w:name w:val="Heading 2 Char"/>
    <w:basedOn w:val="DefaultParagraphFont"/>
    <w:rsid w:val="00E1620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E1620D"/>
    <w:rPr>
      <w:rFonts w:asciiTheme="majorHAnsi" w:eastAsiaTheme="majorEastAsia" w:hAnsiTheme="majorHAnsi" w:cstheme="majorBidi"/>
      <w:b/>
      <w:bCs/>
      <w:sz w:val="24"/>
    </w:rPr>
  </w:style>
  <w:style w:type="paragraph" w:customStyle="1" w:styleId="Prvi">
    <w:name w:val="Prvi"/>
    <w:basedOn w:val="IntenseQuote"/>
    <w:link w:val="PrviChar"/>
    <w:qFormat/>
    <w:rsid w:val="00F24744"/>
    <w:pPr>
      <w:ind w:left="0"/>
    </w:pPr>
    <w:rPr>
      <w:sz w:val="36"/>
      <w:lang w:val="en-GB"/>
    </w:rPr>
  </w:style>
  <w:style w:type="paragraph" w:customStyle="1" w:styleId="treci">
    <w:name w:val="treci"/>
    <w:basedOn w:val="Subtitle"/>
    <w:link w:val="treciChar"/>
    <w:qFormat/>
    <w:rsid w:val="00EF6F9C"/>
  </w:style>
  <w:style w:type="character" w:customStyle="1" w:styleId="PrviChar">
    <w:name w:val="Prvi Char"/>
    <w:basedOn w:val="IntenseQuoteChar"/>
    <w:link w:val="Prvi"/>
    <w:rsid w:val="00F24744"/>
    <w:rPr>
      <w:b/>
      <w:bCs/>
      <w:i/>
      <w:iCs/>
      <w:color w:val="4F81BD" w:themeColor="accent1"/>
      <w:sz w:val="36"/>
      <w:lang w:val="en-GB"/>
    </w:rPr>
  </w:style>
  <w:style w:type="paragraph" w:customStyle="1" w:styleId="drugi">
    <w:name w:val="drugi"/>
    <w:basedOn w:val="Normal"/>
    <w:link w:val="drugiChar"/>
    <w:rsid w:val="00EF6F9C"/>
    <w:rPr>
      <w:sz w:val="28"/>
      <w:lang w:val="en-GB"/>
    </w:rPr>
  </w:style>
  <w:style w:type="character" w:customStyle="1" w:styleId="treciChar">
    <w:name w:val="treci Char"/>
    <w:basedOn w:val="SubtitleChar"/>
    <w:link w:val="treci"/>
    <w:rsid w:val="00EF6F9C"/>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rsid w:val="00EF6F9C"/>
    <w:pPr>
      <w:spacing w:after="100"/>
      <w:ind w:left="220"/>
    </w:pPr>
  </w:style>
  <w:style w:type="character" w:customStyle="1" w:styleId="drugiChar">
    <w:name w:val="drugi Char"/>
    <w:basedOn w:val="DefaultParagraphFont"/>
    <w:link w:val="drugi"/>
    <w:rsid w:val="00EF6F9C"/>
    <w:rPr>
      <w:sz w:val="28"/>
      <w:lang w:val="en-GB"/>
    </w:rPr>
  </w:style>
  <w:style w:type="paragraph" w:styleId="TOC3">
    <w:name w:val="toc 3"/>
    <w:basedOn w:val="Normal"/>
    <w:next w:val="Normal"/>
    <w:autoRedefine/>
    <w:uiPriority w:val="39"/>
    <w:unhideWhenUsed/>
    <w:rsid w:val="00EF6F9C"/>
    <w:pPr>
      <w:spacing w:after="100"/>
      <w:ind w:left="440"/>
    </w:pPr>
  </w:style>
  <w:style w:type="paragraph" w:customStyle="1" w:styleId="drugi1">
    <w:name w:val="drugi1"/>
    <w:basedOn w:val="drugi"/>
    <w:link w:val="drugi1Char"/>
    <w:qFormat/>
    <w:rsid w:val="00F6058E"/>
    <w:rPr>
      <w:color w:val="C00000"/>
    </w:rPr>
  </w:style>
  <w:style w:type="paragraph" w:customStyle="1" w:styleId="Bodis2">
    <w:name w:val="Bodis 2"/>
    <w:basedOn w:val="Normal"/>
    <w:rsid w:val="005F1A49"/>
    <w:pPr>
      <w:spacing w:line="240" w:lineRule="auto"/>
      <w:ind w:left="1134"/>
    </w:pPr>
    <w:rPr>
      <w:rFonts w:eastAsia="Times New Roman" w:cs="Times New Roman"/>
      <w:szCs w:val="20"/>
      <w:lang w:val="en-GB" w:eastAsia="lt-LT"/>
    </w:rPr>
  </w:style>
  <w:style w:type="character" w:customStyle="1" w:styleId="drugi1Char">
    <w:name w:val="drugi1 Char"/>
    <w:basedOn w:val="drugiChar"/>
    <w:link w:val="drugi1"/>
    <w:rsid w:val="00F6058E"/>
    <w:rPr>
      <w:color w:val="C00000"/>
      <w:sz w:val="28"/>
      <w:lang w:val="en-GB"/>
    </w:rPr>
  </w:style>
  <w:style w:type="table" w:styleId="MediumShading1-Accent5">
    <w:name w:val="Medium Shading 1 Accent 5"/>
    <w:basedOn w:val="TableNormal"/>
    <w:uiPriority w:val="63"/>
    <w:rsid w:val="008D039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8D039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8D03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8D039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A798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TOCHeading">
    <w:name w:val="TOC Heading"/>
    <w:basedOn w:val="Normal"/>
    <w:next w:val="Normal"/>
    <w:unhideWhenUsed/>
    <w:qFormat/>
    <w:rsid w:val="00A93EAC"/>
    <w:rPr>
      <w:lang w:eastAsia="ja-JP"/>
    </w:rPr>
  </w:style>
  <w:style w:type="character" w:customStyle="1" w:styleId="Heading4Char">
    <w:name w:val="Heading 4 Char"/>
    <w:basedOn w:val="DefaultParagraphFont"/>
    <w:link w:val="Heading4"/>
    <w:semiHidden/>
    <w:rsid w:val="001B767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1B7677"/>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1B767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1B767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1B76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7677"/>
    <w:rPr>
      <w:rFonts w:asciiTheme="majorHAnsi" w:eastAsiaTheme="majorEastAsia" w:hAnsiTheme="majorHAnsi" w:cstheme="majorBidi"/>
      <w:i/>
      <w:iCs/>
      <w:color w:val="404040" w:themeColor="text1" w:themeTint="BF"/>
      <w:sz w:val="20"/>
      <w:szCs w:val="20"/>
    </w:rPr>
  </w:style>
  <w:style w:type="character" w:customStyle="1" w:styleId="hps">
    <w:name w:val="hps"/>
    <w:basedOn w:val="DefaultParagraphFont"/>
    <w:rsid w:val="003777DC"/>
  </w:style>
  <w:style w:type="character" w:customStyle="1" w:styleId="ListParagraphChar">
    <w:name w:val="List Paragraph Char"/>
    <w:basedOn w:val="DefaultParagraphFont"/>
    <w:link w:val="ListParagraph"/>
    <w:rsid w:val="009A5953"/>
    <w:rPr>
      <w:rFonts w:ascii="Times New Roman" w:hAnsi="Times New Roman"/>
      <w:sz w:val="24"/>
    </w:rPr>
  </w:style>
  <w:style w:type="paragraph" w:customStyle="1" w:styleId="druginivo">
    <w:name w:val="drugi nivo"/>
    <w:basedOn w:val="Normal"/>
    <w:link w:val="druginivoChar"/>
    <w:qFormat/>
    <w:rsid w:val="00C96162"/>
    <w:rPr>
      <w:rFonts w:eastAsia="Times New Roman" w:cstheme="minorHAnsi"/>
      <w:b/>
      <w:color w:val="7F7F7F" w:themeColor="text1" w:themeTint="80"/>
      <w:szCs w:val="24"/>
      <w:lang w:eastAsia="en-GB"/>
    </w:rPr>
  </w:style>
  <w:style w:type="paragraph" w:customStyle="1" w:styleId="2">
    <w:name w:val="2."/>
    <w:basedOn w:val="Normal"/>
    <w:link w:val="2Char"/>
    <w:qFormat/>
    <w:rsid w:val="006A3910"/>
    <w:pPr>
      <w:spacing w:after="100"/>
    </w:pPr>
    <w:rPr>
      <w:i/>
    </w:rPr>
  </w:style>
  <w:style w:type="character" w:customStyle="1" w:styleId="druginivoChar">
    <w:name w:val="drugi nivo Char"/>
    <w:basedOn w:val="DefaultParagraphFont"/>
    <w:link w:val="druginivo"/>
    <w:rsid w:val="00C96162"/>
    <w:rPr>
      <w:rFonts w:eastAsia="Times New Roman" w:cstheme="minorHAnsi"/>
      <w:b/>
      <w:color w:val="7F7F7F" w:themeColor="text1" w:themeTint="80"/>
      <w:sz w:val="24"/>
      <w:szCs w:val="24"/>
      <w:lang w:eastAsia="en-GB"/>
    </w:rPr>
  </w:style>
  <w:style w:type="paragraph" w:customStyle="1" w:styleId="a3520normal">
    <w:name w:val="a___35__20_normal"/>
    <w:basedOn w:val="Normal"/>
    <w:rsid w:val="00270A48"/>
    <w:pPr>
      <w:spacing w:line="240" w:lineRule="auto"/>
    </w:pPr>
    <w:rPr>
      <w:rFonts w:eastAsia="Times New Roman" w:cs="Times New Roman"/>
      <w:szCs w:val="24"/>
    </w:rPr>
  </w:style>
  <w:style w:type="character" w:customStyle="1" w:styleId="2Char">
    <w:name w:val="2. Char"/>
    <w:basedOn w:val="Heading2Char"/>
    <w:link w:val="2"/>
    <w:rsid w:val="006A3910"/>
    <w:rPr>
      <w:rFonts w:asciiTheme="majorHAnsi" w:eastAsiaTheme="majorEastAsia" w:hAnsiTheme="majorHAnsi" w:cstheme="majorBidi"/>
      <w:b/>
      <w:bCs/>
      <w:i/>
      <w:color w:val="4F81BD" w:themeColor="accent1"/>
      <w:sz w:val="24"/>
      <w:szCs w:val="26"/>
    </w:rPr>
  </w:style>
  <w:style w:type="table" w:customStyle="1" w:styleId="LightList-Accent11">
    <w:name w:val="Light List - Accent 11"/>
    <w:basedOn w:val="TableNormal"/>
    <w:uiPriority w:val="61"/>
    <w:rsid w:val="00F05E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11">
    <w:name w:val="Light Shading - Accent 11"/>
    <w:basedOn w:val="TableNormal"/>
    <w:uiPriority w:val="60"/>
    <w:rsid w:val="00A36C8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nhideWhenUsed/>
    <w:rsid w:val="00E51A6E"/>
    <w:pPr>
      <w:spacing w:before="100" w:beforeAutospacing="1" w:after="115" w:line="240" w:lineRule="auto"/>
    </w:pPr>
    <w:rPr>
      <w:rFonts w:eastAsia="Times New Roman" w:cs="Times New Roman"/>
      <w:szCs w:val="24"/>
    </w:rPr>
  </w:style>
  <w:style w:type="table" w:customStyle="1" w:styleId="LightShading-Accent51">
    <w:name w:val="Light Shading - Accent 51"/>
    <w:basedOn w:val="TableNormal"/>
    <w:next w:val="LightShading-Accent5"/>
    <w:rsid w:val="00E51A6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A60D0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st">
    <w:name w:val="st"/>
    <w:basedOn w:val="DefaultParagraphFont"/>
    <w:rsid w:val="00C61538"/>
  </w:style>
  <w:style w:type="character" w:styleId="FollowedHyperlink">
    <w:name w:val="FollowedHyperlink"/>
    <w:basedOn w:val="DefaultParagraphFont"/>
    <w:semiHidden/>
    <w:unhideWhenUsed/>
    <w:rsid w:val="00F52C8D"/>
    <w:rPr>
      <w:color w:val="800080" w:themeColor="followedHyperlink"/>
      <w:u w:val="single"/>
    </w:rPr>
  </w:style>
  <w:style w:type="character" w:customStyle="1" w:styleId="shorttext">
    <w:name w:val="short_text"/>
    <w:basedOn w:val="DefaultParagraphFont"/>
    <w:rsid w:val="005D483B"/>
  </w:style>
  <w:style w:type="character" w:customStyle="1" w:styleId="Date1">
    <w:name w:val="Date1"/>
    <w:basedOn w:val="DefaultParagraphFont"/>
    <w:rsid w:val="00FE4A92"/>
  </w:style>
  <w:style w:type="character" w:styleId="Strong">
    <w:name w:val="Strong"/>
    <w:basedOn w:val="DefaultParagraphFont"/>
    <w:qFormat/>
    <w:rsid w:val="00F95AC2"/>
    <w:rPr>
      <w:b/>
      <w:bCs/>
    </w:rPr>
  </w:style>
  <w:style w:type="table" w:customStyle="1" w:styleId="LightShading-Accent52">
    <w:name w:val="Light Shading - Accent 52"/>
    <w:rsid w:val="009A5953"/>
    <w:pPr>
      <w:spacing w:after="0" w:line="240" w:lineRule="auto"/>
    </w:pPr>
    <w:rPr>
      <w:rFonts w:ascii="Calibri" w:eastAsia="Times New Roman" w:hAnsi="Calibri" w:cs="Times New Roman"/>
      <w:color w:val="31849B"/>
      <w:sz w:val="20"/>
      <w:szCs w:val="20"/>
      <w:lang w:val="sr-Cyrl-RS" w:eastAsia="sr-Cyrl-R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Accent21">
    <w:name w:val="Light Shading - Accent 21"/>
    <w:rsid w:val="009A5953"/>
    <w:pPr>
      <w:spacing w:after="0" w:line="240" w:lineRule="auto"/>
    </w:pPr>
    <w:rPr>
      <w:rFonts w:ascii="Calibri" w:eastAsia="Times New Roman" w:hAnsi="Calibri" w:cs="Times New Roman"/>
      <w:color w:val="943634"/>
      <w:sz w:val="20"/>
      <w:szCs w:val="20"/>
      <w:lang w:val="sr-Cyrl-RS" w:eastAsia="sr-Cyrl-R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Shading1-Accent51">
    <w:name w:val="Medium Shading 1 - Accent 5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1-Accent110">
    <w:name w:val="Medium Shading 1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Grid-Accent110">
    <w:name w:val="Light Grid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Lucida Bright" w:eastAsia="Times New Roman" w:hAnsi="Lucida Br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Lucida Bright" w:eastAsia="Times New Roman" w:hAnsi="Lucida Br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Bright" w:eastAsia="Times New Roman" w:hAnsi="Lucida Bright" w:cs="Times New Roman"/>
        <w:b/>
        <w:bCs/>
      </w:rPr>
    </w:tblStylePr>
    <w:tblStylePr w:type="lastCol">
      <w:rPr>
        <w:rFonts w:ascii="Lucida Bright" w:eastAsia="Times New Roman" w:hAnsi="Lucida Br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10">
    <w:name w:val="Light List - Accent 1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0">
    <w:name w:val="Light Shading - Accent 11"/>
    <w:rsid w:val="009A5953"/>
    <w:pPr>
      <w:spacing w:after="0" w:line="240" w:lineRule="auto"/>
    </w:pPr>
    <w:rPr>
      <w:rFonts w:ascii="Calibri" w:eastAsia="Times New Roman" w:hAnsi="Calibri" w:cs="Times New Roman"/>
      <w:color w:val="365F91"/>
      <w:sz w:val="20"/>
      <w:szCs w:val="20"/>
      <w:lang w:val="sr-Cyrl-RS" w:eastAsia="sr-Cyrl-R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Accent41">
    <w:name w:val="Light List - Accent 41"/>
    <w:rsid w:val="009A5953"/>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styleId="IntenseEmphasis">
    <w:name w:val="Intense Emphasis"/>
    <w:basedOn w:val="DefaultParagraphFont"/>
    <w:qFormat/>
    <w:rsid w:val="009A5953"/>
    <w:rPr>
      <w:b/>
      <w:bCs/>
      <w:i/>
      <w:iCs/>
      <w:color w:val="4F81BD" w:themeColor="accent1"/>
    </w:rPr>
  </w:style>
  <w:style w:type="paragraph" w:styleId="NoSpacing">
    <w:name w:val="No Spacing"/>
    <w:qFormat/>
    <w:rsid w:val="009A5953"/>
    <w:pPr>
      <w:spacing w:after="0" w:line="240" w:lineRule="auto"/>
      <w:jc w:val="both"/>
    </w:pPr>
    <w:rPr>
      <w:rFonts w:ascii="Times New Roman" w:hAnsi="Times New Roman"/>
      <w:sz w:val="24"/>
    </w:rPr>
  </w:style>
  <w:style w:type="paragraph" w:styleId="Title">
    <w:name w:val="Title"/>
    <w:basedOn w:val="Normal"/>
    <w:next w:val="Normal"/>
    <w:link w:val="TitleChar"/>
    <w:qFormat/>
    <w:rsid w:val="009A5953"/>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A5953"/>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basedOn w:val="DefaultParagraphFont"/>
    <w:link w:val="Heading1"/>
    <w:rsid w:val="00F4424E"/>
    <w:rPr>
      <w:rFonts w:asciiTheme="majorHAnsi" w:eastAsiaTheme="majorEastAsia" w:hAnsiTheme="majorHAnsi" w:cstheme="majorBidi"/>
      <w:b/>
      <w:bCs/>
      <w:caps/>
      <w:color w:val="365F91" w:themeColor="accent1" w:themeShade="BF"/>
      <w:sz w:val="28"/>
      <w:szCs w:val="28"/>
      <w:u w:val="single"/>
    </w:rPr>
  </w:style>
  <w:style w:type="character" w:customStyle="1" w:styleId="Heading2Char1">
    <w:name w:val="Heading 2 Char1"/>
    <w:basedOn w:val="DefaultParagraphFont"/>
    <w:link w:val="Heading2"/>
    <w:rsid w:val="0010111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rsid w:val="00101110"/>
    <w:rPr>
      <w:rFonts w:asciiTheme="majorHAnsi" w:eastAsiaTheme="majorEastAsia" w:hAnsiTheme="majorHAnsi" w:cstheme="majorBidi"/>
      <w:b/>
      <w:bCs/>
      <w:sz w:val="24"/>
    </w:rPr>
  </w:style>
  <w:style w:type="table" w:customStyle="1" w:styleId="LightShading-Accent53">
    <w:name w:val="Light Shading - Accent 53"/>
    <w:rsid w:val="0046476F"/>
    <w:pPr>
      <w:spacing w:after="0" w:line="240" w:lineRule="auto"/>
    </w:pPr>
    <w:rPr>
      <w:rFonts w:ascii="Calibri" w:eastAsia="Times New Roman" w:hAnsi="Calibri" w:cs="Times New Roman"/>
      <w:color w:val="31849B"/>
      <w:sz w:val="20"/>
      <w:szCs w:val="20"/>
      <w:lang w:val="sr-Cyrl-RS" w:eastAsia="sr-Cyrl-R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LightShading-Accent22">
    <w:name w:val="Light Shading - Accent 22"/>
    <w:rsid w:val="0046476F"/>
    <w:pPr>
      <w:spacing w:after="0" w:line="240" w:lineRule="auto"/>
    </w:pPr>
    <w:rPr>
      <w:rFonts w:ascii="Calibri" w:eastAsia="Times New Roman" w:hAnsi="Calibri" w:cs="Times New Roman"/>
      <w:color w:val="943634"/>
      <w:sz w:val="20"/>
      <w:szCs w:val="20"/>
      <w:lang w:val="sr-Cyrl-RS" w:eastAsia="sr-Cyrl-R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Shading1-Accent52">
    <w:name w:val="Medium Shading 1 - Accent 5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MediumShading1-Accent12">
    <w:name w:val="Medium Shading 1 - Accent 1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Grid-Accent12">
    <w:name w:val="Light Grid - Accent 1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Lucida Bright" w:eastAsia="Times New Roman" w:hAnsi="Lucida Br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Lucida Bright" w:eastAsia="Times New Roman" w:hAnsi="Lucida Br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Bright" w:eastAsia="Times New Roman" w:hAnsi="Lucida Bright" w:cs="Times New Roman"/>
        <w:b/>
        <w:bCs/>
      </w:rPr>
    </w:tblStylePr>
    <w:tblStylePr w:type="lastCol">
      <w:rPr>
        <w:rFonts w:ascii="Lucida Bright" w:eastAsia="Times New Roman" w:hAnsi="Lucida Br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
    <w:name w:val="Light List - Accent 5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12">
    <w:name w:val="Light List - Accent 1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2">
    <w:name w:val="Light Shading - Accent 12"/>
    <w:rsid w:val="0046476F"/>
    <w:pPr>
      <w:spacing w:after="0" w:line="240" w:lineRule="auto"/>
    </w:pPr>
    <w:rPr>
      <w:rFonts w:ascii="Calibri" w:eastAsia="Times New Roman" w:hAnsi="Calibri" w:cs="Times New Roman"/>
      <w:color w:val="365F91"/>
      <w:sz w:val="20"/>
      <w:szCs w:val="20"/>
      <w:lang w:val="sr-Cyrl-RS" w:eastAsia="sr-Cyrl-R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LightList-Accent42">
    <w:name w:val="Light List - Accent 42"/>
    <w:rsid w:val="0046476F"/>
    <w:pPr>
      <w:spacing w:after="0" w:line="240" w:lineRule="auto"/>
    </w:pPr>
    <w:rPr>
      <w:rFonts w:ascii="Calibri" w:eastAsia="Times New Roman" w:hAnsi="Calibri" w:cs="Times New Roman"/>
      <w:sz w:val="20"/>
      <w:szCs w:val="20"/>
      <w:lang w:val="sr-Cyrl-RS" w:eastAsia="sr-Cyrl-R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character" w:customStyle="1" w:styleId="FootnoteTextChar2">
    <w:name w:val="Footnote Text Char2"/>
    <w:aliases w:val="Footnote Text Char Char Char Char,Footnote Text Char Char Char1,Footnote Text Char1 Char,single space Char Char,ft Char Char,Footnote Text Char Char1,single space Char1,ft Char1,Footnote Text Char Char Char Char1 Char Char,fn Char"/>
    <w:locked/>
    <w:rsid w:val="00C277DA"/>
    <w:rPr>
      <w:sz w:val="18"/>
      <w:lang w:val="en-US" w:eastAsia="en-US" w:bidi="ar-SA"/>
    </w:rPr>
  </w:style>
  <w:style w:type="paragraph" w:customStyle="1" w:styleId="Numerisanipasus">
    <w:name w:val="Numerisani pasus"/>
    <w:basedOn w:val="Normal"/>
    <w:link w:val="NumerisanipasusChar"/>
    <w:autoRedefine/>
    <w:qFormat/>
    <w:rsid w:val="00C277DA"/>
    <w:pPr>
      <w:spacing w:line="240" w:lineRule="auto"/>
      <w:ind w:left="720" w:hanging="720"/>
    </w:pPr>
    <w:rPr>
      <w:rFonts w:eastAsia="Times New Roman" w:cs="Times New Roman"/>
      <w:bCs/>
      <w:iCs/>
      <w:noProof/>
      <w:color w:val="000000"/>
      <w:sz w:val="22"/>
      <w:lang w:val="ru-RU"/>
    </w:rPr>
  </w:style>
  <w:style w:type="character" w:customStyle="1" w:styleId="NumerisanipasusChar">
    <w:name w:val="Numerisani pasus Char"/>
    <w:link w:val="Numerisanipasus"/>
    <w:rsid w:val="00C277DA"/>
    <w:rPr>
      <w:rFonts w:ascii="Times New Roman" w:eastAsia="Times New Roman" w:hAnsi="Times New Roman" w:cs="Times New Roman"/>
      <w:bCs/>
      <w:iCs/>
      <w:noProof/>
      <w:color w:val="000000"/>
      <w:lang w:val="ru-RU"/>
    </w:rPr>
  </w:style>
  <w:style w:type="character" w:customStyle="1" w:styleId="rvts3">
    <w:name w:val="rvts3"/>
    <w:basedOn w:val="DefaultParagraphFont"/>
    <w:rsid w:val="007B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4563">
      <w:bodyDiv w:val="1"/>
      <w:marLeft w:val="0"/>
      <w:marRight w:val="0"/>
      <w:marTop w:val="0"/>
      <w:marBottom w:val="0"/>
      <w:divBdr>
        <w:top w:val="none" w:sz="0" w:space="0" w:color="auto"/>
        <w:left w:val="none" w:sz="0" w:space="0" w:color="auto"/>
        <w:bottom w:val="none" w:sz="0" w:space="0" w:color="auto"/>
        <w:right w:val="none" w:sz="0" w:space="0" w:color="auto"/>
      </w:divBdr>
    </w:div>
    <w:div w:id="699429605">
      <w:bodyDiv w:val="1"/>
      <w:marLeft w:val="0"/>
      <w:marRight w:val="0"/>
      <w:marTop w:val="0"/>
      <w:marBottom w:val="0"/>
      <w:divBdr>
        <w:top w:val="none" w:sz="0" w:space="0" w:color="auto"/>
        <w:left w:val="none" w:sz="0" w:space="0" w:color="auto"/>
        <w:bottom w:val="none" w:sz="0" w:space="0" w:color="auto"/>
        <w:right w:val="none" w:sz="0" w:space="0" w:color="auto"/>
      </w:divBdr>
    </w:div>
    <w:div w:id="1192180536">
      <w:bodyDiv w:val="1"/>
      <w:marLeft w:val="0"/>
      <w:marRight w:val="0"/>
      <w:marTop w:val="0"/>
      <w:marBottom w:val="0"/>
      <w:divBdr>
        <w:top w:val="none" w:sz="0" w:space="0" w:color="auto"/>
        <w:left w:val="none" w:sz="0" w:space="0" w:color="auto"/>
        <w:bottom w:val="none" w:sz="0" w:space="0" w:color="auto"/>
        <w:right w:val="none" w:sz="0" w:space="0" w:color="auto"/>
      </w:divBdr>
    </w:div>
    <w:div w:id="1270968162">
      <w:bodyDiv w:val="1"/>
      <w:marLeft w:val="0"/>
      <w:marRight w:val="0"/>
      <w:marTop w:val="0"/>
      <w:marBottom w:val="0"/>
      <w:divBdr>
        <w:top w:val="none" w:sz="0" w:space="0" w:color="auto"/>
        <w:left w:val="none" w:sz="0" w:space="0" w:color="auto"/>
        <w:bottom w:val="none" w:sz="0" w:space="0" w:color="auto"/>
        <w:right w:val="none" w:sz="0" w:space="0" w:color="auto"/>
      </w:divBdr>
    </w:div>
    <w:div w:id="1457798440">
      <w:bodyDiv w:val="1"/>
      <w:marLeft w:val="0"/>
      <w:marRight w:val="0"/>
      <w:marTop w:val="0"/>
      <w:marBottom w:val="0"/>
      <w:divBdr>
        <w:top w:val="none" w:sz="0" w:space="0" w:color="auto"/>
        <w:left w:val="none" w:sz="0" w:space="0" w:color="auto"/>
        <w:bottom w:val="none" w:sz="0" w:space="0" w:color="auto"/>
        <w:right w:val="none" w:sz="0" w:space="0" w:color="auto"/>
      </w:divBdr>
    </w:div>
    <w:div w:id="1573732598">
      <w:bodyDiv w:val="1"/>
      <w:marLeft w:val="0"/>
      <w:marRight w:val="0"/>
      <w:marTop w:val="0"/>
      <w:marBottom w:val="0"/>
      <w:divBdr>
        <w:top w:val="none" w:sz="0" w:space="0" w:color="auto"/>
        <w:left w:val="none" w:sz="0" w:space="0" w:color="auto"/>
        <w:bottom w:val="none" w:sz="0" w:space="0" w:color="auto"/>
        <w:right w:val="none" w:sz="0" w:space="0" w:color="auto"/>
      </w:divBdr>
    </w:div>
    <w:div w:id="16680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ec.europa.eu/social/main.jsp?catId=370&amp;langId=en&amp;featuresId=106&amp;furtherFeatures=ye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www.minrzs.gov.rs/cms/sr/konkursi/341-poziv-za-podnoenje-predloga-projekata" TargetMode="External"/><Relationship Id="rId7" Type="http://schemas.openxmlformats.org/officeDocument/2006/relationships/footnotes" Target="footnotes.xml"/><Relationship Id="rId12" Type="http://schemas.openxmlformats.org/officeDocument/2006/relationships/image" Target="media/image3.tif"/><Relationship Id="rId17" Type="http://schemas.openxmlformats.org/officeDocument/2006/relationships/hyperlink" Target="http://www.cdspredlaze.org.rs/Content/downloads/OP-HRD_2nd_Draft_%28main%29.pdf" TargetMode="External"/><Relationship Id="rId25" Type="http://schemas.openxmlformats.org/officeDocument/2006/relationships/hyperlink" Target="http://www.oecd.org/dataoecd/40/27/48970654.pdf" TargetMode="External"/><Relationship Id="rId2" Type="http://schemas.openxmlformats.org/officeDocument/2006/relationships/numbering" Target="numbering.xml"/><Relationship Id="rId16" Type="http://schemas.openxmlformats.org/officeDocument/2006/relationships/image" Target="media/image4.tif"/><Relationship Id="rId20" Type="http://schemas.openxmlformats.org/officeDocument/2006/relationships/hyperlink" Target="http://ec.europa.eu/esf/main.jsp?catId=62&amp;langId=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sf/main.jsp?catId=62&amp;langId=en" TargetMode="External"/><Relationship Id="rId24" Type="http://schemas.openxmlformats.org/officeDocument/2006/relationships/hyperlink" Target="http://www.minrzs.gov.rs/cms/sr/konkursi/328-2011-11-22-12-54-35"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minrzs.gov.rs/cms/sr/konkursi/351-2012-02-22-14-21-52"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ec.europa.eu/esf/main.jsp?catId=32&amp;langId=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minrzs.gov.rs/cms/sr/konkursi/323-javni-poziv-za-podnoenje-predloga-projekata-za-razvoj-i-unapreenje-lokalnih-socijalnih-usluga" TargetMode="External"/><Relationship Id="rId27"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www.oecd.org/dataoecd/40/27/48970654.pdf" TargetMode="External"/><Relationship Id="rId2" Type="http://schemas.openxmlformats.org/officeDocument/2006/relationships/hyperlink" Target="http://www.inkluzija.gov.rs/wp-content/uploads/2011/03/Prvi-nacionalni-izvestaj-o-socijalnom-ukljucivanju-i-smanjenju-siromastva1.pdf" TargetMode="External"/><Relationship Id="rId1" Type="http://schemas.openxmlformats.org/officeDocument/2006/relationships/hyperlink" Target="http://www.project-center.org" TargetMode="External"/><Relationship Id="rId5" Type="http://schemas.openxmlformats.org/officeDocument/2006/relationships/hyperlink" Target="http://ec.europa.eu/esf/main.jsp?catId=32&amp;langId=en" TargetMode="External"/><Relationship Id="rId4" Type="http://schemas.openxmlformats.org/officeDocument/2006/relationships/hyperlink" Target="http://ec.europa.eu/social/main.jsp?catId=370&amp;langId=en&amp;featuresId=106&amp;furtherFeatures=y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2611351706036739"/>
                  <c:y val="6.8588874307378284E-2"/>
                </c:manualLayout>
              </c:layout>
              <c:showLegendKey val="0"/>
              <c:showVal val="1"/>
              <c:showCatName val="0"/>
              <c:showSerName val="0"/>
              <c:showPercent val="0"/>
              <c:showBubbleSize val="0"/>
            </c:dLbl>
            <c:dLbl>
              <c:idx val="1"/>
              <c:layout>
                <c:manualLayout>
                  <c:x val="8.125645231846032E-2"/>
                  <c:y val="-0.20366542723826189"/>
                </c:manualLayout>
              </c:layout>
              <c:showLegendKey val="0"/>
              <c:showVal val="1"/>
              <c:showCatName val="0"/>
              <c:showSerName val="0"/>
              <c:showPercent val="0"/>
              <c:showBubbleSize val="0"/>
            </c:dLbl>
            <c:dLbl>
              <c:idx val="2"/>
              <c:layout>
                <c:manualLayout>
                  <c:x val="0.13334973753280852"/>
                  <c:y val="9.5439268008165629E-2"/>
                </c:manualLayout>
              </c:layout>
              <c:showLegendKey val="0"/>
              <c:showVal val="1"/>
              <c:showCatName val="0"/>
              <c:showSerName val="0"/>
              <c:showPercent val="0"/>
              <c:showBubbleSize val="0"/>
            </c:dLbl>
            <c:dLbl>
              <c:idx val="3"/>
              <c:layout>
                <c:manualLayout>
                  <c:x val="3.8032042869641312E-2"/>
                  <c:y val="0.17392862350539529"/>
                </c:manualLayout>
              </c:layout>
              <c:showLegendKey val="0"/>
              <c:showVal val="1"/>
              <c:showCatName val="0"/>
              <c:showSerName val="0"/>
              <c:showPercent val="0"/>
              <c:showBubbleSize val="0"/>
            </c:dLbl>
            <c:txPr>
              <a:bodyPr/>
              <a:lstStyle/>
              <a:p>
                <a:pPr>
                  <a:defRPr lang="x-none" sz="1050" b="1">
                    <a:solidFill>
                      <a:schemeClr val="bg1"/>
                    </a:solidFill>
                  </a:defRPr>
                </a:pPr>
                <a:endParaRPr lang="sr-Latn-RS"/>
              </a:p>
            </c:txPr>
            <c:showLegendKey val="0"/>
            <c:showVal val="1"/>
            <c:showCatName val="0"/>
            <c:showSerName val="0"/>
            <c:showPercent val="0"/>
            <c:showBubbleSize val="0"/>
            <c:showLeaderLines val="1"/>
          </c:dLbls>
          <c:cat>
            <c:strRef>
              <c:f>Sheet1!$H$2:$H$5</c:f>
              <c:strCache>
                <c:ptCount val="4"/>
                <c:pt idx="0">
                  <c:v>Запошљавање</c:v>
                </c:pt>
                <c:pt idx="1">
                  <c:v>Образовање</c:v>
                </c:pt>
                <c:pt idx="2">
                  <c:v>Социјално укључивање</c:v>
                </c:pt>
                <c:pt idx="3">
                  <c:v>Техничка помоћ</c:v>
                </c:pt>
              </c:strCache>
            </c:strRef>
          </c:cat>
          <c:val>
            <c:numRef>
              <c:f>Sheet1!$I$2:$I$5</c:f>
              <c:numCache>
                <c:formatCode>0%</c:formatCode>
                <c:ptCount val="4"/>
                <c:pt idx="0">
                  <c:v>0.4</c:v>
                </c:pt>
                <c:pt idx="1">
                  <c:v>0.32000000000000023</c:v>
                </c:pt>
                <c:pt idx="2">
                  <c:v>0.2100000000000001</c:v>
                </c:pt>
                <c:pt idx="3">
                  <c:v>7.0000000000000021E-2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lang="x-none" sz="1050"/>
          </a:pPr>
          <a:endParaRPr lang="sr-Latn-RS"/>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032D-75B2-4901-9021-447BEC9C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52</Pages>
  <Words>15241</Words>
  <Characters>86879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dc:creator>
  <cp:lastModifiedBy>Ivan Sekulovic</cp:lastModifiedBy>
  <cp:revision>54</cp:revision>
  <cp:lastPrinted>2012-07-20T11:56:00Z</cp:lastPrinted>
  <dcterms:created xsi:type="dcterms:W3CDTF">2012-06-25T07:33:00Z</dcterms:created>
  <dcterms:modified xsi:type="dcterms:W3CDTF">2012-07-20T14:41:00Z</dcterms:modified>
</cp:coreProperties>
</file>