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918A" w14:textId="77777777" w:rsidR="000866F3" w:rsidRPr="006B4926" w:rsidRDefault="000866F3" w:rsidP="000866F3">
      <w:pPr>
        <w:rPr>
          <w:bCs/>
          <w:sz w:val="28"/>
          <w:szCs w:val="28"/>
        </w:rPr>
      </w:pPr>
      <w:bookmarkStart w:id="0" w:name="_GoBack"/>
      <w:bookmarkEnd w:id="0"/>
    </w:p>
    <w:p w14:paraId="2F1326D0" w14:textId="77777777" w:rsidR="000866F3" w:rsidRDefault="000866F3" w:rsidP="000866F3">
      <w:pPr>
        <w:rPr>
          <w:bCs/>
          <w:sz w:val="28"/>
          <w:szCs w:val="28"/>
          <w:lang w:val="sr-Latn-CS"/>
        </w:rPr>
      </w:pPr>
    </w:p>
    <w:p w14:paraId="0CC4BE93" w14:textId="77777777" w:rsidR="000866F3" w:rsidRPr="007B576C" w:rsidRDefault="000866F3" w:rsidP="007B576C">
      <w:pPr>
        <w:rPr>
          <w:rFonts w:ascii="Arial" w:hAnsi="Arial"/>
          <w:bCs/>
          <w:color w:val="365F91"/>
          <w:sz w:val="72"/>
          <w:szCs w:val="72"/>
          <w:lang w:val="sr-Latn-CS"/>
        </w:rPr>
      </w:pPr>
      <w:r w:rsidRPr="007B576C">
        <w:rPr>
          <w:rFonts w:ascii="Arial" w:hAnsi="Arial"/>
          <w:bCs/>
          <w:color w:val="365F91"/>
          <w:sz w:val="72"/>
          <w:szCs w:val="72"/>
          <w:lang w:val="sr-Latn-CS"/>
        </w:rPr>
        <w:t>SIROMA</w:t>
      </w:r>
      <w:r w:rsidR="007B576C" w:rsidRPr="007B576C">
        <w:rPr>
          <w:rFonts w:ascii="Arial" w:hAnsi="Arial"/>
          <w:bCs/>
          <w:color w:val="365F91"/>
          <w:sz w:val="72"/>
          <w:szCs w:val="72"/>
          <w:lang w:val="sr-Latn-CS"/>
        </w:rPr>
        <w:t>Š</w:t>
      </w:r>
      <w:r w:rsidRPr="007B576C">
        <w:rPr>
          <w:rFonts w:ascii="Arial" w:hAnsi="Arial"/>
          <w:bCs/>
          <w:color w:val="365F91"/>
          <w:sz w:val="72"/>
          <w:szCs w:val="72"/>
          <w:lang w:val="sr-Latn-CS"/>
        </w:rPr>
        <w:t>TVO U SRBIJI U 2014. GODINI</w:t>
      </w:r>
    </w:p>
    <w:p w14:paraId="72CFCC0A" w14:textId="77777777" w:rsidR="000866F3" w:rsidRDefault="000866F3" w:rsidP="000866F3">
      <w:pPr>
        <w:rPr>
          <w:bCs/>
          <w:sz w:val="28"/>
          <w:szCs w:val="28"/>
          <w:lang w:val="sr-Latn-CS"/>
        </w:rPr>
      </w:pPr>
    </w:p>
    <w:p w14:paraId="28D39624" w14:textId="77777777" w:rsidR="000866F3" w:rsidRDefault="000866F3" w:rsidP="000866F3">
      <w:pPr>
        <w:rPr>
          <w:bCs/>
          <w:sz w:val="28"/>
          <w:szCs w:val="28"/>
          <w:lang w:val="sr-Latn-CS"/>
        </w:rPr>
      </w:pPr>
    </w:p>
    <w:p w14:paraId="5833BC51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53CC5614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610F1142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1A160292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596D5C9A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53865750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63D069F5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4D7DCA4C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6DC6ADD5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7A07B79E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151C1054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70AB1797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6EB4FB15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30113EF4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20A8E6E4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0AAE80EA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63943A71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4892EC0C" w14:textId="77777777" w:rsidR="007B576C" w:rsidRDefault="007B576C" w:rsidP="000866F3">
      <w:pPr>
        <w:jc w:val="center"/>
        <w:rPr>
          <w:bCs/>
          <w:sz w:val="28"/>
          <w:szCs w:val="28"/>
          <w:lang w:val="sr-Latn-CS"/>
        </w:rPr>
      </w:pPr>
    </w:p>
    <w:p w14:paraId="477670E2" w14:textId="77777777" w:rsidR="007B576C" w:rsidRDefault="007B576C" w:rsidP="000866F3">
      <w:pPr>
        <w:jc w:val="center"/>
        <w:rPr>
          <w:bCs/>
          <w:sz w:val="28"/>
          <w:szCs w:val="28"/>
          <w:lang w:val="sr-Latn-CS"/>
        </w:rPr>
      </w:pPr>
    </w:p>
    <w:p w14:paraId="25D576DA" w14:textId="77777777" w:rsidR="007B576C" w:rsidRDefault="007B576C" w:rsidP="000866F3">
      <w:pPr>
        <w:jc w:val="center"/>
        <w:rPr>
          <w:bCs/>
          <w:sz w:val="28"/>
          <w:szCs w:val="28"/>
          <w:lang w:val="sr-Latn-CS"/>
        </w:rPr>
      </w:pPr>
    </w:p>
    <w:p w14:paraId="093D607E" w14:textId="77777777" w:rsidR="007B576C" w:rsidRDefault="007B576C" w:rsidP="000866F3">
      <w:pPr>
        <w:jc w:val="center"/>
        <w:rPr>
          <w:bCs/>
          <w:sz w:val="28"/>
          <w:szCs w:val="28"/>
          <w:lang w:val="sr-Latn-CS"/>
        </w:rPr>
      </w:pPr>
    </w:p>
    <w:p w14:paraId="12AB6657" w14:textId="77777777" w:rsidR="007B576C" w:rsidRDefault="007B576C" w:rsidP="000866F3">
      <w:pPr>
        <w:jc w:val="center"/>
        <w:rPr>
          <w:bCs/>
          <w:sz w:val="28"/>
          <w:szCs w:val="28"/>
          <w:lang w:val="sr-Latn-CS"/>
        </w:rPr>
      </w:pPr>
    </w:p>
    <w:p w14:paraId="5481E3A8" w14:textId="77777777" w:rsidR="007B576C" w:rsidRDefault="007B576C" w:rsidP="000866F3">
      <w:pPr>
        <w:jc w:val="center"/>
        <w:rPr>
          <w:bCs/>
          <w:sz w:val="28"/>
          <w:szCs w:val="28"/>
          <w:lang w:val="sr-Latn-CS"/>
        </w:rPr>
      </w:pPr>
    </w:p>
    <w:p w14:paraId="16078BE2" w14:textId="77777777" w:rsidR="004A16F8" w:rsidRDefault="004A16F8" w:rsidP="000866F3">
      <w:pPr>
        <w:jc w:val="center"/>
        <w:rPr>
          <w:bCs/>
          <w:sz w:val="28"/>
          <w:szCs w:val="28"/>
          <w:lang w:val="sr-Latn-CS"/>
        </w:rPr>
      </w:pPr>
    </w:p>
    <w:p w14:paraId="3A8E2D80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7B745D84" w14:textId="77777777" w:rsidR="000866F3" w:rsidRDefault="000866F3" w:rsidP="007B576C">
      <w:pPr>
        <w:rPr>
          <w:rFonts w:ascii="Houschka Pro DemiBold" w:hAnsi="Houschka Pro DemiBold"/>
          <w:bCs/>
          <w:sz w:val="21"/>
          <w:szCs w:val="21"/>
          <w:lang w:val="sr-Latn-CS"/>
        </w:rPr>
      </w:pPr>
    </w:p>
    <w:p w14:paraId="3A347EE0" w14:textId="77777777" w:rsidR="004A16F8" w:rsidRPr="007B576C" w:rsidRDefault="004A16F8" w:rsidP="007B576C">
      <w:pPr>
        <w:rPr>
          <w:rFonts w:ascii="Houschka Pro DemiBold" w:hAnsi="Houschka Pro DemiBold"/>
          <w:bCs/>
          <w:sz w:val="21"/>
          <w:szCs w:val="21"/>
          <w:lang w:val="sr-Latn-CS"/>
        </w:rPr>
      </w:pPr>
    </w:p>
    <w:p w14:paraId="0AF41CD6" w14:textId="77777777" w:rsidR="000866F3" w:rsidRDefault="007B576C" w:rsidP="007B576C">
      <w:pPr>
        <w:rPr>
          <w:rFonts w:ascii="Houschka Pro DemiBold" w:hAnsi="Houschka Pro DemiBold"/>
          <w:bCs/>
          <w:sz w:val="21"/>
          <w:szCs w:val="21"/>
          <w:lang w:val="sr-Latn-CS"/>
        </w:rPr>
      </w:pPr>
      <w:r w:rsidRPr="007B576C">
        <w:rPr>
          <w:rFonts w:ascii="Houschka Pro DemiBold" w:hAnsi="Houschka Pro DemiBold"/>
          <w:bCs/>
          <w:sz w:val="21"/>
          <w:szCs w:val="21"/>
          <w:lang w:val="sr-Latn-CS"/>
        </w:rPr>
        <w:t>Avgust 2015.</w:t>
      </w:r>
    </w:p>
    <w:p w14:paraId="5202FFD4" w14:textId="77777777" w:rsidR="004A16F8" w:rsidRPr="007B576C" w:rsidRDefault="004A16F8" w:rsidP="007B576C">
      <w:pPr>
        <w:rPr>
          <w:rFonts w:ascii="Houschka Pro DemiBold" w:hAnsi="Houschka Pro DemiBold"/>
          <w:bCs/>
          <w:sz w:val="21"/>
          <w:szCs w:val="21"/>
          <w:lang w:val="sr-Latn-CS"/>
        </w:rPr>
      </w:pPr>
    </w:p>
    <w:p w14:paraId="581D49CC" w14:textId="77777777" w:rsidR="000866F3" w:rsidRDefault="0049768B" w:rsidP="004A16F8">
      <w:pPr>
        <w:rPr>
          <w:bCs/>
          <w:sz w:val="28"/>
          <w:szCs w:val="28"/>
          <w:lang w:val="sr-Latn-CS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7BA825C6" wp14:editId="7CBE188F">
            <wp:simplePos x="0" y="0"/>
            <wp:positionH relativeFrom="column">
              <wp:posOffset>3810</wp:posOffset>
            </wp:positionH>
            <wp:positionV relativeFrom="paragraph">
              <wp:posOffset>15240</wp:posOffset>
            </wp:positionV>
            <wp:extent cx="416560" cy="668655"/>
            <wp:effectExtent l="0" t="0" r="0" b="0"/>
            <wp:wrapThrough wrapText="bothSides">
              <wp:wrapPolygon edited="0">
                <wp:start x="0" y="0"/>
                <wp:lineTo x="0" y="20513"/>
                <wp:lineTo x="19756" y="20513"/>
                <wp:lineTo x="19756" y="0"/>
                <wp:lineTo x="0" y="0"/>
              </wp:wrapPolygon>
            </wp:wrapThrough>
            <wp:docPr id="7" name="Picture 1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6F8">
        <w:rPr>
          <w:bCs/>
          <w:sz w:val="28"/>
          <w:szCs w:val="28"/>
          <w:lang w:val="sr-Latn-CS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3C11B10" wp14:editId="42380B0E">
            <wp:extent cx="2616200" cy="571500"/>
            <wp:effectExtent l="0" t="0" r="0" b="12700"/>
            <wp:docPr id="1" name="Picture 3" descr="bigMAC:Users:daliborjovanovic:Documents:PROJEKTI:EVROPA SIROMASTVO 2014:E1:Evropa:untitled folder:TIM logo_JPG:TIM logo_JPG:TIM_colou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MAC:Users:daliborjovanovic:Documents:PROJEKTI:EVROPA SIROMASTVO 2014:E1:Evropa:untitled folder:TIM logo_JPG:TIM logo_JPG:TIM_colour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76C">
        <w:rPr>
          <w:bCs/>
          <w:sz w:val="28"/>
          <w:szCs w:val="28"/>
          <w:lang w:val="sr-Latn-CS"/>
        </w:rPr>
        <w:t xml:space="preserve">   </w:t>
      </w:r>
      <w:r w:rsidR="004A16F8">
        <w:rPr>
          <w:bCs/>
          <w:sz w:val="28"/>
          <w:szCs w:val="28"/>
          <w:lang w:val="sr-Latn-CS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7B0CF48B" wp14:editId="3B0E7E3E">
            <wp:extent cx="431800" cy="660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F285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534CD272" w14:textId="77777777" w:rsidR="00263B86" w:rsidRDefault="00263B86" w:rsidP="006F771F">
      <w:pPr>
        <w:rPr>
          <w:rFonts w:ascii="Arial" w:hAnsi="Arial"/>
          <w:bCs/>
          <w:color w:val="365F91"/>
          <w:sz w:val="28"/>
          <w:szCs w:val="28"/>
          <w:lang w:val="sr-Latn-CS"/>
        </w:rPr>
      </w:pPr>
    </w:p>
    <w:p w14:paraId="45323C7A" w14:textId="77777777" w:rsidR="00263B86" w:rsidRDefault="00263B86" w:rsidP="006F771F">
      <w:pPr>
        <w:rPr>
          <w:rFonts w:ascii="Arial" w:hAnsi="Arial"/>
          <w:bCs/>
          <w:color w:val="365F91"/>
          <w:sz w:val="28"/>
          <w:szCs w:val="28"/>
          <w:lang w:val="sr-Latn-CS"/>
        </w:rPr>
      </w:pPr>
    </w:p>
    <w:p w14:paraId="3346DEBA" w14:textId="77777777" w:rsidR="006F771F" w:rsidRDefault="006F771F" w:rsidP="006F771F">
      <w:pPr>
        <w:rPr>
          <w:rFonts w:ascii="Arial" w:hAnsi="Arial"/>
          <w:bCs/>
          <w:color w:val="365F91"/>
          <w:sz w:val="28"/>
          <w:szCs w:val="28"/>
          <w:lang w:val="sr-Latn-CS"/>
        </w:rPr>
      </w:pPr>
      <w:r>
        <w:rPr>
          <w:rFonts w:ascii="Arial" w:hAnsi="Arial"/>
          <w:bCs/>
          <w:color w:val="365F91"/>
          <w:sz w:val="28"/>
          <w:szCs w:val="28"/>
          <w:lang w:val="sr-Latn-CS"/>
        </w:rPr>
        <w:t>Siromaštvo u Srbiji u 2014. g</w:t>
      </w:r>
      <w:r w:rsidRPr="006F771F">
        <w:rPr>
          <w:rFonts w:ascii="Arial" w:hAnsi="Arial"/>
          <w:bCs/>
          <w:color w:val="365F91"/>
          <w:sz w:val="28"/>
          <w:szCs w:val="28"/>
          <w:lang w:val="sr-Latn-CS"/>
        </w:rPr>
        <w:t>odini</w:t>
      </w:r>
    </w:p>
    <w:p w14:paraId="40DB4735" w14:textId="77777777" w:rsidR="00D40BE5" w:rsidRDefault="00D40BE5" w:rsidP="006F771F">
      <w:pPr>
        <w:rPr>
          <w:rFonts w:ascii="Arial" w:hAnsi="Arial"/>
          <w:bCs/>
          <w:color w:val="365F91"/>
          <w:sz w:val="28"/>
          <w:szCs w:val="28"/>
          <w:lang w:val="sr-Latn-CS"/>
        </w:rPr>
      </w:pPr>
    </w:p>
    <w:p w14:paraId="37479A97" w14:textId="77777777" w:rsidR="00D40BE5" w:rsidRDefault="00D40BE5" w:rsidP="006F771F">
      <w:pPr>
        <w:rPr>
          <w:rFonts w:ascii="Arial" w:hAnsi="Arial"/>
          <w:bCs/>
          <w:color w:val="365F91"/>
          <w:sz w:val="28"/>
          <w:szCs w:val="28"/>
          <w:lang w:val="sr-Latn-CS"/>
        </w:rPr>
      </w:pPr>
    </w:p>
    <w:p w14:paraId="510260A1" w14:textId="77777777" w:rsidR="00D40BE5" w:rsidRPr="00D40BE5" w:rsidRDefault="00D40BE5" w:rsidP="00D40BE5">
      <w:pPr>
        <w:rPr>
          <w:rFonts w:ascii="Arial" w:hAnsi="Arial"/>
          <w:b/>
          <w:bCs/>
          <w:sz w:val="21"/>
          <w:szCs w:val="21"/>
          <w:lang w:val="sr-Latn-CS"/>
        </w:rPr>
      </w:pPr>
      <w:r w:rsidRPr="00D40BE5">
        <w:rPr>
          <w:rFonts w:ascii="Arial" w:hAnsi="Arial"/>
          <w:b/>
          <w:bCs/>
          <w:sz w:val="21"/>
          <w:szCs w:val="21"/>
          <w:lang w:val="sr-Latn-CS"/>
        </w:rPr>
        <w:t>Izdavač</w:t>
      </w:r>
    </w:p>
    <w:p w14:paraId="6341EF28" w14:textId="77777777" w:rsidR="00D40BE5" w:rsidRPr="00D40BE5" w:rsidRDefault="00D40BE5" w:rsidP="00D40BE5">
      <w:pPr>
        <w:rPr>
          <w:rFonts w:ascii="Arial" w:hAnsi="Arial"/>
          <w:bCs/>
          <w:sz w:val="21"/>
          <w:szCs w:val="21"/>
          <w:lang w:val="sr-Latn-CS"/>
        </w:rPr>
      </w:pPr>
      <w:r w:rsidRPr="00D40BE5">
        <w:rPr>
          <w:rFonts w:ascii="Arial" w:hAnsi="Arial"/>
          <w:bCs/>
          <w:sz w:val="21"/>
          <w:szCs w:val="21"/>
          <w:lang w:val="sr-Latn-CS"/>
        </w:rPr>
        <w:t>Tim za socijalno uključivanje i smanjenje siromaštva</w:t>
      </w:r>
    </w:p>
    <w:p w14:paraId="7380B63B" w14:textId="77777777" w:rsidR="00D40BE5" w:rsidRPr="00D40BE5" w:rsidRDefault="00D40BE5" w:rsidP="00D40BE5">
      <w:pPr>
        <w:rPr>
          <w:rFonts w:ascii="Arial" w:hAnsi="Arial"/>
          <w:bCs/>
          <w:sz w:val="21"/>
          <w:szCs w:val="21"/>
          <w:lang w:val="sr-Latn-CS"/>
        </w:rPr>
      </w:pPr>
      <w:r w:rsidRPr="00D40BE5">
        <w:rPr>
          <w:rFonts w:ascii="Arial" w:hAnsi="Arial"/>
          <w:bCs/>
          <w:sz w:val="21"/>
          <w:szCs w:val="21"/>
          <w:lang w:val="sr-Latn-CS"/>
        </w:rPr>
        <w:t>Vlada Republike Srbije</w:t>
      </w:r>
    </w:p>
    <w:p w14:paraId="2BDBFA6F" w14:textId="77777777" w:rsidR="00D40BE5" w:rsidRPr="00D40BE5" w:rsidRDefault="00D40BE5" w:rsidP="00D40BE5">
      <w:pPr>
        <w:rPr>
          <w:rFonts w:ascii="Arial" w:hAnsi="Arial"/>
          <w:bCs/>
          <w:sz w:val="21"/>
          <w:szCs w:val="21"/>
          <w:lang w:val="sr-Latn-CS"/>
        </w:rPr>
      </w:pPr>
    </w:p>
    <w:p w14:paraId="312337B0" w14:textId="77777777" w:rsidR="00D40BE5" w:rsidRPr="00D40BE5" w:rsidRDefault="00D40BE5" w:rsidP="00D40BE5">
      <w:pPr>
        <w:rPr>
          <w:rFonts w:ascii="Arial" w:hAnsi="Arial"/>
          <w:b/>
          <w:bCs/>
          <w:sz w:val="21"/>
          <w:szCs w:val="21"/>
          <w:lang w:val="sr-Latn-CS"/>
        </w:rPr>
      </w:pPr>
      <w:r w:rsidRPr="00D40BE5">
        <w:rPr>
          <w:rFonts w:ascii="Arial" w:hAnsi="Arial"/>
          <w:b/>
          <w:bCs/>
          <w:sz w:val="21"/>
          <w:szCs w:val="21"/>
          <w:lang w:val="sr-Latn-CS"/>
        </w:rPr>
        <w:t>Autor</w:t>
      </w:r>
    </w:p>
    <w:p w14:paraId="2F1C19BB" w14:textId="77777777" w:rsidR="00D40BE5" w:rsidRPr="00D40BE5" w:rsidRDefault="00D40BE5" w:rsidP="00D40BE5">
      <w:pPr>
        <w:rPr>
          <w:rFonts w:ascii="Arial" w:hAnsi="Arial" w:cs="Arial"/>
          <w:bCs/>
          <w:sz w:val="21"/>
          <w:szCs w:val="21"/>
          <w:lang w:val="sr-Latn-CS"/>
        </w:rPr>
      </w:pPr>
      <w:r w:rsidRPr="00D40BE5">
        <w:rPr>
          <w:rFonts w:ascii="Arial" w:hAnsi="Arial" w:cs="Arial"/>
          <w:bCs/>
          <w:sz w:val="21"/>
          <w:szCs w:val="21"/>
          <w:lang w:val="sr-Latn-CS"/>
        </w:rPr>
        <w:t>Boško Mijatović</w:t>
      </w:r>
    </w:p>
    <w:p w14:paraId="6413D6A6" w14:textId="77777777" w:rsidR="00D40BE5" w:rsidRPr="00D40BE5" w:rsidRDefault="00D40BE5" w:rsidP="00D40BE5">
      <w:pPr>
        <w:rPr>
          <w:rFonts w:ascii="Arial" w:hAnsi="Arial"/>
          <w:bCs/>
          <w:sz w:val="21"/>
          <w:szCs w:val="21"/>
          <w:lang w:val="sr-Latn-CS"/>
        </w:rPr>
      </w:pPr>
    </w:p>
    <w:p w14:paraId="681E9597" w14:textId="77777777" w:rsidR="00D40BE5" w:rsidRPr="00D40BE5" w:rsidRDefault="00D40BE5" w:rsidP="00D40BE5">
      <w:pPr>
        <w:rPr>
          <w:rFonts w:ascii="Arial" w:hAnsi="Arial"/>
          <w:b/>
          <w:bCs/>
          <w:sz w:val="21"/>
          <w:szCs w:val="21"/>
          <w:lang w:val="sr-Latn-CS"/>
        </w:rPr>
      </w:pPr>
      <w:r w:rsidRPr="00D40BE5">
        <w:rPr>
          <w:rFonts w:ascii="Arial" w:hAnsi="Arial"/>
          <w:b/>
          <w:bCs/>
          <w:sz w:val="21"/>
          <w:szCs w:val="21"/>
          <w:lang w:val="sr-Latn-CS"/>
        </w:rPr>
        <w:t>Urednik</w:t>
      </w:r>
    </w:p>
    <w:p w14:paraId="785DA249" w14:textId="77777777" w:rsidR="00D40BE5" w:rsidRPr="00D40BE5" w:rsidRDefault="00D40BE5" w:rsidP="00D40BE5">
      <w:pPr>
        <w:rPr>
          <w:rFonts w:ascii="Arial" w:hAnsi="Arial"/>
          <w:bCs/>
          <w:sz w:val="21"/>
          <w:szCs w:val="21"/>
          <w:lang w:val="sr-Latn-CS"/>
        </w:rPr>
      </w:pPr>
      <w:r>
        <w:rPr>
          <w:rFonts w:ascii="Arial" w:hAnsi="Arial"/>
          <w:bCs/>
          <w:sz w:val="21"/>
          <w:szCs w:val="21"/>
          <w:lang w:val="sr-Latn-CS"/>
        </w:rPr>
        <w:t>Žarko Šunderić</w:t>
      </w:r>
    </w:p>
    <w:p w14:paraId="3B27C1F5" w14:textId="77777777" w:rsidR="00D40BE5" w:rsidRPr="00D40BE5" w:rsidRDefault="00D40BE5" w:rsidP="00D40BE5">
      <w:pPr>
        <w:rPr>
          <w:rFonts w:ascii="Arial" w:hAnsi="Arial"/>
          <w:bCs/>
          <w:sz w:val="21"/>
          <w:szCs w:val="21"/>
          <w:lang w:val="sr-Latn-CS"/>
        </w:rPr>
      </w:pPr>
    </w:p>
    <w:p w14:paraId="7F489C28" w14:textId="77777777" w:rsidR="00D40BE5" w:rsidRPr="00D40BE5" w:rsidRDefault="00D40BE5" w:rsidP="00D40BE5">
      <w:pPr>
        <w:rPr>
          <w:rFonts w:ascii="Arial" w:hAnsi="Arial"/>
          <w:b/>
          <w:bCs/>
          <w:sz w:val="21"/>
          <w:szCs w:val="21"/>
          <w:lang w:val="sr-Latn-CS"/>
        </w:rPr>
      </w:pPr>
      <w:r w:rsidRPr="00D40BE5">
        <w:rPr>
          <w:rFonts w:ascii="Arial" w:hAnsi="Arial"/>
          <w:b/>
          <w:bCs/>
          <w:sz w:val="21"/>
          <w:szCs w:val="21"/>
          <w:lang w:val="sr-Latn-CS"/>
        </w:rPr>
        <w:t>Dizajn i priprema</w:t>
      </w:r>
    </w:p>
    <w:p w14:paraId="1F9BA7AA" w14:textId="77777777" w:rsidR="00D40BE5" w:rsidRPr="00D40BE5" w:rsidRDefault="00D40BE5" w:rsidP="00D40BE5">
      <w:pPr>
        <w:rPr>
          <w:rFonts w:ascii="Arial" w:hAnsi="Arial"/>
          <w:bCs/>
          <w:sz w:val="21"/>
          <w:szCs w:val="21"/>
          <w:lang w:val="sr-Latn-CS"/>
        </w:rPr>
      </w:pPr>
      <w:r w:rsidRPr="00D40BE5">
        <w:rPr>
          <w:rFonts w:ascii="Arial" w:hAnsi="Arial"/>
          <w:bCs/>
          <w:sz w:val="21"/>
          <w:szCs w:val="21"/>
          <w:lang w:val="sr-Latn-CS"/>
        </w:rPr>
        <w:t>Dalibor Jovanović</w:t>
      </w:r>
    </w:p>
    <w:p w14:paraId="317BE56C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791D30B4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6FE26CBD" w14:textId="77777777" w:rsidR="00D40BE5" w:rsidRDefault="00D40BE5" w:rsidP="000866F3">
      <w:pPr>
        <w:jc w:val="center"/>
        <w:rPr>
          <w:bCs/>
          <w:sz w:val="28"/>
          <w:szCs w:val="28"/>
          <w:lang w:val="sr-Latn-CS"/>
        </w:rPr>
      </w:pPr>
    </w:p>
    <w:p w14:paraId="5C727888" w14:textId="77777777" w:rsidR="00D40BE5" w:rsidRDefault="00D40BE5" w:rsidP="000866F3">
      <w:pPr>
        <w:jc w:val="center"/>
        <w:rPr>
          <w:bCs/>
          <w:sz w:val="28"/>
          <w:szCs w:val="28"/>
          <w:lang w:val="sr-Latn-CS"/>
        </w:rPr>
      </w:pPr>
    </w:p>
    <w:p w14:paraId="2E86EC93" w14:textId="77777777" w:rsidR="006F771F" w:rsidRDefault="006F771F" w:rsidP="00C54487">
      <w:pPr>
        <w:rPr>
          <w:bCs/>
          <w:sz w:val="28"/>
          <w:szCs w:val="28"/>
          <w:lang w:val="sr-Latn-CS"/>
        </w:rPr>
      </w:pPr>
    </w:p>
    <w:p w14:paraId="092E7DDA" w14:textId="77777777" w:rsidR="00C54487" w:rsidRPr="002828A1" w:rsidRDefault="00C54487" w:rsidP="00D40BE5">
      <w:pPr>
        <w:rPr>
          <w:rFonts w:ascii="Arial" w:hAnsi="Arial" w:cs="Arial"/>
          <w:szCs w:val="22"/>
          <w:lang w:val="sr-Latn-CS"/>
        </w:rPr>
      </w:pPr>
    </w:p>
    <w:p w14:paraId="579EBB62" w14:textId="77777777" w:rsidR="00C54487" w:rsidRPr="002828A1" w:rsidRDefault="00C54487" w:rsidP="00D40BE5">
      <w:pPr>
        <w:rPr>
          <w:rFonts w:ascii="Arial" w:hAnsi="Arial" w:cs="Arial"/>
          <w:szCs w:val="22"/>
          <w:lang w:val="sr-Latn-CS"/>
        </w:rPr>
      </w:pPr>
    </w:p>
    <w:p w14:paraId="7F87785D" w14:textId="77777777" w:rsidR="00C54487" w:rsidRPr="002828A1" w:rsidRDefault="00C54487" w:rsidP="00D40BE5">
      <w:pPr>
        <w:rPr>
          <w:rFonts w:ascii="Arial" w:hAnsi="Arial" w:cs="Arial"/>
          <w:szCs w:val="22"/>
          <w:lang w:val="sr-Latn-CS"/>
        </w:rPr>
      </w:pPr>
    </w:p>
    <w:p w14:paraId="0B2178DB" w14:textId="77777777" w:rsidR="00C54487" w:rsidRPr="002828A1" w:rsidRDefault="00C54487" w:rsidP="00D40BE5">
      <w:pPr>
        <w:rPr>
          <w:rFonts w:ascii="Arial" w:hAnsi="Arial" w:cs="Arial"/>
          <w:szCs w:val="22"/>
          <w:lang w:val="sr-Latn-CS"/>
        </w:rPr>
      </w:pPr>
    </w:p>
    <w:p w14:paraId="1E2620C8" w14:textId="77777777" w:rsidR="00D40BE5" w:rsidRPr="002828A1" w:rsidRDefault="0049768B" w:rsidP="00C54487">
      <w:pPr>
        <w:spacing w:before="480" w:after="240" w:line="276" w:lineRule="auto"/>
        <w:rPr>
          <w:rFonts w:ascii="Arial" w:hAnsi="Arial" w:cs="Arial"/>
          <w:sz w:val="18"/>
          <w:szCs w:val="18"/>
          <w:lang w:val="sr-Latn-C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0DF334" wp14:editId="5037F432">
            <wp:simplePos x="0" y="0"/>
            <wp:positionH relativeFrom="column">
              <wp:posOffset>4535805</wp:posOffset>
            </wp:positionH>
            <wp:positionV relativeFrom="paragraph">
              <wp:posOffset>576580</wp:posOffset>
            </wp:positionV>
            <wp:extent cx="571500" cy="861060"/>
            <wp:effectExtent l="0" t="0" r="1270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6192" behindDoc="1" locked="0" layoutInCell="1" allowOverlap="1" wp14:anchorId="0DA007FF" wp14:editId="4F5F6F58">
            <wp:simplePos x="0" y="0"/>
            <wp:positionH relativeFrom="column">
              <wp:posOffset>-114300</wp:posOffset>
            </wp:positionH>
            <wp:positionV relativeFrom="paragraph">
              <wp:posOffset>387985</wp:posOffset>
            </wp:positionV>
            <wp:extent cx="647700" cy="1041400"/>
            <wp:effectExtent l="0" t="0" r="12700" b="0"/>
            <wp:wrapThrough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hrough>
            <wp:docPr id="5" name="Picture 5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87" w:rsidRPr="002828A1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37C46D7A" w14:textId="77777777" w:rsidR="00C54487" w:rsidRPr="00C54487" w:rsidRDefault="00C54487" w:rsidP="00C54487">
      <w:pPr>
        <w:spacing w:before="480" w:after="240" w:line="276" w:lineRule="auto"/>
        <w:rPr>
          <w:rFonts w:ascii="Arial" w:hAnsi="Arial" w:cs="Arial"/>
          <w:sz w:val="18"/>
          <w:szCs w:val="18"/>
        </w:rPr>
      </w:pPr>
      <w:r w:rsidRPr="002828A1">
        <w:rPr>
          <w:rFonts w:ascii="Arial" w:hAnsi="Arial" w:cs="Arial"/>
          <w:sz w:val="18"/>
          <w:szCs w:val="18"/>
          <w:lang w:val="sr-Latn-CS"/>
        </w:rPr>
        <w:t xml:space="preserve">                             </w:t>
      </w:r>
      <w:r w:rsidR="0049768B">
        <w:rPr>
          <w:noProof/>
          <w:sz w:val="28"/>
          <w:szCs w:val="28"/>
        </w:rPr>
        <w:drawing>
          <wp:inline distT="0" distB="0" distL="0" distR="0" wp14:anchorId="1B3F552B" wp14:editId="67B3100F">
            <wp:extent cx="2616200" cy="571500"/>
            <wp:effectExtent l="0" t="0" r="0" b="12700"/>
            <wp:docPr id="3" name="Picture 8" descr="bigMAC:Users:daliborjovanovic:Documents:PROJEKTI:EVROPA SIROMASTVO 2014:E1:Evropa:untitled folder:TIM logo_JPG:TIM logo_JPG:TIM_colou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MAC:Users:daliborjovanovic:Documents:PROJEKTI:EVROPA SIROMASTVO 2014:E1:Evropa:untitled folder:TIM logo_JPG:TIM logo_JPG:TIM_colour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AC7A" w14:textId="77777777" w:rsidR="00D40BE5" w:rsidRPr="004607D5" w:rsidRDefault="00D40BE5" w:rsidP="00D40BE5">
      <w:pPr>
        <w:rPr>
          <w:rFonts w:ascii="Arial" w:hAnsi="Arial" w:cs="Arial"/>
          <w:sz w:val="21"/>
          <w:szCs w:val="21"/>
        </w:rPr>
      </w:pPr>
    </w:p>
    <w:p w14:paraId="32ED7EEA" w14:textId="77777777" w:rsidR="00D40BE5" w:rsidRPr="004607D5" w:rsidRDefault="0049768B" w:rsidP="00D40BE5">
      <w:pPr>
        <w:ind w:left="10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7C0D8D" wp14:editId="4120CEF6">
                <wp:simplePos x="0" y="0"/>
                <wp:positionH relativeFrom="column">
                  <wp:posOffset>-48895</wp:posOffset>
                </wp:positionH>
                <wp:positionV relativeFrom="paragraph">
                  <wp:posOffset>130174</wp:posOffset>
                </wp:positionV>
                <wp:extent cx="58007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5" y="-1"/>
                    <wp:lineTo x="21565" y="-1"/>
                    <wp:lineTo x="0" y="-1"/>
                  </wp:wrapPolygon>
                </wp:wrapThrough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3.8pt;margin-top:10.25pt;width:456.7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" strokecolor="#365f91" strokeweight=".5pt">
                <w10:wrap type="through"/>
              </v:shape>
            </w:pict>
          </mc:Fallback>
        </mc:AlternateContent>
      </w:r>
    </w:p>
    <w:p w14:paraId="5C2AB27E" w14:textId="77777777" w:rsidR="00D40BE5" w:rsidRDefault="0049768B" w:rsidP="00D40BE5">
      <w:pPr>
        <w:ind w:left="10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22B08D0F" wp14:editId="6A203C2F">
            <wp:simplePos x="0" y="0"/>
            <wp:positionH relativeFrom="column">
              <wp:posOffset>-30480</wp:posOffset>
            </wp:positionH>
            <wp:positionV relativeFrom="paragraph">
              <wp:posOffset>104775</wp:posOffset>
            </wp:positionV>
            <wp:extent cx="2397125" cy="885190"/>
            <wp:effectExtent l="0" t="0" r="0" b="3810"/>
            <wp:wrapThrough wrapText="bothSides">
              <wp:wrapPolygon edited="0">
                <wp:start x="0" y="0"/>
                <wp:lineTo x="0" y="21073"/>
                <wp:lineTo x="21285" y="21073"/>
                <wp:lineTo x="21285" y="0"/>
                <wp:lineTo x="0" y="0"/>
              </wp:wrapPolygon>
            </wp:wrapThrough>
            <wp:docPr id="4" name="Picture 7" descr="SDC_RGB_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_RGB_ho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E83A8" w14:textId="77777777" w:rsidR="00C54487" w:rsidRDefault="00C54487" w:rsidP="00C54487">
      <w:pPr>
        <w:rPr>
          <w:rFonts w:ascii="Arial" w:hAnsi="Arial" w:cs="Arial"/>
          <w:b/>
          <w:sz w:val="18"/>
          <w:szCs w:val="18"/>
        </w:rPr>
      </w:pPr>
    </w:p>
    <w:p w14:paraId="60DDB5D8" w14:textId="77777777" w:rsidR="00C54487" w:rsidRPr="00C54487" w:rsidRDefault="00C54487" w:rsidP="00C54487">
      <w:pPr>
        <w:rPr>
          <w:rFonts w:ascii="Arial" w:hAnsi="Arial" w:cs="Arial"/>
          <w:sz w:val="18"/>
          <w:szCs w:val="18"/>
        </w:rPr>
      </w:pPr>
      <w:r w:rsidRPr="00C54487">
        <w:rPr>
          <w:rFonts w:ascii="Arial" w:hAnsi="Arial" w:cs="Arial"/>
          <w:b/>
          <w:sz w:val="18"/>
          <w:szCs w:val="18"/>
        </w:rPr>
        <w:t xml:space="preserve">PODRŠKA: </w:t>
      </w:r>
      <w:r w:rsidRPr="00C54487">
        <w:rPr>
          <w:rFonts w:ascii="Arial" w:hAnsi="Arial" w:cs="Arial"/>
          <w:sz w:val="18"/>
          <w:szCs w:val="18"/>
        </w:rPr>
        <w:t xml:space="preserve">Izrada publikacije omogućena je sredstvima Švajcarske agencije za razvoj i saradnju </w:t>
      </w:r>
    </w:p>
    <w:p w14:paraId="34961C60" w14:textId="77777777" w:rsidR="00C54487" w:rsidRPr="002828A1" w:rsidRDefault="00C54487" w:rsidP="00C54487">
      <w:pPr>
        <w:rPr>
          <w:rFonts w:ascii="Arial" w:hAnsi="Arial" w:cs="Arial"/>
          <w:sz w:val="18"/>
          <w:szCs w:val="18"/>
          <w:lang w:val="de-DE"/>
        </w:rPr>
      </w:pPr>
      <w:r w:rsidRPr="002828A1">
        <w:rPr>
          <w:rFonts w:ascii="Arial" w:hAnsi="Arial" w:cs="Arial"/>
          <w:sz w:val="18"/>
          <w:szCs w:val="18"/>
          <w:lang w:val="de-DE"/>
        </w:rPr>
        <w:t xml:space="preserve">u okviru projekta „Podrška unapređenju procesa </w:t>
      </w:r>
    </w:p>
    <w:p w14:paraId="7DCB60D8" w14:textId="77777777" w:rsidR="00D40BE5" w:rsidRPr="002828A1" w:rsidRDefault="00C54487" w:rsidP="00C54487">
      <w:pPr>
        <w:rPr>
          <w:rFonts w:ascii="Arial" w:hAnsi="Arial" w:cs="Arial"/>
          <w:sz w:val="18"/>
          <w:szCs w:val="18"/>
          <w:lang w:val="de-DE"/>
        </w:rPr>
      </w:pPr>
      <w:r w:rsidRPr="002828A1">
        <w:rPr>
          <w:rFonts w:ascii="Arial" w:hAnsi="Arial" w:cs="Arial"/>
          <w:sz w:val="18"/>
          <w:szCs w:val="18"/>
          <w:lang w:val="de-DE"/>
        </w:rPr>
        <w:t>socijalnog uključivanja u Republici Srbiji“.</w:t>
      </w:r>
    </w:p>
    <w:p w14:paraId="7E4F33BA" w14:textId="77777777" w:rsidR="00C54487" w:rsidRPr="002828A1" w:rsidRDefault="00C54487" w:rsidP="00C54487">
      <w:pPr>
        <w:rPr>
          <w:rFonts w:ascii="Arial" w:hAnsi="Arial" w:cs="Arial"/>
          <w:sz w:val="18"/>
          <w:szCs w:val="18"/>
          <w:lang w:val="de-DE"/>
        </w:rPr>
      </w:pPr>
    </w:p>
    <w:p w14:paraId="3F80711D" w14:textId="77777777" w:rsidR="00D40BE5" w:rsidRPr="002828A1" w:rsidRDefault="00D40BE5" w:rsidP="00D40BE5">
      <w:pPr>
        <w:rPr>
          <w:rFonts w:ascii="Arial" w:hAnsi="Arial" w:cs="Arial"/>
          <w:sz w:val="18"/>
          <w:szCs w:val="18"/>
          <w:lang w:val="de-DE"/>
        </w:rPr>
      </w:pPr>
    </w:p>
    <w:p w14:paraId="3D8039D4" w14:textId="77777777" w:rsidR="00D40BE5" w:rsidRPr="002828A1" w:rsidRDefault="0049768B" w:rsidP="00D40BE5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1B8B4" wp14:editId="4A07C53B">
                <wp:simplePos x="0" y="0"/>
                <wp:positionH relativeFrom="column">
                  <wp:posOffset>-76835</wp:posOffset>
                </wp:positionH>
                <wp:positionV relativeFrom="paragraph">
                  <wp:posOffset>169544</wp:posOffset>
                </wp:positionV>
                <wp:extent cx="58007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5" y="-1"/>
                    <wp:lineTo x="21565" y="-1"/>
                    <wp:lineTo x="0" y="-1"/>
                  </wp:wrapPolygon>
                </wp:wrapThrough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0" o:spid="_x0000_s1026" type="#_x0000_t32" style="position:absolute;margin-left:-6pt;margin-top:13.35pt;width:456.7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" strokecolor="#365f91" strokeweight=".5pt">
                <w10:wrap type="through"/>
              </v:shape>
            </w:pict>
          </mc:Fallback>
        </mc:AlternateContent>
      </w:r>
    </w:p>
    <w:p w14:paraId="7B37611D" w14:textId="77777777" w:rsidR="00C54487" w:rsidRPr="002828A1" w:rsidRDefault="00C54487" w:rsidP="00D40BE5">
      <w:pPr>
        <w:rPr>
          <w:rFonts w:ascii="Arial" w:hAnsi="Arial" w:cs="Arial"/>
          <w:b/>
          <w:sz w:val="18"/>
          <w:szCs w:val="18"/>
          <w:lang w:val="de-DE"/>
        </w:rPr>
      </w:pPr>
    </w:p>
    <w:p w14:paraId="16959358" w14:textId="77777777" w:rsidR="00C54487" w:rsidRPr="002828A1" w:rsidRDefault="00C54487" w:rsidP="00C54487">
      <w:pPr>
        <w:rPr>
          <w:rFonts w:ascii="Arial" w:hAnsi="Arial" w:cs="Arial"/>
          <w:sz w:val="18"/>
          <w:szCs w:val="18"/>
          <w:lang w:val="de-DE"/>
        </w:rPr>
      </w:pPr>
      <w:r w:rsidRPr="002828A1">
        <w:rPr>
          <w:rFonts w:ascii="Arial" w:hAnsi="Arial" w:cs="Arial"/>
          <w:b/>
          <w:sz w:val="18"/>
          <w:szCs w:val="18"/>
          <w:lang w:val="de-DE"/>
        </w:rPr>
        <w:t xml:space="preserve">NAPOMENA: </w:t>
      </w:r>
      <w:r w:rsidRPr="002828A1">
        <w:rPr>
          <w:rFonts w:ascii="Arial" w:hAnsi="Arial" w:cs="Arial"/>
          <w:sz w:val="18"/>
          <w:szCs w:val="18"/>
          <w:lang w:val="de-DE"/>
        </w:rPr>
        <w:t xml:space="preserve">Ova publikacija ne predstavlja zvaničan stav Vlade Republike Srbije. </w:t>
      </w:r>
    </w:p>
    <w:p w14:paraId="0342498D" w14:textId="77777777" w:rsidR="00C54487" w:rsidRPr="002828A1" w:rsidRDefault="00C54487" w:rsidP="00C54487">
      <w:pPr>
        <w:rPr>
          <w:rFonts w:ascii="Arial" w:hAnsi="Arial" w:cs="Arial"/>
          <w:sz w:val="18"/>
          <w:szCs w:val="18"/>
          <w:lang w:val="de-DE"/>
        </w:rPr>
      </w:pPr>
      <w:r w:rsidRPr="002828A1">
        <w:rPr>
          <w:rFonts w:ascii="Arial" w:hAnsi="Arial" w:cs="Arial"/>
          <w:sz w:val="18"/>
          <w:szCs w:val="18"/>
          <w:lang w:val="de-DE"/>
        </w:rPr>
        <w:t>Isključivu odgovornost za sadržaj i informacije koje se nalaze u publikaciji snose</w:t>
      </w:r>
    </w:p>
    <w:p w14:paraId="210C4AA4" w14:textId="77777777" w:rsidR="006F771F" w:rsidRPr="00C54487" w:rsidRDefault="00C54487" w:rsidP="00C54487">
      <w:pPr>
        <w:rPr>
          <w:bCs/>
          <w:sz w:val="28"/>
          <w:szCs w:val="28"/>
          <w:lang w:val="sr-Latn-CS"/>
        </w:rPr>
      </w:pPr>
      <w:r w:rsidRPr="002828A1">
        <w:rPr>
          <w:rFonts w:ascii="Arial" w:hAnsi="Arial" w:cs="Arial"/>
          <w:sz w:val="18"/>
          <w:szCs w:val="18"/>
          <w:lang w:val="de-DE"/>
        </w:rPr>
        <w:t>autori teksta. Takođe, tekst nije pisan rodno senzibilisanim jezikom, jer ga zvanična administracija i zakonodavstvo još uvek ne prepoznaju.</w:t>
      </w:r>
    </w:p>
    <w:p w14:paraId="6F9833B2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3D041466" w14:textId="77777777" w:rsidR="006F771F" w:rsidRDefault="006F771F" w:rsidP="000866F3">
      <w:pPr>
        <w:jc w:val="center"/>
        <w:rPr>
          <w:bCs/>
          <w:sz w:val="28"/>
          <w:szCs w:val="28"/>
          <w:lang w:val="sr-Latn-CS"/>
        </w:rPr>
      </w:pPr>
    </w:p>
    <w:p w14:paraId="608F53B6" w14:textId="77777777" w:rsidR="000866F3" w:rsidRPr="000D1B22" w:rsidRDefault="000866F3" w:rsidP="00851819">
      <w:pPr>
        <w:rPr>
          <w:rFonts w:ascii="Arial" w:hAnsi="Arial" w:cs="Arial"/>
          <w:bCs/>
          <w:color w:val="365F91"/>
          <w:sz w:val="44"/>
          <w:szCs w:val="44"/>
          <w:lang w:val="sr-Latn-CS"/>
        </w:rPr>
      </w:pPr>
      <w:r w:rsidRPr="000D1B22">
        <w:rPr>
          <w:rFonts w:ascii="Arial" w:hAnsi="Arial" w:cs="Arial"/>
          <w:bCs/>
          <w:color w:val="365F91"/>
          <w:sz w:val="44"/>
          <w:szCs w:val="44"/>
          <w:lang w:val="sr-Latn-CS"/>
        </w:rPr>
        <w:t>Sadržaj</w:t>
      </w:r>
    </w:p>
    <w:p w14:paraId="758B51F8" w14:textId="77777777" w:rsidR="00851819" w:rsidRPr="00263B86" w:rsidRDefault="00851819" w:rsidP="00851819">
      <w:pPr>
        <w:rPr>
          <w:rFonts w:ascii="Arial" w:hAnsi="Arial" w:cs="Arial"/>
          <w:bCs/>
          <w:sz w:val="44"/>
          <w:szCs w:val="44"/>
          <w:lang w:val="sr-Latn-CS"/>
        </w:rPr>
      </w:pPr>
    </w:p>
    <w:p w14:paraId="7CD483A9" w14:textId="77777777" w:rsidR="000866F3" w:rsidRPr="00263B86" w:rsidRDefault="000866F3" w:rsidP="000866F3">
      <w:pPr>
        <w:rPr>
          <w:rFonts w:ascii="Arial" w:hAnsi="Arial" w:cs="Arial"/>
          <w:bCs/>
          <w:sz w:val="21"/>
          <w:szCs w:val="21"/>
          <w:lang w:val="sr-Latn-CS"/>
        </w:rPr>
      </w:pPr>
    </w:p>
    <w:p w14:paraId="7FCBF23C" w14:textId="77777777" w:rsidR="00B03F77" w:rsidRDefault="00FE6AD8" w:rsidP="00851819">
      <w:pPr>
        <w:spacing w:line="360" w:lineRule="auto"/>
        <w:ind w:right="-70"/>
        <w:rPr>
          <w:rFonts w:ascii="Arial" w:hAnsi="Arial" w:cs="Arial"/>
          <w:bCs/>
          <w:sz w:val="26"/>
          <w:szCs w:val="26"/>
          <w:lang w:val="sr-Latn-CS"/>
        </w:rPr>
      </w:pPr>
      <w:hyperlink w:anchor="_UVOD_1" w:history="1"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Uvod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>
          <w:rPr>
            <w:rStyle w:val="Hyperlink"/>
            <w:rFonts w:cs="Arial"/>
            <w:bCs/>
            <w:sz w:val="26"/>
            <w:szCs w:val="26"/>
            <w:lang w:val="sr-Latn-CS"/>
          </w:rPr>
          <w:t xml:space="preserve">                                                                                              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4</w:t>
        </w:r>
      </w:hyperlink>
    </w:p>
    <w:p w14:paraId="4E18F423" w14:textId="77777777" w:rsidR="00B03F77" w:rsidRDefault="00FE6AD8" w:rsidP="00851819">
      <w:pPr>
        <w:spacing w:line="360" w:lineRule="auto"/>
        <w:ind w:right="-70"/>
        <w:rPr>
          <w:rFonts w:ascii="Arial" w:hAnsi="Arial" w:cs="Arial"/>
          <w:bCs/>
          <w:sz w:val="26"/>
          <w:szCs w:val="26"/>
          <w:lang w:val="sr-Latn-CS"/>
        </w:rPr>
      </w:pPr>
      <w:hyperlink w:anchor="_METODOLOŠKA_OBJAŠNJENJA" w:history="1"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Metodološka objašnjenja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            5</w:t>
        </w:r>
      </w:hyperlink>
    </w:p>
    <w:p w14:paraId="2E5AC4CC" w14:textId="77777777" w:rsidR="009F3123" w:rsidRPr="00851819" w:rsidRDefault="00FE6AD8" w:rsidP="00851819">
      <w:pPr>
        <w:spacing w:line="360" w:lineRule="auto"/>
        <w:rPr>
          <w:rFonts w:ascii="Arial" w:hAnsi="Arial" w:cs="Arial"/>
          <w:bCs/>
          <w:sz w:val="26"/>
          <w:szCs w:val="26"/>
          <w:lang w:val="sr-Latn-CS"/>
        </w:rPr>
      </w:pPr>
      <w:hyperlink w:anchor="_OCENA_SIROMAŠTVA_U" w:history="1"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 xml:space="preserve">Ocena siromaštva u 2014. 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  6</w:t>
        </w:r>
      </w:hyperlink>
      <w:r w:rsidR="00720B45" w:rsidRPr="00851819">
        <w:rPr>
          <w:rFonts w:ascii="Arial" w:hAnsi="Arial" w:cs="Arial"/>
          <w:bCs/>
          <w:sz w:val="26"/>
          <w:szCs w:val="26"/>
          <w:lang w:val="sr-Latn-CS"/>
        </w:rPr>
        <w:tab/>
      </w:r>
      <w:hyperlink w:anchor="_Osnovni_indikatori_siromaštva" w:history="1"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Osnovni indikatori siromaštva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  6</w:t>
        </w:r>
      </w:hyperlink>
      <w:r w:rsidR="009F3123" w:rsidRPr="00851819">
        <w:rPr>
          <w:rFonts w:ascii="Arial" w:hAnsi="Arial" w:cs="Arial"/>
          <w:bCs/>
          <w:sz w:val="26"/>
          <w:szCs w:val="26"/>
          <w:lang w:val="sr-Latn-CS"/>
        </w:rPr>
        <w:tab/>
      </w:r>
      <w:hyperlink w:anchor="_Analiza_senzitivnosti" w:history="1">
        <w:r w:rsidR="00851819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Analiza senzitivnosti</w:t>
        </w:r>
        <w:r w:rsidR="00851819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851819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851819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851819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851819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851819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9F3123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 xml:space="preserve">   </w:t>
        </w:r>
        <w:r w:rsidR="009F3123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  </w:t>
        </w:r>
        <w:r w:rsidR="00263B86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7</w:t>
        </w:r>
      </w:hyperlink>
    </w:p>
    <w:p w14:paraId="6B3C9708" w14:textId="77777777" w:rsidR="00720B45" w:rsidRPr="00851819" w:rsidRDefault="00720B45" w:rsidP="00851819">
      <w:pPr>
        <w:spacing w:line="360" w:lineRule="auto"/>
        <w:rPr>
          <w:rFonts w:ascii="Arial" w:hAnsi="Arial" w:cs="Arial"/>
          <w:bCs/>
          <w:sz w:val="26"/>
          <w:szCs w:val="26"/>
          <w:lang w:val="sr-Latn-CS"/>
        </w:rPr>
      </w:pPr>
      <w:r w:rsidRPr="00851819">
        <w:rPr>
          <w:rFonts w:ascii="Arial" w:hAnsi="Arial" w:cs="Arial"/>
          <w:bCs/>
          <w:sz w:val="26"/>
          <w:szCs w:val="26"/>
          <w:lang w:val="sr-Latn-CS"/>
        </w:rPr>
        <w:tab/>
      </w:r>
      <w:hyperlink w:anchor="_Siromaštvo_po_tipu" w:history="1">
        <w:r w:rsidR="00851819" w:rsidRPr="00B03F77">
          <w:rPr>
            <w:rStyle w:val="Hyperlink"/>
            <w:rFonts w:cs="Arial"/>
            <w:sz w:val="26"/>
            <w:szCs w:val="26"/>
            <w:lang w:val="sr-Latn-CS"/>
          </w:rPr>
          <w:t>Siromaštvo po tipu naselja</w:t>
        </w:r>
        <w:r w:rsidR="00851819" w:rsidRPr="00B03F77">
          <w:rPr>
            <w:rStyle w:val="Hyperlink"/>
            <w:rFonts w:cs="Arial"/>
            <w:sz w:val="26"/>
            <w:szCs w:val="26"/>
            <w:lang w:val="sr-Latn-CS"/>
          </w:rPr>
          <w:tab/>
        </w:r>
        <w:r w:rsidR="00851819" w:rsidRPr="00B03F77">
          <w:rPr>
            <w:rStyle w:val="Hyperlink"/>
            <w:rFonts w:cs="Arial"/>
            <w:sz w:val="26"/>
            <w:szCs w:val="26"/>
            <w:lang w:val="sr-Latn-CS"/>
          </w:rPr>
          <w:tab/>
        </w:r>
        <w:r w:rsidRPr="00B03F77">
          <w:rPr>
            <w:rStyle w:val="Hyperlink"/>
            <w:rFonts w:cs="Arial"/>
            <w:sz w:val="26"/>
            <w:szCs w:val="26"/>
            <w:lang w:val="sr-Latn-CS"/>
          </w:rPr>
          <w:tab/>
        </w:r>
        <w:r w:rsidRPr="00B03F77">
          <w:rPr>
            <w:rStyle w:val="Hyperlink"/>
            <w:rFonts w:cs="Arial"/>
            <w:sz w:val="26"/>
            <w:szCs w:val="26"/>
            <w:lang w:val="sr-Latn-CS"/>
          </w:rPr>
          <w:tab/>
        </w:r>
        <w:r w:rsidRPr="00B03F77">
          <w:rPr>
            <w:rStyle w:val="Hyperlink"/>
            <w:rFonts w:cs="Arial"/>
            <w:sz w:val="26"/>
            <w:szCs w:val="26"/>
            <w:lang w:val="sr-Latn-CS"/>
          </w:rPr>
          <w:tab/>
        </w:r>
        <w:r w:rsidRPr="00B03F77">
          <w:rPr>
            <w:rStyle w:val="Hyperlink"/>
            <w:rFonts w:cs="Arial"/>
            <w:sz w:val="26"/>
            <w:szCs w:val="26"/>
            <w:lang w:val="sr-Latn-CS"/>
          </w:rPr>
          <w:tab/>
          <w:t xml:space="preserve"> </w:t>
        </w:r>
        <w:r w:rsidR="009F3123" w:rsidRPr="00B03F77">
          <w:rPr>
            <w:rStyle w:val="Hyperlink"/>
            <w:rFonts w:cs="Arial"/>
            <w:sz w:val="26"/>
            <w:szCs w:val="26"/>
            <w:lang w:val="sr-Latn-CS"/>
          </w:rPr>
          <w:t xml:space="preserve"> </w:t>
        </w:r>
        <w:r w:rsidR="00D31C8F" w:rsidRPr="00B03F77">
          <w:rPr>
            <w:rStyle w:val="Hyperlink"/>
            <w:rFonts w:cs="Arial"/>
            <w:sz w:val="26"/>
            <w:szCs w:val="26"/>
            <w:lang w:val="sr-Latn-CS"/>
          </w:rPr>
          <w:t xml:space="preserve"> </w:t>
        </w:r>
        <w:r w:rsidRPr="00B03F77">
          <w:rPr>
            <w:rStyle w:val="Hyperlink"/>
            <w:rFonts w:cs="Arial"/>
            <w:sz w:val="26"/>
            <w:szCs w:val="26"/>
            <w:lang w:val="sr-Latn-CS"/>
          </w:rPr>
          <w:t xml:space="preserve"> </w:t>
        </w:r>
        <w:r w:rsidR="00263B86" w:rsidRPr="00B03F77">
          <w:rPr>
            <w:rStyle w:val="Hyperlink"/>
            <w:rFonts w:cs="Arial"/>
            <w:sz w:val="26"/>
            <w:szCs w:val="26"/>
            <w:lang w:val="sr-Latn-CS"/>
          </w:rPr>
          <w:t>8</w:t>
        </w:r>
      </w:hyperlink>
    </w:p>
    <w:p w14:paraId="0E7AEE58" w14:textId="77777777" w:rsidR="00720B45" w:rsidRPr="00851819" w:rsidRDefault="00FE6AD8" w:rsidP="00851819">
      <w:pPr>
        <w:spacing w:line="360" w:lineRule="auto"/>
        <w:rPr>
          <w:rFonts w:ascii="Arial" w:hAnsi="Arial" w:cs="Arial"/>
          <w:bCs/>
          <w:sz w:val="26"/>
          <w:szCs w:val="26"/>
          <w:lang w:val="sr-Latn-CS"/>
        </w:rPr>
      </w:pPr>
      <w:hyperlink w:anchor="_Geografija_siromaštva" w:history="1"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>Geografija siromaštva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  9</w:t>
        </w:r>
      </w:hyperlink>
      <w:r w:rsidR="00720B45" w:rsidRPr="00851819">
        <w:rPr>
          <w:rFonts w:ascii="Arial" w:hAnsi="Arial" w:cs="Arial"/>
          <w:bCs/>
          <w:sz w:val="26"/>
          <w:szCs w:val="26"/>
          <w:lang w:val="sr-Latn-CS"/>
        </w:rPr>
        <w:tab/>
      </w:r>
      <w:hyperlink w:anchor="_Profil_siromašnih" w:history="1"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Profil siromašnih</w:t>
        </w:r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720B45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D31C8F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263B86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 xml:space="preserve">  </w:t>
        </w:r>
        <w:r w:rsidR="009F3123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 xml:space="preserve"> </w:t>
        </w:r>
        <w:r w:rsidR="00D31C8F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1</w:t>
        </w:r>
        <w:r w:rsidR="00263B86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0</w:t>
        </w:r>
      </w:hyperlink>
    </w:p>
    <w:p w14:paraId="1D1650C1" w14:textId="77777777" w:rsidR="00B03F77" w:rsidRDefault="00FE6AD8" w:rsidP="00851819">
      <w:pPr>
        <w:spacing w:line="360" w:lineRule="auto"/>
        <w:rPr>
          <w:rFonts w:ascii="Arial" w:hAnsi="Arial" w:cs="Arial"/>
          <w:bCs/>
          <w:sz w:val="26"/>
          <w:szCs w:val="26"/>
          <w:lang w:val="sr-Latn-CS"/>
        </w:rPr>
      </w:pPr>
      <w:hyperlink w:anchor="_NEJEDNAKOST" w:history="1"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Nejednakost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 15</w:t>
        </w:r>
      </w:hyperlink>
    </w:p>
    <w:p w14:paraId="7C24CB16" w14:textId="77777777" w:rsidR="000866F3" w:rsidRDefault="00FE6AD8" w:rsidP="000866F3">
      <w:pPr>
        <w:rPr>
          <w:bCs/>
          <w:sz w:val="28"/>
          <w:szCs w:val="28"/>
          <w:lang w:val="sr-Latn-CS"/>
        </w:rPr>
      </w:pPr>
      <w:hyperlink w:anchor="_SIROMAŠTVO_U_PERIODU" w:history="1"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>Siromaštvo u periodu 2008-2014.</w:t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</w:r>
        <w:r w:rsidR="00B03F77" w:rsidRPr="00B03F77">
          <w:rPr>
            <w:rStyle w:val="Hyperlink"/>
            <w:rFonts w:cs="Arial"/>
            <w:bCs/>
            <w:sz w:val="26"/>
            <w:szCs w:val="26"/>
            <w:lang w:val="sr-Latn-CS"/>
          </w:rPr>
          <w:tab/>
          <w:t xml:space="preserve">   17</w:t>
        </w:r>
      </w:hyperlink>
    </w:p>
    <w:p w14:paraId="2A8FF611" w14:textId="77777777" w:rsidR="000866F3" w:rsidRDefault="000866F3" w:rsidP="000866F3">
      <w:pPr>
        <w:rPr>
          <w:bCs/>
          <w:sz w:val="28"/>
          <w:szCs w:val="28"/>
          <w:lang w:val="sr-Latn-CS"/>
        </w:rPr>
      </w:pPr>
    </w:p>
    <w:p w14:paraId="6FDFB361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73F17BD5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1228944A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39CDA2BD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20E90DEB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27C7C15F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35521A8D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29D1602D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606366BA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6068D93E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3162FA0A" w14:textId="77777777" w:rsidR="000866F3" w:rsidRDefault="000866F3" w:rsidP="000866F3">
      <w:pPr>
        <w:jc w:val="center"/>
        <w:rPr>
          <w:bCs/>
          <w:sz w:val="28"/>
          <w:szCs w:val="28"/>
          <w:lang w:val="sr-Latn-CS"/>
        </w:rPr>
      </w:pPr>
    </w:p>
    <w:p w14:paraId="3D1F154B" w14:textId="77777777" w:rsidR="000866F3" w:rsidRDefault="000866F3">
      <w:pPr>
        <w:rPr>
          <w:bCs/>
          <w:sz w:val="28"/>
          <w:szCs w:val="28"/>
          <w:lang w:val="sr-Latn-CS"/>
        </w:rPr>
      </w:pPr>
      <w:r>
        <w:rPr>
          <w:bCs/>
          <w:sz w:val="28"/>
          <w:szCs w:val="28"/>
          <w:lang w:val="sr-Latn-CS"/>
        </w:rPr>
        <w:br w:type="page"/>
      </w:r>
    </w:p>
    <w:p w14:paraId="6C80B8E8" w14:textId="77777777" w:rsidR="009A4B16" w:rsidRPr="000D1B22" w:rsidRDefault="00D55A0D" w:rsidP="00335B31">
      <w:pPr>
        <w:pStyle w:val="Heading3"/>
        <w:spacing w:before="480" w:after="360"/>
        <w:rPr>
          <w:rFonts w:ascii="Arial" w:hAnsi="Arial" w:cs="Arial"/>
          <w:b w:val="0"/>
          <w:color w:val="365F91"/>
          <w:sz w:val="44"/>
          <w:szCs w:val="44"/>
          <w:lang w:val="sr-Latn-CS"/>
        </w:rPr>
      </w:pPr>
      <w:bookmarkStart w:id="1" w:name="_UVOD"/>
      <w:bookmarkStart w:id="2" w:name="_UVOD_1"/>
      <w:bookmarkEnd w:id="1"/>
      <w:bookmarkEnd w:id="2"/>
      <w:r w:rsidRPr="000D1B22">
        <w:rPr>
          <w:rFonts w:ascii="Arial" w:hAnsi="Arial" w:cs="Arial"/>
          <w:b w:val="0"/>
          <w:color w:val="365F91"/>
          <w:sz w:val="44"/>
          <w:szCs w:val="44"/>
          <w:lang w:val="sr-Latn-CS"/>
        </w:rPr>
        <w:lastRenderedPageBreak/>
        <w:t>UVOD</w:t>
      </w:r>
    </w:p>
    <w:p w14:paraId="2142943E" w14:textId="77777777" w:rsidR="009A4B16" w:rsidRPr="00851819" w:rsidRDefault="009A4B16">
      <w:pPr>
        <w:pStyle w:val="CM68"/>
        <w:jc w:val="both"/>
        <w:rPr>
          <w:rFonts w:ascii="Arial" w:hAnsi="Arial" w:cs="Arial"/>
          <w:b/>
          <w:bCs/>
          <w:sz w:val="21"/>
          <w:szCs w:val="21"/>
          <w:lang w:val="sr-Latn-CS"/>
        </w:rPr>
      </w:pPr>
    </w:p>
    <w:p w14:paraId="123DE106" w14:textId="77777777" w:rsidR="009A4B16" w:rsidRPr="00851819" w:rsidRDefault="00D55A0D" w:rsidP="00335B31">
      <w:pPr>
        <w:pStyle w:val="CM68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U ovom tekstu biće iznet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ocena i analiza siromaštva u Srbiji u 2014</w:t>
      </w:r>
      <w:r w:rsidRPr="002828A1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godini uz procenu prateće nejednakosti. Ovaj rad, zajedno sa prethodnom studijom o siromaštvu u periodu 2011-2013. godin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1"/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obezbeđuje kontinuitet ocena siromaštva u Srbiji na osnovu potrošnje (mereći apsolutno siromaštvo), što je </w:t>
      </w:r>
      <w:r w:rsidR="0053099F">
        <w:rPr>
          <w:rFonts w:ascii="Arial" w:hAnsi="Arial" w:cs="Arial"/>
          <w:bCs/>
          <w:sz w:val="21"/>
          <w:szCs w:val="21"/>
          <w:lang w:val="sr-Latn-CS"/>
        </w:rPr>
        <w:t>do nedavno</w:t>
      </w:r>
      <w:r w:rsidR="0053099F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bila standardna </w:t>
      </w:r>
      <w:r w:rsidR="0053099F">
        <w:rPr>
          <w:rFonts w:ascii="Arial" w:hAnsi="Arial" w:cs="Arial"/>
          <w:bCs/>
          <w:sz w:val="21"/>
          <w:szCs w:val="21"/>
          <w:lang w:val="sr-Latn-CS"/>
        </w:rPr>
        <w:t xml:space="preserve">zvanična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metodologija u Srbiji. Naime, ocen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u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siromaštva prema potrošnji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sprovodio</w:t>
      </w:r>
      <w:r w:rsidR="006B4926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je Republički zavod za statistiku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 xml:space="preserve">(RZS)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do 2010.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 xml:space="preserve">godine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na osnovu </w:t>
      </w:r>
      <w:r w:rsidRPr="00851819">
        <w:rPr>
          <w:rFonts w:ascii="Arial" w:hAnsi="Arial" w:cs="Arial"/>
          <w:bCs/>
          <w:i/>
          <w:sz w:val="21"/>
          <w:szCs w:val="21"/>
          <w:lang w:val="sr-Latn-CS"/>
        </w:rPr>
        <w:t>Anket</w:t>
      </w:r>
      <w:r w:rsidR="006B4926">
        <w:rPr>
          <w:rFonts w:ascii="Arial" w:hAnsi="Arial" w:cs="Arial"/>
          <w:bCs/>
          <w:i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bCs/>
          <w:i/>
          <w:sz w:val="21"/>
          <w:szCs w:val="21"/>
          <w:lang w:val="sr-Latn-CS"/>
        </w:rPr>
        <w:t xml:space="preserve"> o potrošnji domaćinstava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, </w:t>
      </w:r>
      <w:r w:rsidRPr="003E156A">
        <w:rPr>
          <w:rFonts w:ascii="Arial" w:hAnsi="Arial" w:cs="Arial"/>
          <w:bCs/>
          <w:sz w:val="21"/>
          <w:szCs w:val="21"/>
          <w:lang w:val="sr-Latn-CS"/>
        </w:rPr>
        <w:t xml:space="preserve">da bi tada prestao zbog orijentacije na ocene </w:t>
      </w:r>
      <w:r w:rsidRPr="003E156A">
        <w:rPr>
          <w:rFonts w:ascii="Arial" w:hAnsi="Arial" w:cs="Arial"/>
          <w:bCs/>
          <w:i/>
          <w:sz w:val="21"/>
          <w:szCs w:val="21"/>
          <w:lang w:val="sr-Latn-CS"/>
        </w:rPr>
        <w:t>rizika siromaštva</w:t>
      </w:r>
      <w:r w:rsidRPr="003E156A">
        <w:rPr>
          <w:rFonts w:ascii="Arial" w:hAnsi="Arial" w:cs="Arial"/>
          <w:bCs/>
          <w:sz w:val="21"/>
          <w:szCs w:val="21"/>
          <w:lang w:val="sr-Latn-CS"/>
        </w:rPr>
        <w:t xml:space="preserve"> prema dohotku</w:t>
      </w:r>
      <w:r w:rsidR="00F33CC0">
        <w:rPr>
          <w:rFonts w:ascii="Arial" w:hAnsi="Arial" w:cs="Arial"/>
          <w:bCs/>
          <w:sz w:val="21"/>
          <w:szCs w:val="21"/>
          <w:lang w:val="sr-Latn-CS"/>
        </w:rPr>
        <w:t xml:space="preserve"> (</w:t>
      </w:r>
      <w:r w:rsidRPr="003E156A">
        <w:rPr>
          <w:rFonts w:ascii="Arial" w:hAnsi="Arial" w:cs="Arial"/>
          <w:bCs/>
          <w:sz w:val="21"/>
          <w:szCs w:val="21"/>
          <w:lang w:val="sr-Latn-CS"/>
        </w:rPr>
        <w:t xml:space="preserve">po </w:t>
      </w:r>
      <w:r w:rsidR="00C9580B" w:rsidRPr="003E156A">
        <w:rPr>
          <w:rFonts w:ascii="Arial" w:hAnsi="Arial" w:cs="Arial"/>
          <w:bCs/>
          <w:sz w:val="21"/>
          <w:szCs w:val="21"/>
          <w:lang w:val="sr-Latn-CS"/>
        </w:rPr>
        <w:t xml:space="preserve">SILC </w:t>
      </w:r>
      <w:r w:rsidRPr="003E156A">
        <w:rPr>
          <w:rFonts w:ascii="Arial" w:hAnsi="Arial" w:cs="Arial"/>
          <w:bCs/>
          <w:sz w:val="21"/>
          <w:szCs w:val="21"/>
          <w:lang w:val="sr-Latn-CS"/>
        </w:rPr>
        <w:t>metodologiji EUROSTAT-a,</w:t>
      </w:r>
      <w:r w:rsidRPr="003E156A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2"/>
      </w:r>
      <w:r w:rsidRPr="003E156A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946533" w:rsidRPr="003E156A">
        <w:rPr>
          <w:rFonts w:ascii="Arial" w:hAnsi="Arial" w:cs="Arial"/>
          <w:bCs/>
          <w:sz w:val="21"/>
          <w:szCs w:val="21"/>
          <w:lang w:val="sr-Latn-CS"/>
        </w:rPr>
        <w:t>na</w:t>
      </w:r>
      <w:r w:rsidRPr="003E156A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946533" w:rsidRPr="003E156A">
        <w:rPr>
          <w:rFonts w:ascii="Arial" w:hAnsi="Arial" w:cs="Arial"/>
          <w:bCs/>
          <w:sz w:val="21"/>
          <w:szCs w:val="21"/>
          <w:lang w:val="sr-Latn-CS"/>
        </w:rPr>
        <w:t>osnovu indikatora EU</w:t>
      </w:r>
      <w:r w:rsidR="00F33CC0">
        <w:rPr>
          <w:rFonts w:ascii="Arial" w:hAnsi="Arial" w:cs="Arial"/>
          <w:bCs/>
          <w:sz w:val="21"/>
          <w:szCs w:val="21"/>
          <w:lang w:val="sr-Latn-CS"/>
        </w:rPr>
        <w:t>)</w:t>
      </w:r>
      <w:r w:rsidRPr="003E156A">
        <w:rPr>
          <w:rFonts w:ascii="Arial" w:hAnsi="Arial" w:cs="Arial"/>
          <w:bCs/>
          <w:sz w:val="21"/>
          <w:szCs w:val="21"/>
          <w:lang w:val="sr-Latn-CS"/>
        </w:rPr>
        <w:t>.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</w:p>
    <w:p w14:paraId="6AEE5621" w14:textId="77777777" w:rsidR="009A4B16" w:rsidRPr="00851819" w:rsidRDefault="009A4B16" w:rsidP="00335B31">
      <w:pPr>
        <w:pStyle w:val="CM68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546B1D9C" w14:textId="77777777" w:rsidR="009A4B16" w:rsidRPr="002828A1" w:rsidRDefault="00D55A0D" w:rsidP="00335B3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Pošto je RZS prestao da vrši analize apsolutnog siromaštva na osnovu potrošnje, postavilo se pitanje da li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 xml:space="preserve">treba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u celini odbaciti ovaj metod i okrenuti se isključivo oceni rizika siromaštva na osnovu dohotka. Među istraživačima,</w:t>
      </w:r>
      <w:r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a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li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i mnogim korisnicima, rašireno je mišljenje da treba zadržati </w:t>
      </w:r>
      <w:r w:rsidR="00C62941">
        <w:rPr>
          <w:rFonts w:ascii="Arial" w:hAnsi="Arial" w:cs="Arial"/>
          <w:bCs/>
          <w:sz w:val="21"/>
          <w:szCs w:val="21"/>
          <w:lang w:val="sr-Latn-CS"/>
        </w:rPr>
        <w:t>korišćenu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metodologiju, tim pre što R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ZS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i dalje redovno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sprovodi</w:t>
      </w:r>
      <w:r w:rsidR="006B4926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Anketu o potrošnji domaćinstava. U skladu s tim je i zaključak sa radnog sastanka grupe međunarodnih eksperata i domaćih praktičara, predstavnika institucija Republike Srbije i pripadnika akademske zajednice iz aprila 2015, organizovanog od strane </w:t>
      </w:r>
      <w:r w:rsidRPr="00851819">
        <w:rPr>
          <w:rFonts w:ascii="Arial" w:hAnsi="Arial" w:cs="Arial"/>
          <w:bCs/>
          <w:i/>
          <w:sz w:val="21"/>
          <w:szCs w:val="21"/>
          <w:lang w:val="sr-Latn-CS"/>
        </w:rPr>
        <w:t>Tima za socijalno uključivanje i smanjenje siromaštva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i</w:t>
      </w:r>
      <w:r w:rsidRPr="00851819">
        <w:rPr>
          <w:rFonts w:ascii="Arial" w:hAnsi="Arial" w:cs="Arial"/>
          <w:bCs/>
          <w:i/>
          <w:sz w:val="21"/>
          <w:szCs w:val="21"/>
          <w:lang w:val="sr-Latn-CS"/>
        </w:rPr>
        <w:t xml:space="preserve"> Republičkog zavoda za statistiku</w:t>
      </w:r>
      <w:r w:rsidR="003E156A">
        <w:rPr>
          <w:rFonts w:ascii="Arial" w:hAnsi="Arial" w:cs="Arial"/>
          <w:bCs/>
          <w:sz w:val="21"/>
          <w:szCs w:val="21"/>
          <w:lang w:val="sr-Latn-CS"/>
        </w:rPr>
        <w:t>: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„Merenje apsolutnog siromaštva je i dalje relevantno u Republici Srbiji, s obzirom na stepen razvijenosti zemlje, regionalne razlike i potrebu da se rezultati koriste za formulisanje javne politike“.</w:t>
      </w:r>
      <w:r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3"/>
      </w:r>
    </w:p>
    <w:p w14:paraId="2C5BB99F" w14:textId="77777777" w:rsidR="009A4B16" w:rsidRPr="00851819" w:rsidRDefault="009A4B16" w:rsidP="00335B31">
      <w:pPr>
        <w:pStyle w:val="CM68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55ECDB55" w14:textId="77777777" w:rsidR="009A4B16" w:rsidRPr="00851819" w:rsidRDefault="00D55A0D" w:rsidP="00335B31">
      <w:pPr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Osnovni argument za </w:t>
      </w:r>
      <w:r w:rsidR="0053099F">
        <w:rPr>
          <w:rFonts w:ascii="Arial" w:hAnsi="Arial" w:cs="Arial"/>
          <w:bCs/>
          <w:sz w:val="21"/>
          <w:szCs w:val="21"/>
          <w:lang w:val="sr-Latn-CS"/>
        </w:rPr>
        <w:t>dalje korišćenje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53099F">
        <w:rPr>
          <w:rFonts w:ascii="Arial" w:hAnsi="Arial" w:cs="Arial"/>
          <w:bCs/>
          <w:sz w:val="21"/>
          <w:szCs w:val="21"/>
          <w:lang w:val="sr-Latn-CS"/>
        </w:rPr>
        <w:t>metodologije apsolutnog siroma</w:t>
      </w:r>
      <w:r w:rsidR="00C9580B" w:rsidRPr="0053099F">
        <w:rPr>
          <w:rFonts w:ascii="Arial" w:hAnsi="Arial" w:cs="Arial"/>
          <w:bCs/>
          <w:sz w:val="21"/>
          <w:szCs w:val="21"/>
          <w:lang w:val="sr-Latn-CS"/>
        </w:rPr>
        <w:t>š</w:t>
      </w:r>
      <w:r w:rsidRPr="0053099F">
        <w:rPr>
          <w:rFonts w:ascii="Arial" w:hAnsi="Arial" w:cs="Arial"/>
          <w:bCs/>
          <w:sz w:val="21"/>
          <w:szCs w:val="21"/>
          <w:lang w:val="sr-Latn-CS"/>
        </w:rPr>
        <w:t>tva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jeste uverenje da u Srbiji i dalje postoji pravo, apsolutno siromaštvo,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u kom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znatan broj ljudi ne zadovoljava ni osnovne potrebe, </w:t>
      </w:r>
      <w:r w:rsidR="00C62941">
        <w:rPr>
          <w:rFonts w:ascii="Arial" w:hAnsi="Arial" w:cs="Arial"/>
          <w:bCs/>
          <w:sz w:val="21"/>
          <w:szCs w:val="21"/>
          <w:lang w:val="sr-Latn-CS"/>
        </w:rPr>
        <w:t>te</w:t>
      </w:r>
      <w:r w:rsidR="00C62941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da stoga koncept </w:t>
      </w:r>
      <w:r w:rsidRPr="00851819">
        <w:rPr>
          <w:rFonts w:ascii="Arial" w:hAnsi="Arial" w:cs="Arial"/>
          <w:bCs/>
          <w:i/>
          <w:sz w:val="21"/>
          <w:szCs w:val="21"/>
          <w:lang w:val="sr-Latn-CS"/>
        </w:rPr>
        <w:t>rizika siromaštva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 inače pogodan za razvijene evropske zemlje u kojima ne postoji apsolutno siromaštvo, nije dovoljan za sagledavanje celokupne problematike siromaštva.</w:t>
      </w:r>
      <w:r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4"/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>Naime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, mera koja se zove </w:t>
      </w:r>
      <w:r w:rsidRPr="00851819">
        <w:rPr>
          <w:rFonts w:ascii="Arial" w:hAnsi="Arial" w:cs="Arial"/>
          <w:bCs/>
          <w:i/>
          <w:sz w:val="21"/>
          <w:szCs w:val="21"/>
          <w:lang w:val="sr-Latn-CS"/>
        </w:rPr>
        <w:t>rizik siromaštva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nije mera siromaštva, već samo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 xml:space="preserve">mera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rizika </w:t>
      </w:r>
      <w:r w:rsidRPr="0053099F">
        <w:rPr>
          <w:rFonts w:ascii="Arial" w:hAnsi="Arial" w:cs="Arial"/>
          <w:bCs/>
          <w:sz w:val="21"/>
          <w:szCs w:val="21"/>
          <w:lang w:val="sr-Latn-CS"/>
        </w:rPr>
        <w:t>da pojedinac zapadne u siromaštvo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. Tako i Eurostat, nadležna agencija EU, jasno kaže da</w:t>
      </w:r>
      <w:r w:rsidRPr="00851819">
        <w:rPr>
          <w:rFonts w:ascii="Arial" w:hAnsi="Arial" w:cs="Arial"/>
          <w:noProof/>
          <w:sz w:val="21"/>
          <w:szCs w:val="21"/>
          <w:lang w:val="sr-Latn-CS"/>
        </w:rPr>
        <w:t xml:space="preserve"> stopa rizika siromaštva „ne meri bogatstvo ili siromaštvo</w:t>
      </w:r>
      <w:r w:rsidR="006B4926">
        <w:rPr>
          <w:rFonts w:ascii="Arial" w:hAnsi="Arial" w:cs="Arial"/>
          <w:noProof/>
          <w:sz w:val="21"/>
          <w:szCs w:val="21"/>
          <w:lang w:val="sr-Latn-CS"/>
        </w:rPr>
        <w:t xml:space="preserve"> pojedinca</w:t>
      </w:r>
      <w:r w:rsidRPr="00851819">
        <w:rPr>
          <w:rFonts w:ascii="Arial" w:hAnsi="Arial" w:cs="Arial"/>
          <w:noProof/>
          <w:sz w:val="21"/>
          <w:szCs w:val="21"/>
          <w:lang w:val="sr-Latn-CS"/>
        </w:rPr>
        <w:t>, već nizak dohodak u poređenju sa drugim građanima date zemlje, što ne znači neminovno nizak životni standard”.</w:t>
      </w:r>
      <w:r w:rsidRPr="00851819">
        <w:rPr>
          <w:rStyle w:val="FootnoteReference"/>
          <w:rFonts w:ascii="Arial" w:hAnsi="Arial" w:cs="Arial"/>
          <w:noProof/>
          <w:sz w:val="21"/>
          <w:szCs w:val="21"/>
        </w:rPr>
        <w:footnoteReference w:id="5"/>
      </w:r>
      <w:r w:rsidRPr="00851819">
        <w:rPr>
          <w:rFonts w:ascii="Arial" w:hAnsi="Arial" w:cs="Arial"/>
          <w:noProof/>
          <w:sz w:val="21"/>
          <w:szCs w:val="21"/>
          <w:lang w:val="sr-Latn-CS"/>
        </w:rPr>
        <w:t xml:space="preserve"> </w:t>
      </w:r>
    </w:p>
    <w:p w14:paraId="7AA72C29" w14:textId="77777777" w:rsidR="009A4B16" w:rsidRPr="00851819" w:rsidRDefault="009A4B16" w:rsidP="00335B31">
      <w:pPr>
        <w:pStyle w:val="CM68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7A560A64" w14:textId="77777777" w:rsidR="009A4B16" w:rsidRPr="00851819" w:rsidRDefault="00D55A0D" w:rsidP="00335B31">
      <w:pPr>
        <w:pStyle w:val="CM68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 skladu s tim, u ovom radu se, kao i </w:t>
      </w:r>
      <w:r w:rsidR="006B4926">
        <w:rPr>
          <w:rFonts w:ascii="Arial" w:hAnsi="Arial" w:cs="Arial"/>
          <w:bCs/>
          <w:sz w:val="21"/>
          <w:szCs w:val="21"/>
          <w:lang w:val="sr-Latn-CS"/>
        </w:rPr>
        <w:t xml:space="preserve">u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prethodnom, koristi koncept apsolutnog siromaštva, </w:t>
      </w:r>
      <w:r w:rsidR="003928FE">
        <w:rPr>
          <w:rFonts w:ascii="Arial" w:hAnsi="Arial" w:cs="Arial"/>
          <w:bCs/>
          <w:sz w:val="21"/>
          <w:szCs w:val="21"/>
          <w:lang w:val="sr-Latn-CS"/>
        </w:rPr>
        <w:t>u okviru kog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se siromašnim smatraju svi oni koji ne dostižu potrošnju višu od one koja se smatra linijom siromaštva. Na taj način se obezbeđuju dva alternativna i komplementarna načina merenja iz oblasti siromaštva u Srbiji, što može biti od koristi kako državnim organima Republike Srbije, tako i zainteresovanim domaćim i stranim korisnicima.</w:t>
      </w:r>
    </w:p>
    <w:p w14:paraId="51D994F0" w14:textId="77777777" w:rsidR="009A4B16" w:rsidRPr="00851819" w:rsidRDefault="009A4B16" w:rsidP="00335B3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1"/>
          <w:szCs w:val="21"/>
          <w:lang w:val="sr-Latn-CS"/>
        </w:rPr>
      </w:pPr>
    </w:p>
    <w:p w14:paraId="2333A9B5" w14:textId="77777777" w:rsidR="00D31C8F" w:rsidRPr="00851819" w:rsidRDefault="00D31C8F">
      <w:pPr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br w:type="page"/>
      </w:r>
    </w:p>
    <w:p w14:paraId="10025B86" w14:textId="77777777" w:rsidR="009A4B16" w:rsidRPr="000D1B22" w:rsidRDefault="00D55A0D" w:rsidP="00335B31">
      <w:pPr>
        <w:pStyle w:val="Heading3"/>
        <w:spacing w:before="480" w:after="360"/>
        <w:rPr>
          <w:rFonts w:ascii="Arial" w:hAnsi="Arial" w:cs="Arial"/>
          <w:b w:val="0"/>
          <w:color w:val="365F91"/>
          <w:sz w:val="44"/>
          <w:szCs w:val="44"/>
          <w:lang w:val="sr-Latn-CS"/>
        </w:rPr>
      </w:pPr>
      <w:bookmarkStart w:id="3" w:name="_METODOLOŠKA_OBJAŠNJENJA"/>
      <w:bookmarkEnd w:id="3"/>
      <w:r w:rsidRPr="000D1B22">
        <w:rPr>
          <w:rFonts w:ascii="Arial" w:hAnsi="Arial" w:cs="Arial"/>
          <w:b w:val="0"/>
          <w:color w:val="365F91"/>
          <w:sz w:val="44"/>
          <w:szCs w:val="44"/>
          <w:lang w:val="sr-Latn-CS"/>
        </w:rPr>
        <w:lastRenderedPageBreak/>
        <w:t>METODOLOŠKA OBJAŠNJENJA</w:t>
      </w:r>
    </w:p>
    <w:p w14:paraId="457DE431" w14:textId="77777777" w:rsidR="009A4B16" w:rsidRPr="00851819" w:rsidRDefault="009A4B16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sr-Latn-CS"/>
        </w:rPr>
      </w:pPr>
    </w:p>
    <w:p w14:paraId="09A814B4" w14:textId="77777777" w:rsidR="009A4B16" w:rsidRPr="00851819" w:rsidRDefault="00D55A0D" w:rsidP="00335B31">
      <w:pPr>
        <w:pStyle w:val="CM68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i/>
          <w:sz w:val="21"/>
          <w:szCs w:val="21"/>
          <w:lang w:val="sr-Latn-CS"/>
        </w:rPr>
        <w:t>Anketa o potrošnji domaćinstava,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koju redovno </w:t>
      </w:r>
      <w:r w:rsidR="00FD1CF0">
        <w:rPr>
          <w:rFonts w:ascii="Arial" w:hAnsi="Arial" w:cs="Arial"/>
          <w:bCs/>
          <w:sz w:val="21"/>
          <w:szCs w:val="21"/>
          <w:lang w:val="sr-Latn-CS"/>
        </w:rPr>
        <w:t>sprovodi</w:t>
      </w:r>
      <w:r w:rsidR="00FD1CF0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Republički zavod za statistiku, čini informacionu osnovu ovog istraživanja siromaštva, čemu treba dodati prateću metodološku aparaturu koja je i ranije korišćena od strane </w:t>
      </w:r>
      <w:r w:rsidRPr="00321785">
        <w:rPr>
          <w:rFonts w:ascii="Arial" w:hAnsi="Arial" w:cs="Arial"/>
          <w:bCs/>
          <w:sz w:val="21"/>
          <w:szCs w:val="21"/>
          <w:lang w:val="sr-Latn-CS"/>
        </w:rPr>
        <w:t>RZS-a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  <w:r w:rsidR="00FD1CF0">
        <w:rPr>
          <w:rFonts w:ascii="Arial" w:hAnsi="Arial" w:cs="Arial"/>
          <w:bCs/>
          <w:sz w:val="21"/>
          <w:szCs w:val="21"/>
          <w:lang w:val="sr-Latn-CS"/>
        </w:rPr>
        <w:t>Ov</w:t>
      </w:r>
      <w:r w:rsidR="00321785">
        <w:rPr>
          <w:rFonts w:ascii="Arial" w:hAnsi="Arial" w:cs="Arial"/>
          <w:bCs/>
          <w:sz w:val="21"/>
          <w:szCs w:val="21"/>
          <w:lang w:val="sr-Latn-CS"/>
        </w:rPr>
        <w:t>im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postupkom obezbeđena je metodološka konzistentnost i uporedivost nalaza sa onim ocenama siromaštva koje je do 2010. godin</w:t>
      </w:r>
      <w:r w:rsidR="00FD1CF0">
        <w:rPr>
          <w:rFonts w:ascii="Arial" w:hAnsi="Arial" w:cs="Arial"/>
          <w:bCs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obavljao </w:t>
      </w:r>
      <w:r w:rsidR="00FD1CF0">
        <w:rPr>
          <w:rFonts w:ascii="Arial" w:hAnsi="Arial" w:cs="Arial"/>
          <w:bCs/>
          <w:sz w:val="21"/>
          <w:szCs w:val="21"/>
          <w:lang w:val="sr-Latn-CS"/>
        </w:rPr>
        <w:t>RZS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</w:p>
    <w:p w14:paraId="102EFC42" w14:textId="77777777" w:rsidR="009A4B16" w:rsidRPr="00851819" w:rsidRDefault="009A4B16" w:rsidP="00335B31">
      <w:pPr>
        <w:pStyle w:val="CM68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759032A9" w14:textId="77777777" w:rsidR="009A4B16" w:rsidRPr="00851819" w:rsidRDefault="00D55A0D" w:rsidP="00335B31">
      <w:pPr>
        <w:pStyle w:val="CM68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Republički zavod za statistiku u svojim anketama o potrošnji domaćinstava prikuplja podatke o prihodima, rashodima i potrošnji, o pojedinim važnijim pokazateljima životnog standarda (stambeni uslovi, snabdevenost trajnim potrošnim dobrima) i o demografskim, ekonomskim i socijalnim odlikama stanovništva. Domaćinstvo je j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edinica anketiranja</w:t>
      </w:r>
      <w:r w:rsidR="00F973DA" w:rsidRPr="00851819">
        <w:rPr>
          <w:rFonts w:ascii="Arial" w:hAnsi="Arial" w:cs="Arial"/>
          <w:bCs/>
          <w:sz w:val="21"/>
          <w:szCs w:val="21"/>
          <w:lang w:val="sr-Latn-CS"/>
        </w:rPr>
        <w:t xml:space="preserve">, a  u </w:t>
      </w:r>
      <w:r w:rsidR="00C9580B" w:rsidRPr="00851819">
        <w:rPr>
          <w:rFonts w:ascii="Arial" w:hAnsi="Arial" w:cs="Arial"/>
          <w:sz w:val="21"/>
          <w:szCs w:val="21"/>
          <w:lang w:val="sr-Latn-CS"/>
        </w:rPr>
        <w:t>2014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. godini uspešno je anketirano </w:t>
      </w:r>
      <w:r w:rsidR="00C9580B" w:rsidRPr="00851819">
        <w:rPr>
          <w:rFonts w:ascii="Arial" w:hAnsi="Arial" w:cs="Arial"/>
          <w:sz w:val="21"/>
          <w:szCs w:val="21"/>
          <w:lang w:val="sr-Latn-CS"/>
        </w:rPr>
        <w:t>6</w:t>
      </w:r>
      <w:r w:rsidR="00FD1CF0">
        <w:rPr>
          <w:rFonts w:ascii="Arial" w:hAnsi="Arial" w:cs="Arial"/>
          <w:sz w:val="21"/>
          <w:szCs w:val="21"/>
          <w:lang w:val="sr-Latn-CS"/>
        </w:rPr>
        <w:t>.</w:t>
      </w:r>
      <w:r w:rsidR="00C9580B" w:rsidRPr="00851819">
        <w:rPr>
          <w:rFonts w:ascii="Arial" w:hAnsi="Arial" w:cs="Arial"/>
          <w:sz w:val="21"/>
          <w:szCs w:val="21"/>
          <w:lang w:val="sr-Latn-CS"/>
        </w:rPr>
        <w:t>071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domaćinst</w:t>
      </w:r>
      <w:r w:rsidR="00FD1CF0">
        <w:rPr>
          <w:rFonts w:ascii="Arial" w:hAnsi="Arial" w:cs="Arial"/>
          <w:sz w:val="21"/>
          <w:szCs w:val="21"/>
          <w:lang w:val="sr-Latn-CS"/>
        </w:rPr>
        <w:t>vo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(od </w:t>
      </w:r>
      <w:r w:rsidR="00C9580B" w:rsidRPr="00851819">
        <w:rPr>
          <w:rFonts w:ascii="Arial" w:hAnsi="Arial" w:cs="Arial"/>
          <w:sz w:val="21"/>
          <w:szCs w:val="21"/>
          <w:lang w:val="sr-Latn-CS"/>
        </w:rPr>
        <w:t>8</w:t>
      </w:r>
      <w:r w:rsidR="00FD1CF0">
        <w:rPr>
          <w:rFonts w:ascii="Arial" w:hAnsi="Arial" w:cs="Arial"/>
          <w:sz w:val="21"/>
          <w:szCs w:val="21"/>
          <w:lang w:val="sr-Latn-CS"/>
        </w:rPr>
        <w:t>.</w:t>
      </w:r>
      <w:r w:rsidR="00C9580B" w:rsidRPr="00851819">
        <w:rPr>
          <w:rFonts w:ascii="Arial" w:hAnsi="Arial" w:cs="Arial"/>
          <w:sz w:val="21"/>
          <w:szCs w:val="21"/>
          <w:lang w:val="sr-Latn-CS"/>
        </w:rPr>
        <w:t>856 p</w:t>
      </w:r>
      <w:r w:rsidRPr="00851819">
        <w:rPr>
          <w:rFonts w:ascii="Arial" w:hAnsi="Arial" w:cs="Arial"/>
          <w:sz w:val="21"/>
          <w:szCs w:val="21"/>
          <w:lang w:val="sr-Latn-CS"/>
        </w:rPr>
        <w:t>lan</w:t>
      </w:r>
      <w:r w:rsidR="00C9580B" w:rsidRPr="00851819">
        <w:rPr>
          <w:rFonts w:ascii="Arial" w:hAnsi="Arial" w:cs="Arial"/>
          <w:sz w:val="21"/>
          <w:szCs w:val="21"/>
          <w:lang w:val="sr-Latn-CS"/>
        </w:rPr>
        <w:t>iranih</w:t>
      </w:r>
      <w:r w:rsidRPr="00851819">
        <w:rPr>
          <w:rFonts w:ascii="Arial" w:hAnsi="Arial" w:cs="Arial"/>
          <w:sz w:val="21"/>
          <w:szCs w:val="21"/>
          <w:lang w:val="sr-Latn-CS"/>
        </w:rPr>
        <w:t>).</w:t>
      </w:r>
      <w:r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6"/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 </w:t>
      </w:r>
    </w:p>
    <w:p w14:paraId="37F4708F" w14:textId="77777777" w:rsidR="009A4B16" w:rsidRPr="00851819" w:rsidRDefault="009A4B16" w:rsidP="00335B3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378EFED5" w14:textId="77777777" w:rsidR="009A4B16" w:rsidRPr="00851819" w:rsidRDefault="00D55A0D" w:rsidP="00335B31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i/>
          <w:sz w:val="21"/>
          <w:szCs w:val="21"/>
          <w:lang w:val="sr-Latn-CS"/>
        </w:rPr>
        <w:t>Skala ekvivalencije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F33CC0">
        <w:rPr>
          <w:rFonts w:ascii="Arial" w:hAnsi="Arial" w:cs="Arial"/>
          <w:i/>
          <w:sz w:val="21"/>
          <w:szCs w:val="21"/>
          <w:lang w:val="sr-Latn-CS"/>
        </w:rPr>
        <w:t>(jedinice jednake potrošnje)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. Kako troškovi </w:t>
      </w:r>
      <w:r w:rsidRPr="002828A1">
        <w:rPr>
          <w:rFonts w:ascii="Arial" w:hAnsi="Arial" w:cs="Arial"/>
          <w:sz w:val="21"/>
          <w:szCs w:val="21"/>
          <w:lang w:val="sr-Latn-CS"/>
        </w:rPr>
        <w:t xml:space="preserve">po jednom članu domaćinstva </w:t>
      </w:r>
      <w:r w:rsidRPr="00851819">
        <w:rPr>
          <w:rFonts w:ascii="Arial" w:hAnsi="Arial" w:cs="Arial"/>
          <w:sz w:val="21"/>
          <w:szCs w:val="21"/>
          <w:lang w:val="sr-Latn-CS"/>
        </w:rPr>
        <w:t>opadaju sa dodatnim članovima i kako su troškovi niži za decu nego za odrasle</w:t>
      </w:r>
      <w:r w:rsidR="00FD1CF0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t</w:t>
      </w:r>
      <w:r w:rsidR="00FD1CF0">
        <w:rPr>
          <w:rFonts w:ascii="Arial" w:hAnsi="Arial" w:cs="Arial"/>
          <w:sz w:val="21"/>
          <w:szCs w:val="21"/>
          <w:lang w:val="sr-Latn-CS"/>
        </w:rPr>
        <w:t>ak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o se ove razlike respektuju kroz skalu ekvivalencije, pomoću koje se troškovi jednog domaćinstva preračunavaju </w:t>
      </w:r>
      <w:r w:rsidR="00FD1CF0">
        <w:rPr>
          <w:rFonts w:ascii="Arial" w:hAnsi="Arial" w:cs="Arial"/>
          <w:sz w:val="21"/>
          <w:szCs w:val="21"/>
          <w:lang w:val="sr-Latn-CS"/>
        </w:rPr>
        <w:t>u</w:t>
      </w:r>
      <w:r w:rsidR="00FD1CF0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jedinice jednake potrošnje. U Anketi o potrošnji domaćinstava koristi se OECD skala ekvivalencije, kod koje je potrošnja prvog odraslog člana domaćinstva označena sa 1, drugog i sledećih (stari 14 i više godina) sa 0,7, a svakog deteta (manje od 14 godina) sa 0,5. To znači da su troškovi izdržavanja prvog odraslog u domaćinstvu dvostruko veći od troškova izdržavanja deteta. </w:t>
      </w:r>
    </w:p>
    <w:p w14:paraId="03D305E7" w14:textId="77777777" w:rsidR="009A4B16" w:rsidRPr="00851819" w:rsidRDefault="009A4B16" w:rsidP="00335B31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51961E32" w14:textId="77777777" w:rsidR="009A4B16" w:rsidRPr="00851819" w:rsidRDefault="00D55A0D" w:rsidP="00335B31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i/>
          <w:sz w:val="21"/>
          <w:szCs w:val="21"/>
          <w:lang w:val="sr-Latn-CS"/>
        </w:rPr>
        <w:t>Linija siromaštva</w:t>
      </w:r>
      <w:r w:rsidRPr="00851819">
        <w:rPr>
          <w:rFonts w:ascii="Arial" w:hAnsi="Arial" w:cs="Arial"/>
          <w:sz w:val="21"/>
          <w:szCs w:val="21"/>
          <w:lang w:val="sr-Latn-CS"/>
        </w:rPr>
        <w:t>. Kako je već navedeno, ovo istraživanje koristi liniju apsolutnog siromaštva, kao i Republički zavod za statistiku u periodu 2006-2010. godin</w:t>
      </w:r>
      <w:r w:rsidR="002B446D">
        <w:rPr>
          <w:rFonts w:ascii="Arial" w:hAnsi="Arial" w:cs="Arial"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sz w:val="21"/>
          <w:szCs w:val="21"/>
          <w:lang w:val="sr-Latn-CS"/>
        </w:rPr>
        <w:t>. Inicijalno je ova linija izračunata 2006. godine na osnovu tadašnje Ankete o potrošnji domaćinstava, a preko nutricionističkih standarda za ishranu i ocenjenog udela neprehrambene robe. Za ekvivalentnog odraslog (prvi odrasli u domaćinstvu) procenjeni iznos je 2006. godine bio 6.411 dinara mesečno.</w:t>
      </w:r>
      <w:r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7"/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Za 2014. godinu je linija siromaštva izračunata indeksacijom pomenute linije iz 2006. godine indeksima cena na malo, odnosno potrošačkih cena, i dostigla je 11.340 dinara po ekvivalentnom odraslom. </w:t>
      </w:r>
    </w:p>
    <w:p w14:paraId="0711559C" w14:textId="77777777" w:rsidR="009A4B16" w:rsidRPr="00851819" w:rsidRDefault="009A4B16" w:rsidP="00335B31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3F0DF54C" w14:textId="77777777" w:rsidR="009A4B16" w:rsidRPr="00851819" w:rsidRDefault="00D55A0D" w:rsidP="00335B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i/>
          <w:sz w:val="21"/>
          <w:szCs w:val="21"/>
          <w:lang w:val="sr-Latn-CS"/>
        </w:rPr>
        <w:t>Stopa siromaštva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se definiše kao odnos broj</w:t>
      </w:r>
      <w:r w:rsidR="002B446D">
        <w:rPr>
          <w:rFonts w:ascii="Arial" w:hAnsi="Arial" w:cs="Arial"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siromašnih pripadnika jedne populacije sa ukupnim brojem pripadnika te populacije (ukupno stanovništvo, nezaposleni, deca</w:t>
      </w:r>
      <w:r w:rsidR="002B446D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2B446D" w:rsidRPr="00851819">
        <w:rPr>
          <w:rFonts w:ascii="Arial" w:hAnsi="Arial" w:cs="Arial"/>
          <w:sz w:val="21"/>
          <w:szCs w:val="21"/>
          <w:lang w:val="sr-Latn-CS"/>
        </w:rPr>
        <w:t>I</w:t>
      </w:r>
      <w:r w:rsidRPr="00851819">
        <w:rPr>
          <w:rFonts w:ascii="Arial" w:hAnsi="Arial" w:cs="Arial"/>
          <w:sz w:val="21"/>
          <w:szCs w:val="21"/>
          <w:lang w:val="sr-Latn-CS"/>
        </w:rPr>
        <w:t>td</w:t>
      </w:r>
      <w:r w:rsidR="002B446D">
        <w:rPr>
          <w:rFonts w:ascii="Arial" w:hAnsi="Arial" w:cs="Arial"/>
          <w:sz w:val="21"/>
          <w:szCs w:val="21"/>
          <w:lang w:val="sr-Latn-CS"/>
        </w:rPr>
        <w:t>.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), odnosno predstavlja učešće siromašnih u datoj populaciji. Pošto stopa siromaštva </w:t>
      </w:r>
      <w:r w:rsidR="002B446D">
        <w:rPr>
          <w:rFonts w:ascii="Arial" w:hAnsi="Arial" w:cs="Arial"/>
          <w:sz w:val="21"/>
          <w:szCs w:val="21"/>
          <w:lang w:val="sr-Latn-CS"/>
        </w:rPr>
        <w:t>pruža</w:t>
      </w:r>
      <w:r w:rsidR="002B446D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sz w:val="21"/>
          <w:szCs w:val="21"/>
          <w:lang w:val="sr-Latn-CS"/>
        </w:rPr>
        <w:t>samo broj siromašnih, a ne i intenzitet njihovog siromaštva</w:t>
      </w:r>
      <w:r w:rsidR="002B446D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2B446D">
        <w:rPr>
          <w:rFonts w:ascii="Arial" w:hAnsi="Arial" w:cs="Arial"/>
          <w:sz w:val="21"/>
          <w:szCs w:val="21"/>
          <w:lang w:val="sr-Latn-CS"/>
        </w:rPr>
        <w:t>koristi</w:t>
      </w:r>
      <w:r w:rsidR="002B446D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2B446D">
        <w:rPr>
          <w:rFonts w:ascii="Arial" w:hAnsi="Arial" w:cs="Arial"/>
          <w:sz w:val="21"/>
          <w:szCs w:val="21"/>
          <w:lang w:val="sr-Latn-CS"/>
        </w:rPr>
        <w:t xml:space="preserve">se </w:t>
      </w:r>
      <w:r w:rsidRPr="00851819">
        <w:rPr>
          <w:rFonts w:ascii="Arial" w:hAnsi="Arial" w:cs="Arial"/>
          <w:sz w:val="21"/>
          <w:szCs w:val="21"/>
          <w:lang w:val="sr-Latn-CS"/>
        </w:rPr>
        <w:t>i druga mera – dubina siromaštva</w:t>
      </w:r>
      <w:r w:rsidR="002B446D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koja p</w:t>
      </w:r>
      <w:r w:rsidR="00321785">
        <w:rPr>
          <w:rFonts w:ascii="Arial" w:hAnsi="Arial" w:cs="Arial"/>
          <w:sz w:val="21"/>
          <w:szCs w:val="21"/>
          <w:lang w:val="sr-Latn-CS"/>
        </w:rPr>
        <w:t>ri</w:t>
      </w:r>
      <w:r w:rsidRPr="00851819">
        <w:rPr>
          <w:rFonts w:ascii="Arial" w:hAnsi="Arial" w:cs="Arial"/>
          <w:sz w:val="21"/>
          <w:szCs w:val="21"/>
          <w:lang w:val="sr-Latn-CS"/>
        </w:rPr>
        <w:t>kazuje koliko je potrošnja siromašnih ispod linije siromaštva. Tako se dobija finansijski deficit siromaštva cele populacije, ali i pokazuje koliko je novca potrebno, pod pretpostavkom savršene targetiranosti programa, da se siromaštvo potpuno ukloni u datoj godini. Treća mera je oštrina siromaštva, koja izražava nejednakost među siromašnima, odnosno daje veći ponder najsiromašnijima.</w:t>
      </w:r>
    </w:p>
    <w:p w14:paraId="15884439" w14:textId="77777777" w:rsidR="009A4B16" w:rsidRPr="00851819" w:rsidRDefault="009A4B16">
      <w:pPr>
        <w:jc w:val="both"/>
        <w:rPr>
          <w:rFonts w:ascii="Arial" w:hAnsi="Arial" w:cs="Arial"/>
          <w:sz w:val="21"/>
          <w:szCs w:val="21"/>
          <w:lang w:val="sr-Latn-CS"/>
        </w:rPr>
      </w:pPr>
    </w:p>
    <w:p w14:paraId="27ADE97E" w14:textId="77777777" w:rsidR="00D31C8F" w:rsidRPr="00851819" w:rsidRDefault="00D31C8F">
      <w:pPr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br w:type="page"/>
      </w:r>
    </w:p>
    <w:p w14:paraId="55E355BF" w14:textId="77777777" w:rsidR="009A4B16" w:rsidRPr="000D1B22" w:rsidRDefault="00D55A0D" w:rsidP="00335B31">
      <w:pPr>
        <w:pStyle w:val="Heading3"/>
        <w:spacing w:before="480" w:after="360"/>
        <w:rPr>
          <w:rFonts w:ascii="Arial" w:hAnsi="Arial" w:cs="Arial"/>
          <w:b w:val="0"/>
          <w:color w:val="365F91"/>
          <w:sz w:val="44"/>
          <w:szCs w:val="44"/>
          <w:lang w:val="sr-Latn-CS"/>
        </w:rPr>
      </w:pPr>
      <w:bookmarkStart w:id="4" w:name="_OCENA_SIROMAŠTVA_U"/>
      <w:bookmarkEnd w:id="4"/>
      <w:r w:rsidRPr="000D1B22">
        <w:rPr>
          <w:rFonts w:ascii="Arial" w:hAnsi="Arial" w:cs="Arial"/>
          <w:b w:val="0"/>
          <w:color w:val="365F91"/>
          <w:sz w:val="44"/>
          <w:szCs w:val="44"/>
          <w:lang w:val="sr-Latn-CS"/>
        </w:rPr>
        <w:lastRenderedPageBreak/>
        <w:t>OCENA SIROMAŠTVA U 2014.</w:t>
      </w:r>
    </w:p>
    <w:p w14:paraId="0D5D6B76" w14:textId="77777777" w:rsidR="009A4B16" w:rsidRPr="00335B31" w:rsidRDefault="00D55A0D" w:rsidP="00B03F77">
      <w:pPr>
        <w:pStyle w:val="Heading2"/>
        <w:rPr>
          <w:lang w:val="sr-Latn-CS"/>
        </w:rPr>
      </w:pPr>
      <w:bookmarkStart w:id="5" w:name="_Osnovni_indikatori_siromaštva"/>
      <w:bookmarkEnd w:id="5"/>
      <w:r w:rsidRPr="00335B31">
        <w:rPr>
          <w:lang w:val="sr-Latn-CS"/>
        </w:rPr>
        <w:t>Osnovni indikatori siromaštva</w:t>
      </w:r>
    </w:p>
    <w:p w14:paraId="53F056FF" w14:textId="77777777" w:rsidR="009A4B16" w:rsidRPr="00851819" w:rsidRDefault="009A4B16">
      <w:pPr>
        <w:rPr>
          <w:rFonts w:ascii="Arial" w:hAnsi="Arial" w:cs="Arial"/>
          <w:sz w:val="21"/>
          <w:szCs w:val="21"/>
          <w:lang w:val="sr-Latn-CS"/>
        </w:rPr>
      </w:pPr>
    </w:p>
    <w:p w14:paraId="46465944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2828A1">
        <w:rPr>
          <w:rFonts w:ascii="Arial" w:hAnsi="Arial" w:cs="Arial"/>
          <w:sz w:val="21"/>
          <w:szCs w:val="21"/>
          <w:lang w:val="sr-Latn-CS"/>
        </w:rPr>
        <w:t xml:space="preserve">Osnovni </w:t>
      </w:r>
      <w:r w:rsidRPr="00851819">
        <w:rPr>
          <w:rFonts w:ascii="Arial" w:hAnsi="Arial" w:cs="Arial"/>
          <w:sz w:val="21"/>
          <w:szCs w:val="21"/>
          <w:lang w:val="sr-Latn-CS"/>
        </w:rPr>
        <w:t>podaci o siromaštvu u Srbiji u 201</w:t>
      </w:r>
      <w:r w:rsidRPr="002828A1">
        <w:rPr>
          <w:rFonts w:ascii="Arial" w:hAnsi="Arial" w:cs="Arial"/>
          <w:sz w:val="21"/>
          <w:szCs w:val="21"/>
          <w:lang w:val="sr-Latn-CS"/>
        </w:rPr>
        <w:t>4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. </w:t>
      </w:r>
      <w:r w:rsidRPr="002828A1">
        <w:rPr>
          <w:rFonts w:ascii="Arial" w:hAnsi="Arial" w:cs="Arial"/>
          <w:sz w:val="21"/>
          <w:szCs w:val="21"/>
          <w:lang w:val="sr-Latn-CS"/>
        </w:rPr>
        <w:t xml:space="preserve">izneti </w:t>
      </w:r>
      <w:r w:rsidRPr="00851819">
        <w:rPr>
          <w:rFonts w:ascii="Arial" w:hAnsi="Arial" w:cs="Arial"/>
          <w:sz w:val="21"/>
          <w:szCs w:val="21"/>
          <w:lang w:val="sr-Latn-CS"/>
        </w:rPr>
        <w:t>su u Tabeli 1:</w:t>
      </w:r>
    </w:p>
    <w:p w14:paraId="13DB5D5F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6199CCEB" w14:textId="77777777" w:rsidR="009A4B16" w:rsidRPr="00851819" w:rsidRDefault="00D55A0D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Tabela 1.</w:t>
      </w:r>
    </w:p>
    <w:p w14:paraId="6457312E" w14:textId="77777777" w:rsidR="009A4B16" w:rsidRDefault="00D55A0D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Siromaštvo u Srbiji, 201</w:t>
      </w:r>
      <w:r w:rsidRPr="00851819">
        <w:rPr>
          <w:rFonts w:ascii="Arial" w:hAnsi="Arial" w:cs="Arial"/>
          <w:sz w:val="21"/>
          <w:szCs w:val="21"/>
        </w:rPr>
        <w:t>4</w:t>
      </w:r>
      <w:r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00069B70" w14:textId="77777777" w:rsidR="00F1683F" w:rsidRPr="007D59CA" w:rsidRDefault="00F1683F" w:rsidP="00F1683F">
      <w:pPr>
        <w:spacing w:line="276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134"/>
      </w:tblGrid>
      <w:tr w:rsidR="009A4B16" w:rsidRPr="00851819" w14:paraId="4FBD95FF" w14:textId="77777777" w:rsidTr="00756295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885D67B" w14:textId="77777777" w:rsidR="009A4B16" w:rsidRPr="00F1683F" w:rsidRDefault="009A4B16" w:rsidP="00F1683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181E867" w14:textId="77777777" w:rsidR="009A4B16" w:rsidRPr="00F1683F" w:rsidRDefault="00D55A0D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F1683F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</w:t>
            </w:r>
            <w:r w:rsidRPr="00F1683F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5D0FF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9A4B16" w:rsidRPr="00851819" w14:paraId="24CBD83E" w14:textId="77777777" w:rsidTr="00756295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7303273" w14:textId="77777777" w:rsidR="009A4B16" w:rsidRPr="00851819" w:rsidRDefault="005D0FF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L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inija siromaštva (za ekvivalentnog odraslog), din. mesečno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F0C454F" w14:textId="77777777" w:rsidR="009A4B16" w:rsidRPr="00851819" w:rsidRDefault="00D55A0D" w:rsidP="00491F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1</w:t>
            </w:r>
            <w:r w:rsidRPr="00851819">
              <w:rPr>
                <w:rFonts w:ascii="Arial" w:hAnsi="Arial" w:cs="Arial"/>
                <w:sz w:val="21"/>
                <w:szCs w:val="21"/>
              </w:rPr>
              <w:t>1</w:t>
            </w:r>
            <w:r w:rsidR="005D0FF6">
              <w:rPr>
                <w:rFonts w:ascii="Arial" w:hAnsi="Arial" w:cs="Arial"/>
                <w:sz w:val="21"/>
                <w:szCs w:val="21"/>
              </w:rPr>
              <w:t>.</w:t>
            </w:r>
            <w:r w:rsidRPr="00851819">
              <w:rPr>
                <w:rFonts w:ascii="Arial" w:hAnsi="Arial" w:cs="Arial"/>
                <w:sz w:val="21"/>
                <w:szCs w:val="21"/>
              </w:rPr>
              <w:t>340</w:t>
            </w:r>
          </w:p>
        </w:tc>
      </w:tr>
      <w:tr w:rsidR="009A4B16" w:rsidRPr="00851819" w14:paraId="216CC0BC" w14:textId="77777777" w:rsidTr="00756295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59F" w14:textId="77777777" w:rsidR="009A4B16" w:rsidRPr="00851819" w:rsidRDefault="005D0FF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S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topa siromaštva, u %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B919" w14:textId="77777777" w:rsidR="009A4B16" w:rsidRPr="00851819" w:rsidRDefault="00D55A0D" w:rsidP="00491F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8,9</w:t>
            </w:r>
          </w:p>
        </w:tc>
      </w:tr>
      <w:tr w:rsidR="009A4B16" w:rsidRPr="00851819" w14:paraId="033A7D87" w14:textId="77777777" w:rsidTr="00756295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42ABF2A" w14:textId="77777777" w:rsidR="009A4B16" w:rsidRPr="00851819" w:rsidRDefault="005D0FF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D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ubina siromaštva, u %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6F4AA6A" w14:textId="77777777" w:rsidR="009A4B16" w:rsidRPr="00851819" w:rsidRDefault="00D55A0D" w:rsidP="00491F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1,7</w:t>
            </w:r>
          </w:p>
        </w:tc>
      </w:tr>
      <w:tr w:rsidR="009A4B16" w:rsidRPr="00851819" w14:paraId="441AE030" w14:textId="77777777" w:rsidTr="00756295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F6C" w14:textId="77777777" w:rsidR="009A4B16" w:rsidRPr="00851819" w:rsidRDefault="005D0FF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O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štrina siromaštva, u %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E8F5" w14:textId="77777777" w:rsidR="009A4B16" w:rsidRPr="00851819" w:rsidRDefault="00D55A0D" w:rsidP="00491F9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0,5</w:t>
            </w:r>
          </w:p>
        </w:tc>
      </w:tr>
    </w:tbl>
    <w:p w14:paraId="56175B77" w14:textId="77777777" w:rsidR="009A4B16" w:rsidRPr="00491F94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491F94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591CCFC0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415AEBB1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i/>
          <w:sz w:val="21"/>
          <w:szCs w:val="21"/>
          <w:lang w:val="sr-Latn-CS"/>
        </w:rPr>
        <w:t>Stopa siromaštva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je 201</w:t>
      </w:r>
      <w:r w:rsidRPr="002828A1">
        <w:rPr>
          <w:rFonts w:ascii="Arial" w:hAnsi="Arial" w:cs="Arial"/>
          <w:sz w:val="21"/>
          <w:szCs w:val="21"/>
          <w:lang w:val="sr-Latn-CS"/>
        </w:rPr>
        <w:t>4</w:t>
      </w:r>
      <w:r w:rsidRPr="00851819">
        <w:rPr>
          <w:rFonts w:ascii="Arial" w:hAnsi="Arial" w:cs="Arial"/>
          <w:sz w:val="21"/>
          <w:szCs w:val="21"/>
          <w:lang w:val="sr-Latn-CS"/>
        </w:rPr>
        <w:t>. godine u Srbiji 8,9%, što znači da je potrošnja tolikog procenta ukupnog stanovništva bila niža od linije siromaštva (1</w:t>
      </w:r>
      <w:r w:rsidRPr="002828A1">
        <w:rPr>
          <w:rFonts w:ascii="Arial" w:hAnsi="Arial" w:cs="Arial"/>
          <w:sz w:val="21"/>
          <w:szCs w:val="21"/>
          <w:lang w:val="sr-Latn-CS"/>
        </w:rPr>
        <w:t xml:space="preserve">1.340 dinara </w:t>
      </w:r>
      <w:r w:rsidRPr="00851819">
        <w:rPr>
          <w:rFonts w:ascii="Arial" w:hAnsi="Arial" w:cs="Arial"/>
          <w:sz w:val="21"/>
          <w:szCs w:val="21"/>
          <w:lang w:val="sr-Latn-CS"/>
        </w:rPr>
        <w:t>mesečno</w:t>
      </w:r>
      <w:r w:rsidRPr="002828A1">
        <w:rPr>
          <w:rFonts w:ascii="Arial" w:hAnsi="Arial" w:cs="Arial"/>
          <w:sz w:val="21"/>
          <w:szCs w:val="21"/>
          <w:lang w:val="sr-Latn-CS"/>
        </w:rPr>
        <w:t xml:space="preserve"> za ekvivalentnog odraslog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). </w:t>
      </w:r>
      <w:r w:rsidRPr="007D73E5">
        <w:rPr>
          <w:rFonts w:ascii="Arial" w:hAnsi="Arial" w:cs="Arial"/>
          <w:sz w:val="21"/>
          <w:szCs w:val="21"/>
          <w:lang w:val="sr-Latn-CS"/>
        </w:rPr>
        <w:t>Ovih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8,9% znači da se 628 hiljada stanovnika smatra siromašnim.</w:t>
      </w:r>
    </w:p>
    <w:p w14:paraId="5810B134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136AF1CF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2828A1">
        <w:rPr>
          <w:rFonts w:ascii="Arial" w:hAnsi="Arial" w:cs="Arial"/>
          <w:sz w:val="21"/>
          <w:szCs w:val="21"/>
          <w:lang w:val="sr-Latn-CS"/>
        </w:rPr>
        <w:t xml:space="preserve">U odnosu na prethodnu 2013. godinu </w:t>
      </w:r>
      <w:r w:rsidRPr="00851819">
        <w:rPr>
          <w:rFonts w:ascii="Arial" w:hAnsi="Arial" w:cs="Arial"/>
          <w:sz w:val="21"/>
          <w:szCs w:val="21"/>
          <w:lang w:val="sr-Latn-CS"/>
        </w:rPr>
        <w:t>stopa siromaštva u Srbiji nešto je povećana sa 8,6</w:t>
      </w:r>
      <w:r w:rsidR="005D0FF6">
        <w:rPr>
          <w:rFonts w:ascii="Arial" w:hAnsi="Arial" w:cs="Arial"/>
          <w:sz w:val="21"/>
          <w:szCs w:val="21"/>
          <w:lang w:val="sr-Latn-CS"/>
        </w:rPr>
        <w:t>%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na 8,9%, računa</w:t>
      </w:r>
      <w:r w:rsidR="005D0FF6">
        <w:rPr>
          <w:rFonts w:ascii="Arial" w:hAnsi="Arial" w:cs="Arial"/>
          <w:sz w:val="21"/>
          <w:szCs w:val="21"/>
          <w:lang w:val="sr-Latn-CS"/>
        </w:rPr>
        <w:t>to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po istoj metodologiji. Uz</w:t>
      </w:r>
      <w:r w:rsidR="005D0FF6">
        <w:rPr>
          <w:rFonts w:ascii="Arial" w:hAnsi="Arial" w:cs="Arial"/>
          <w:sz w:val="21"/>
          <w:szCs w:val="21"/>
          <w:lang w:val="sr-Latn-CS"/>
        </w:rPr>
        <w:t>r</w:t>
      </w:r>
      <w:r w:rsidRPr="00851819">
        <w:rPr>
          <w:rFonts w:ascii="Arial" w:hAnsi="Arial" w:cs="Arial"/>
          <w:sz w:val="21"/>
          <w:szCs w:val="21"/>
          <w:lang w:val="sr-Latn-CS"/>
        </w:rPr>
        <w:t>oci tome su smanjenje realnog bruto društvenog proizvoda Srbije u 2014</w:t>
      </w:r>
      <w:r w:rsidR="005D0FF6">
        <w:rPr>
          <w:rFonts w:ascii="Arial" w:hAnsi="Arial" w:cs="Arial"/>
          <w:sz w:val="21"/>
          <w:szCs w:val="21"/>
          <w:lang w:val="sr-Latn-CS"/>
        </w:rPr>
        <w:t xml:space="preserve">. </w:t>
      </w:r>
      <w:r w:rsidR="005D0FF6" w:rsidRPr="00851819">
        <w:rPr>
          <w:rFonts w:ascii="Arial" w:hAnsi="Arial" w:cs="Arial"/>
          <w:sz w:val="21"/>
          <w:szCs w:val="21"/>
          <w:lang w:val="sr-Latn-CS"/>
        </w:rPr>
        <w:t>za 1,8%</w:t>
      </w:r>
      <w:r w:rsidRPr="00851819">
        <w:rPr>
          <w:rFonts w:ascii="Arial" w:hAnsi="Arial" w:cs="Arial"/>
          <w:sz w:val="21"/>
          <w:szCs w:val="21"/>
          <w:lang w:val="sr-Latn-CS"/>
        </w:rPr>
        <w:t>, prema proceni RZS-a</w:t>
      </w:r>
      <w:r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8"/>
      </w:r>
      <w:r w:rsidR="005D0FF6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pri čemu su doprinos nepovoljnim kretanjima dale i poplave koje su ozbiljno pogodile jedan deo Srbije. Povezano s padom BDP-a i ekonomskom politikom, u 2014. </w:t>
      </w:r>
      <w:r w:rsidR="005D0FF6">
        <w:rPr>
          <w:rFonts w:ascii="Arial" w:hAnsi="Arial" w:cs="Arial"/>
          <w:sz w:val="21"/>
          <w:szCs w:val="21"/>
          <w:lang w:val="sr-Latn-CS"/>
        </w:rPr>
        <w:t xml:space="preserve">je </w:t>
      </w:r>
      <w:r w:rsidRPr="00851819">
        <w:rPr>
          <w:rFonts w:ascii="Arial" w:hAnsi="Arial" w:cs="Arial"/>
          <w:sz w:val="21"/>
          <w:szCs w:val="21"/>
          <w:lang w:val="sr-Latn-CS"/>
        </w:rPr>
        <w:t>došlo do smanjenja realnih zarada za 1,5%</w:t>
      </w:r>
      <w:r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9"/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i realnih penzija za 2,3%</w:t>
      </w:r>
      <w:r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10"/>
      </w:r>
      <w:r w:rsidR="005D0FF6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što je neposredno </w:t>
      </w:r>
      <w:r w:rsidR="005D0FF6">
        <w:rPr>
          <w:rFonts w:ascii="Arial" w:hAnsi="Arial" w:cs="Arial"/>
          <w:sz w:val="21"/>
          <w:szCs w:val="21"/>
          <w:lang w:val="sr-Latn-CS"/>
        </w:rPr>
        <w:t>uticalo na</w:t>
      </w:r>
      <w:r w:rsidR="005D0FF6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sz w:val="21"/>
          <w:szCs w:val="21"/>
          <w:lang w:val="sr-Latn-CS"/>
        </w:rPr>
        <w:t>potrošnju stanovništva i dovelo do povećanja broja siromašnih.</w:t>
      </w:r>
    </w:p>
    <w:p w14:paraId="08CB447B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790ED196" w14:textId="42A7745E" w:rsidR="009A4B16" w:rsidRPr="00851819" w:rsidRDefault="005D0FF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>O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padanje realnih zarada i penzija moglo je </w:t>
      </w:r>
      <w:r>
        <w:rPr>
          <w:rFonts w:ascii="Arial" w:hAnsi="Arial" w:cs="Arial"/>
          <w:sz w:val="21"/>
          <w:szCs w:val="21"/>
          <w:lang w:val="sr-Latn-CS"/>
        </w:rPr>
        <w:t xml:space="preserve">da 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rezultira vidljivijim povećanjem siromaštva, ali do toga nije došlo zbog povećanja poljoprivredne proizvodnje i relativnog </w:t>
      </w:r>
      <w:r w:rsidR="00D55A0D" w:rsidRPr="008E5664">
        <w:rPr>
          <w:rFonts w:ascii="Arial" w:hAnsi="Arial" w:cs="Arial"/>
          <w:sz w:val="21"/>
          <w:szCs w:val="21"/>
          <w:lang w:val="sr-Latn-CS"/>
        </w:rPr>
        <w:t>smanjenja cena hrane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488B5C74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2566BCD0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i/>
          <w:sz w:val="21"/>
          <w:szCs w:val="21"/>
          <w:lang w:val="sr-Latn-CS"/>
        </w:rPr>
        <w:t>Dubina siromaštva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5D0FF6">
        <w:rPr>
          <w:rFonts w:ascii="Arial" w:hAnsi="Arial" w:cs="Arial"/>
          <w:sz w:val="21"/>
          <w:szCs w:val="21"/>
          <w:lang w:val="sr-Latn-CS"/>
        </w:rPr>
        <w:t>iznosila</w:t>
      </w:r>
      <w:r w:rsidR="005D0FF6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sz w:val="21"/>
          <w:szCs w:val="21"/>
          <w:lang w:val="sr-Latn-CS"/>
        </w:rPr>
        <w:t>je u 2014. godini skromnih 1,7%, što znači da bi iz bruto društvenog proizvoda Srbije bilo potrebno obezbediti 1,7%, odnosno 66 milijardi dinara</w:t>
      </w:r>
      <w:r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11"/>
      </w:r>
      <w:r w:rsidRPr="00851819">
        <w:rPr>
          <w:rFonts w:ascii="Arial" w:hAnsi="Arial" w:cs="Arial"/>
          <w:sz w:val="21"/>
          <w:szCs w:val="21"/>
          <w:lang w:val="sr-Latn-CS"/>
        </w:rPr>
        <w:t>, ukoliko se postigne savršena targetiranost (</w:t>
      </w:r>
      <w:r w:rsidR="005D0FF6">
        <w:rPr>
          <w:rFonts w:ascii="Arial" w:hAnsi="Arial" w:cs="Arial"/>
          <w:sz w:val="21"/>
          <w:szCs w:val="21"/>
          <w:lang w:val="sr-Latn-CS"/>
        </w:rPr>
        <w:t xml:space="preserve">da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sredstva dobijaju samo siromašni i svi siromašni), kako bi se </w:t>
      </w:r>
      <w:r w:rsidR="008E5664">
        <w:rPr>
          <w:rFonts w:ascii="Arial" w:hAnsi="Arial" w:cs="Arial"/>
          <w:sz w:val="21"/>
          <w:szCs w:val="21"/>
          <w:lang w:val="sr-Latn-CS"/>
        </w:rPr>
        <w:t xml:space="preserve">smanjilo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siromaštvo u Srbiji u 2014. godini. Pošto je dubina siromaštva u 2014. skromna, to znači da su siromašni građani u Srbiji i dalje u proseku umereno siromašni, tj. da se njihova lična potrošnja u proseku nalazi na dosta maloj udaljenosti od linije apsolutnog siromaštva. </w:t>
      </w:r>
    </w:p>
    <w:p w14:paraId="716635E6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792EBD8D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i/>
          <w:sz w:val="21"/>
          <w:szCs w:val="21"/>
          <w:lang w:val="sr-Latn-CS"/>
        </w:rPr>
        <w:t>Oštrina siromaštva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je takođe dosta skromna: ona iznosi 0,5, pa se za 2014</w:t>
      </w:r>
      <w:r w:rsidR="00BF00CE">
        <w:rPr>
          <w:rFonts w:ascii="Arial" w:hAnsi="Arial" w:cs="Arial"/>
          <w:sz w:val="21"/>
          <w:szCs w:val="21"/>
          <w:lang w:val="sr-Latn-CS"/>
        </w:rPr>
        <w:t>. godinu</w:t>
      </w:r>
      <w:r w:rsidRPr="00851819">
        <w:rPr>
          <w:rFonts w:ascii="Arial" w:hAnsi="Arial" w:cs="Arial"/>
          <w:sz w:val="21"/>
          <w:szCs w:val="21"/>
          <w:lang w:val="sr-Latn-CS"/>
        </w:rPr>
        <w:t>, kao i za prethodne godine</w:t>
      </w:r>
      <w:r w:rsidR="00BF00CE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može ponoviti ocena da je oštrina siromaštva u Srbiji vrlo umerena.</w:t>
      </w:r>
    </w:p>
    <w:p w14:paraId="112AB3F3" w14:textId="77777777" w:rsidR="0010571D" w:rsidRDefault="0010571D" w:rsidP="00B03F77">
      <w:pPr>
        <w:pStyle w:val="Heading2"/>
        <w:rPr>
          <w:lang w:val="sr-Latn-CS"/>
        </w:rPr>
      </w:pPr>
      <w:bookmarkStart w:id="6" w:name="_Analiza_senzitivnosti"/>
      <w:bookmarkEnd w:id="6"/>
      <w:r w:rsidRPr="007D59CA">
        <w:rPr>
          <w:lang w:val="sr-Latn-CS"/>
        </w:rPr>
        <w:lastRenderedPageBreak/>
        <w:t>Analiza senzitivnosti</w:t>
      </w:r>
    </w:p>
    <w:p w14:paraId="2E463025" w14:textId="77777777" w:rsidR="00B03F77" w:rsidRPr="002828A1" w:rsidRDefault="00B03F77" w:rsidP="00B03F77">
      <w:pPr>
        <w:rPr>
          <w:lang w:val="sr-Latn-CS"/>
        </w:rPr>
      </w:pPr>
    </w:p>
    <w:p w14:paraId="55B1BE20" w14:textId="77777777" w:rsidR="0010571D" w:rsidRPr="00851819" w:rsidRDefault="0010571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Za većinu indikatora koji se koriste</w:t>
      </w:r>
      <w:r w:rsidR="00BF00CE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u analizi siromaštva od presudne je važnosti odabrana linija siromaštva. Pošto je njeno određivanje metodološki kompleksno, pa i sporno, </w:t>
      </w:r>
      <w:r w:rsidR="00BF00CE">
        <w:rPr>
          <w:rFonts w:ascii="Arial" w:hAnsi="Arial" w:cs="Arial"/>
          <w:sz w:val="21"/>
          <w:szCs w:val="21"/>
          <w:lang w:val="sr-Latn-CS"/>
        </w:rPr>
        <w:t>s</w:t>
      </w:r>
      <w:r w:rsidRPr="00851819">
        <w:rPr>
          <w:rFonts w:ascii="Arial" w:hAnsi="Arial" w:cs="Arial"/>
          <w:sz w:val="21"/>
          <w:szCs w:val="21"/>
          <w:lang w:val="sr-Latn-CS"/>
        </w:rPr>
        <w:t>to</w:t>
      </w:r>
      <w:r w:rsidR="00BF00CE">
        <w:rPr>
          <w:rFonts w:ascii="Arial" w:hAnsi="Arial" w:cs="Arial"/>
          <w:sz w:val="21"/>
          <w:szCs w:val="21"/>
          <w:lang w:val="sr-Latn-CS"/>
        </w:rPr>
        <w:t xml:space="preserve">ga je ispitana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osetljivost ocenjenog nivoa siromaštva </w:t>
      </w:r>
      <w:r w:rsidRPr="00AD217E">
        <w:rPr>
          <w:rFonts w:ascii="Arial" w:hAnsi="Arial" w:cs="Arial"/>
          <w:sz w:val="21"/>
          <w:szCs w:val="21"/>
          <w:lang w:val="sr-Latn-CS"/>
        </w:rPr>
        <w:t>na varijacije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u visini linije siromaštva.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Drugim rečima, </w:t>
      </w:r>
      <w:r w:rsidR="00BF00CE">
        <w:rPr>
          <w:rFonts w:ascii="Arial" w:hAnsi="Arial" w:cs="Arial"/>
          <w:sz w:val="21"/>
          <w:szCs w:val="21"/>
          <w:lang w:val="sr-Latn-CS"/>
        </w:rPr>
        <w:t xml:space="preserve">vršeno je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pore</w:t>
      </w:r>
      <w:r w:rsidR="00BF00CE">
        <w:rPr>
          <w:rFonts w:ascii="Arial" w:hAnsi="Arial" w:cs="Arial"/>
          <w:sz w:val="21"/>
          <w:szCs w:val="21"/>
          <w:lang w:val="sr-Latn-CS"/>
        </w:rPr>
        <w:t xml:space="preserve">đenje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međusobn</w:t>
      </w:r>
      <w:r w:rsidR="00BF00CE">
        <w:rPr>
          <w:rFonts w:ascii="Arial" w:hAnsi="Arial" w:cs="Arial"/>
          <w:sz w:val="21"/>
          <w:szCs w:val="21"/>
          <w:lang w:val="sr-Latn-CS"/>
        </w:rPr>
        <w:t>ih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 nivo</w:t>
      </w:r>
      <w:r w:rsidR="00BF00CE">
        <w:rPr>
          <w:rFonts w:ascii="Arial" w:hAnsi="Arial" w:cs="Arial"/>
          <w:sz w:val="21"/>
          <w:szCs w:val="21"/>
          <w:lang w:val="sr-Latn-CS"/>
        </w:rPr>
        <w:t>a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 siromaštva, odnosno stop</w:t>
      </w:r>
      <w:r w:rsidR="00BF00CE">
        <w:rPr>
          <w:rFonts w:ascii="Arial" w:hAnsi="Arial" w:cs="Arial"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siromaštva koje se dobijaju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umerenim promenama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linije siromaštva. U </w:t>
      </w:r>
      <w:r w:rsidR="00BF00CE">
        <w:rPr>
          <w:rFonts w:ascii="Arial" w:hAnsi="Arial" w:cs="Arial"/>
          <w:sz w:val="21"/>
          <w:szCs w:val="21"/>
          <w:lang w:val="sr-Latn-CS"/>
        </w:rPr>
        <w:t xml:space="preserve">Tabeli 2.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prikazani su rezultati ovog poređenja:</w:t>
      </w:r>
    </w:p>
    <w:p w14:paraId="1ED7C4CB" w14:textId="77777777" w:rsidR="0010571D" w:rsidRPr="00851819" w:rsidRDefault="0010571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56A55A30" w14:textId="77777777" w:rsidR="0010571D" w:rsidRPr="00851819" w:rsidRDefault="0010571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Tabela 2.</w:t>
      </w:r>
    </w:p>
    <w:p w14:paraId="2081D75B" w14:textId="77777777" w:rsidR="0010571D" w:rsidRDefault="0010571D" w:rsidP="007D59C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Linija sir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omaštva i stopa siromaštva, 2014</w:t>
      </w:r>
      <w:r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302F7176" w14:textId="77777777" w:rsidR="007D59CA" w:rsidRPr="007D59CA" w:rsidRDefault="007D59CA" w:rsidP="007D59C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4118"/>
      </w:tblGrid>
      <w:tr w:rsidR="00756295" w:rsidRPr="00851819" w14:paraId="54BD472D" w14:textId="77777777" w:rsidTr="00756295">
        <w:trPr>
          <w:trHeight w:val="397"/>
        </w:trPr>
        <w:tc>
          <w:tcPr>
            <w:tcW w:w="4970" w:type="dxa"/>
            <w:shd w:val="clear" w:color="auto" w:fill="95B3D7"/>
            <w:vAlign w:val="center"/>
          </w:tcPr>
          <w:p w14:paraId="27208693" w14:textId="77777777" w:rsidR="007C44F0" w:rsidRPr="007D59CA" w:rsidRDefault="00BF00CE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Latn-CS"/>
              </w:rPr>
              <w:t>V</w:t>
            </w:r>
            <w:r w:rsidR="007C44F0" w:rsidRPr="007D59CA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arijacije linije siromaštva, osnovna linija =100</w:t>
            </w:r>
          </w:p>
        </w:tc>
        <w:tc>
          <w:tcPr>
            <w:tcW w:w="4118" w:type="dxa"/>
            <w:shd w:val="clear" w:color="auto" w:fill="95B3D7"/>
            <w:vAlign w:val="center"/>
          </w:tcPr>
          <w:p w14:paraId="25D76C8D" w14:textId="77777777" w:rsidR="007C44F0" w:rsidRPr="007D59CA" w:rsidRDefault="00BF00CE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Latn-CS"/>
              </w:rPr>
              <w:t>S</w:t>
            </w:r>
            <w:r w:rsidR="007C44F0" w:rsidRPr="007D59CA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topa siromaštva,</w:t>
            </w:r>
          </w:p>
          <w:p w14:paraId="546C2B12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2011, u %</w:t>
            </w:r>
          </w:p>
        </w:tc>
      </w:tr>
      <w:tr w:rsidR="00756295" w:rsidRPr="00851819" w14:paraId="5C4E17B8" w14:textId="77777777" w:rsidTr="00756295">
        <w:trPr>
          <w:trHeight w:val="397"/>
        </w:trPr>
        <w:tc>
          <w:tcPr>
            <w:tcW w:w="4970" w:type="dxa"/>
            <w:shd w:val="clear" w:color="auto" w:fill="B8CCE4"/>
            <w:vAlign w:val="center"/>
          </w:tcPr>
          <w:p w14:paraId="7C6069ED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80</w:t>
            </w:r>
          </w:p>
        </w:tc>
        <w:tc>
          <w:tcPr>
            <w:tcW w:w="4118" w:type="dxa"/>
            <w:shd w:val="clear" w:color="auto" w:fill="B8CCE4"/>
            <w:vAlign w:val="center"/>
          </w:tcPr>
          <w:p w14:paraId="19CCAE79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3,4</w:t>
            </w:r>
          </w:p>
        </w:tc>
      </w:tr>
      <w:tr w:rsidR="00756295" w:rsidRPr="00851819" w14:paraId="5A028E05" w14:textId="77777777" w:rsidTr="00756295">
        <w:trPr>
          <w:trHeight w:val="397"/>
        </w:trPr>
        <w:tc>
          <w:tcPr>
            <w:tcW w:w="4970" w:type="dxa"/>
            <w:shd w:val="clear" w:color="auto" w:fill="auto"/>
            <w:vAlign w:val="center"/>
          </w:tcPr>
          <w:p w14:paraId="3AF0DDCA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90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45795018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6,3</w:t>
            </w:r>
          </w:p>
        </w:tc>
      </w:tr>
      <w:tr w:rsidR="00756295" w:rsidRPr="00851819" w14:paraId="56B26F6A" w14:textId="77777777" w:rsidTr="00756295">
        <w:trPr>
          <w:trHeight w:val="397"/>
        </w:trPr>
        <w:tc>
          <w:tcPr>
            <w:tcW w:w="4970" w:type="dxa"/>
            <w:shd w:val="clear" w:color="auto" w:fill="B8CCE4"/>
            <w:vAlign w:val="center"/>
          </w:tcPr>
          <w:p w14:paraId="2F0F45D6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95</w:t>
            </w:r>
          </w:p>
        </w:tc>
        <w:tc>
          <w:tcPr>
            <w:tcW w:w="4118" w:type="dxa"/>
            <w:shd w:val="clear" w:color="auto" w:fill="B8CCE4"/>
            <w:vAlign w:val="center"/>
          </w:tcPr>
          <w:p w14:paraId="77F6EB6B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7,4</w:t>
            </w:r>
          </w:p>
        </w:tc>
      </w:tr>
      <w:tr w:rsidR="00756295" w:rsidRPr="00851819" w14:paraId="461E39BC" w14:textId="77777777" w:rsidTr="00756295">
        <w:trPr>
          <w:trHeight w:val="397"/>
        </w:trPr>
        <w:tc>
          <w:tcPr>
            <w:tcW w:w="4970" w:type="dxa"/>
            <w:shd w:val="clear" w:color="auto" w:fill="auto"/>
            <w:vAlign w:val="center"/>
          </w:tcPr>
          <w:p w14:paraId="166925FA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100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5AE2B3F2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8,9</w:t>
            </w:r>
          </w:p>
        </w:tc>
      </w:tr>
      <w:tr w:rsidR="00756295" w:rsidRPr="00851819" w14:paraId="34057425" w14:textId="77777777" w:rsidTr="00756295">
        <w:trPr>
          <w:trHeight w:val="397"/>
        </w:trPr>
        <w:tc>
          <w:tcPr>
            <w:tcW w:w="4970" w:type="dxa"/>
            <w:shd w:val="clear" w:color="auto" w:fill="B8CCE4"/>
            <w:vAlign w:val="center"/>
          </w:tcPr>
          <w:p w14:paraId="1099AD94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105</w:t>
            </w:r>
          </w:p>
        </w:tc>
        <w:tc>
          <w:tcPr>
            <w:tcW w:w="4118" w:type="dxa"/>
            <w:shd w:val="clear" w:color="auto" w:fill="B8CCE4"/>
            <w:vAlign w:val="center"/>
          </w:tcPr>
          <w:p w14:paraId="72A4B6CB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10,7</w:t>
            </w:r>
          </w:p>
        </w:tc>
      </w:tr>
      <w:tr w:rsidR="00756295" w:rsidRPr="00851819" w14:paraId="05989A58" w14:textId="77777777" w:rsidTr="00756295">
        <w:trPr>
          <w:trHeight w:val="397"/>
        </w:trPr>
        <w:tc>
          <w:tcPr>
            <w:tcW w:w="4970" w:type="dxa"/>
            <w:shd w:val="clear" w:color="auto" w:fill="auto"/>
            <w:vAlign w:val="center"/>
          </w:tcPr>
          <w:p w14:paraId="50458695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110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1648E57D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12,5</w:t>
            </w:r>
          </w:p>
        </w:tc>
      </w:tr>
      <w:tr w:rsidR="00756295" w:rsidRPr="00851819" w14:paraId="271B8408" w14:textId="77777777" w:rsidTr="00756295">
        <w:trPr>
          <w:trHeight w:val="397"/>
        </w:trPr>
        <w:tc>
          <w:tcPr>
            <w:tcW w:w="4970" w:type="dxa"/>
            <w:shd w:val="clear" w:color="auto" w:fill="B8CCE4"/>
            <w:vAlign w:val="center"/>
          </w:tcPr>
          <w:p w14:paraId="4A65E2B5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120</w:t>
            </w:r>
          </w:p>
        </w:tc>
        <w:tc>
          <w:tcPr>
            <w:tcW w:w="4118" w:type="dxa"/>
            <w:shd w:val="clear" w:color="auto" w:fill="B8CCE4"/>
            <w:vAlign w:val="center"/>
          </w:tcPr>
          <w:p w14:paraId="41B71132" w14:textId="77777777" w:rsidR="007C44F0" w:rsidRPr="007D59CA" w:rsidRDefault="007C44F0" w:rsidP="007D5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7D59CA">
              <w:rPr>
                <w:rFonts w:ascii="Arial" w:hAnsi="Arial" w:cs="Arial"/>
                <w:sz w:val="21"/>
                <w:szCs w:val="21"/>
                <w:lang w:val="sr-Latn-CS"/>
              </w:rPr>
              <w:t>16,6</w:t>
            </w:r>
          </w:p>
        </w:tc>
      </w:tr>
    </w:tbl>
    <w:p w14:paraId="65A4EAB7" w14:textId="77777777" w:rsidR="0010571D" w:rsidRPr="007D59CA" w:rsidRDefault="0010571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7D59CA">
        <w:rPr>
          <w:rFonts w:ascii="Arial" w:hAnsi="Arial" w:cs="Arial"/>
          <w:sz w:val="18"/>
          <w:szCs w:val="18"/>
          <w:lang w:val="sr-Latn-CS"/>
        </w:rPr>
        <w:t xml:space="preserve">Izvor: obrada Ankete o potrošnji domaćinstava 2014, RZS; </w:t>
      </w:r>
      <w:r w:rsidRPr="007D59CA">
        <w:rPr>
          <w:rFonts w:ascii="Arial" w:hAnsi="Arial" w:cs="Arial"/>
          <w:i/>
          <w:sz w:val="18"/>
          <w:szCs w:val="18"/>
          <w:lang w:val="sr-Latn-CS"/>
        </w:rPr>
        <w:t>Studija o životnom standardu, Srbija 2002-2007</w:t>
      </w:r>
      <w:r w:rsidRPr="007D59CA">
        <w:rPr>
          <w:rFonts w:ascii="Arial" w:hAnsi="Arial" w:cs="Arial"/>
          <w:sz w:val="18"/>
          <w:szCs w:val="18"/>
          <w:lang w:val="sr-Latn-CS"/>
        </w:rPr>
        <w:t>, RZS, 2008.</w:t>
      </w:r>
    </w:p>
    <w:p w14:paraId="02CD5716" w14:textId="77777777" w:rsidR="0010571D" w:rsidRPr="00851819" w:rsidRDefault="0010571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1A9289FC" w14:textId="77777777" w:rsidR="0010571D" w:rsidRPr="00851819" w:rsidRDefault="0010571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Kako se vidi, ocenjena stopa siromaštva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dosta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je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senzitivna </w:t>
      </w:r>
      <w:r w:rsidRPr="00851819">
        <w:rPr>
          <w:rFonts w:ascii="Arial" w:hAnsi="Arial" w:cs="Arial"/>
          <w:sz w:val="21"/>
          <w:szCs w:val="21"/>
          <w:lang w:val="sr-Latn-CS"/>
        </w:rPr>
        <w:t>na izbor visine linije siromaštva. Ukoliko se, primer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a radi</w:t>
      </w:r>
      <w:r w:rsidRPr="00851819">
        <w:rPr>
          <w:rFonts w:ascii="Arial" w:hAnsi="Arial" w:cs="Arial"/>
          <w:sz w:val="21"/>
          <w:szCs w:val="21"/>
          <w:lang w:val="sr-Latn-CS"/>
        </w:rPr>
        <w:t>, linija siromaštva po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visi </w:t>
      </w:r>
      <w:r w:rsidRPr="00851819">
        <w:rPr>
          <w:rFonts w:ascii="Arial" w:hAnsi="Arial" w:cs="Arial"/>
          <w:sz w:val="21"/>
          <w:szCs w:val="21"/>
          <w:lang w:val="sr-Latn-CS"/>
        </w:rPr>
        <w:t>za 5%</w:t>
      </w:r>
      <w:r w:rsidR="00BF00CE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doći će do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podizanja </w:t>
      </w:r>
      <w:r w:rsidRPr="00851819">
        <w:rPr>
          <w:rFonts w:ascii="Arial" w:hAnsi="Arial" w:cs="Arial"/>
          <w:sz w:val="21"/>
          <w:szCs w:val="21"/>
          <w:lang w:val="sr-Latn-CS"/>
        </w:rPr>
        <w:t>stope siromaštva sa 8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,9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na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10</w:t>
      </w:r>
      <w:r w:rsidRPr="00851819">
        <w:rPr>
          <w:rFonts w:ascii="Arial" w:hAnsi="Arial" w:cs="Arial"/>
          <w:sz w:val="21"/>
          <w:szCs w:val="21"/>
          <w:lang w:val="sr-Latn-CS"/>
        </w:rPr>
        <w:t>,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7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%. </w:t>
      </w:r>
      <w:r w:rsidR="00F33CC0" w:rsidRPr="00F33CC0">
        <w:rPr>
          <w:rFonts w:ascii="Arial" w:hAnsi="Arial" w:cs="Arial"/>
          <w:sz w:val="21"/>
          <w:szCs w:val="21"/>
          <w:lang w:val="sr-Latn-CS"/>
        </w:rPr>
        <w:t>To znači da se za povećanje linije siromaštva za 1 procenat stopa siromaštva uvećava za 0,3 procentna poena.</w:t>
      </w:r>
      <w:r w:rsidR="00F33CC0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U većim intervalima promena stope siromaštva je svakako veća: tako povišenje linije siromaštva za 20% dovodi 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 xml:space="preserve">gotovo </w:t>
      </w:r>
      <w:r w:rsidRPr="00851819">
        <w:rPr>
          <w:rFonts w:ascii="Arial" w:hAnsi="Arial" w:cs="Arial"/>
          <w:sz w:val="21"/>
          <w:szCs w:val="21"/>
          <w:lang w:val="sr-Latn-CS"/>
        </w:rPr>
        <w:t>do udvo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stručenja stope siromaštva (sa 8</w:t>
      </w:r>
      <w:r w:rsidRPr="00851819">
        <w:rPr>
          <w:rFonts w:ascii="Arial" w:hAnsi="Arial" w:cs="Arial"/>
          <w:sz w:val="21"/>
          <w:szCs w:val="21"/>
          <w:lang w:val="sr-Latn-CS"/>
        </w:rPr>
        <w:t>,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9</w:t>
      </w:r>
      <w:r w:rsidR="00BF00CE">
        <w:rPr>
          <w:rFonts w:ascii="Arial" w:hAnsi="Arial" w:cs="Arial"/>
          <w:sz w:val="21"/>
          <w:szCs w:val="21"/>
          <w:lang w:val="sr-Latn-CS"/>
        </w:rPr>
        <w:t>%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na 1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6</w:t>
      </w:r>
      <w:r w:rsidRPr="00851819">
        <w:rPr>
          <w:rFonts w:ascii="Arial" w:hAnsi="Arial" w:cs="Arial"/>
          <w:sz w:val="21"/>
          <w:szCs w:val="21"/>
          <w:lang w:val="sr-Latn-CS"/>
        </w:rPr>
        <w:t>,</w:t>
      </w:r>
      <w:r w:rsidR="007C44F0" w:rsidRPr="00851819">
        <w:rPr>
          <w:rFonts w:ascii="Arial" w:hAnsi="Arial" w:cs="Arial"/>
          <w:sz w:val="21"/>
          <w:szCs w:val="21"/>
          <w:lang w:val="sr-Latn-CS"/>
        </w:rPr>
        <w:t>6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%). </w:t>
      </w:r>
    </w:p>
    <w:p w14:paraId="02C45BB9" w14:textId="77777777" w:rsidR="0010571D" w:rsidRPr="00851819" w:rsidRDefault="0010571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41FF8426" w14:textId="77777777" w:rsidR="00E02AF4" w:rsidRPr="00851819" w:rsidRDefault="00E02AF4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U odnosu na prethodnu godinu </w:t>
      </w:r>
      <w:r w:rsidR="00D30408" w:rsidRPr="00851819">
        <w:rPr>
          <w:rFonts w:ascii="Arial" w:hAnsi="Arial" w:cs="Arial"/>
          <w:sz w:val="21"/>
          <w:szCs w:val="21"/>
          <w:lang w:val="sr-Latn-CS"/>
        </w:rPr>
        <w:t>siromaštvo se u određenoj meri „razredilo“, tj. manji broj ljudi se nalazi u zoni analize – od 80</w:t>
      </w:r>
      <w:r w:rsidR="00BF00CE">
        <w:rPr>
          <w:rFonts w:ascii="Arial" w:hAnsi="Arial" w:cs="Arial"/>
          <w:sz w:val="21"/>
          <w:szCs w:val="21"/>
          <w:lang w:val="sr-Latn-CS"/>
        </w:rPr>
        <w:t>%</w:t>
      </w:r>
      <w:r w:rsidR="00D30408" w:rsidRPr="00851819">
        <w:rPr>
          <w:rFonts w:ascii="Arial" w:hAnsi="Arial" w:cs="Arial"/>
          <w:sz w:val="21"/>
          <w:szCs w:val="21"/>
          <w:lang w:val="sr-Latn-CS"/>
        </w:rPr>
        <w:t xml:space="preserve"> do 120% linije siromaštva. </w:t>
      </w:r>
      <w:r w:rsidR="00BF00CE">
        <w:rPr>
          <w:rFonts w:ascii="Arial" w:hAnsi="Arial" w:cs="Arial"/>
          <w:sz w:val="21"/>
          <w:szCs w:val="21"/>
          <w:lang w:val="sr-Latn-CS"/>
        </w:rPr>
        <w:t>Naime</w:t>
      </w:r>
      <w:r w:rsidR="00D30408" w:rsidRPr="00851819">
        <w:rPr>
          <w:rFonts w:ascii="Arial" w:hAnsi="Arial" w:cs="Arial"/>
          <w:sz w:val="21"/>
          <w:szCs w:val="21"/>
          <w:lang w:val="sr-Latn-CS"/>
        </w:rPr>
        <w:t xml:space="preserve">, u 2014. </w:t>
      </w:r>
      <w:r w:rsidR="00BF00CE">
        <w:rPr>
          <w:rFonts w:ascii="Arial" w:hAnsi="Arial" w:cs="Arial"/>
          <w:sz w:val="21"/>
          <w:szCs w:val="21"/>
          <w:lang w:val="sr-Latn-CS"/>
        </w:rPr>
        <w:t xml:space="preserve">godini </w:t>
      </w:r>
      <w:r w:rsidR="00D30408" w:rsidRPr="00851819">
        <w:rPr>
          <w:rFonts w:ascii="Arial" w:hAnsi="Arial" w:cs="Arial"/>
          <w:sz w:val="21"/>
          <w:szCs w:val="21"/>
          <w:lang w:val="sr-Latn-CS"/>
        </w:rPr>
        <w:t xml:space="preserve">pomeranja stope siromaštva su nešto manja nego prethodne godine: tako podizanje linije siromaštva za 20% </w:t>
      </w:r>
      <w:r w:rsidR="00BF00CE" w:rsidRPr="00851819">
        <w:rPr>
          <w:rFonts w:ascii="Arial" w:hAnsi="Arial" w:cs="Arial"/>
          <w:sz w:val="21"/>
          <w:szCs w:val="21"/>
          <w:lang w:val="sr-Latn-CS"/>
        </w:rPr>
        <w:t xml:space="preserve">u 2014. </w:t>
      </w:r>
      <w:r w:rsidR="00D30408" w:rsidRPr="00851819">
        <w:rPr>
          <w:rFonts w:ascii="Arial" w:hAnsi="Arial" w:cs="Arial"/>
          <w:sz w:val="21"/>
          <w:szCs w:val="21"/>
          <w:lang w:val="sr-Latn-CS"/>
        </w:rPr>
        <w:t>dovodi do povećanja stope siromaštva za 87%</w:t>
      </w:r>
      <w:r w:rsidR="00BF00CE">
        <w:rPr>
          <w:rFonts w:ascii="Arial" w:hAnsi="Arial" w:cs="Arial"/>
          <w:sz w:val="21"/>
          <w:szCs w:val="21"/>
          <w:lang w:val="sr-Latn-CS"/>
        </w:rPr>
        <w:t>,</w:t>
      </w:r>
      <w:r w:rsidR="00D30408" w:rsidRPr="00851819">
        <w:rPr>
          <w:rFonts w:ascii="Arial" w:hAnsi="Arial" w:cs="Arial"/>
          <w:sz w:val="21"/>
          <w:szCs w:val="21"/>
          <w:lang w:val="sr-Latn-CS"/>
        </w:rPr>
        <w:t xml:space="preserve"> umesto za 106% u 2013. godini. Ovo pokazuje da se u 2014. oko linije siromaštva nalazi nešto manje građana Srbije nego tokom prethodne godine.  </w:t>
      </w:r>
    </w:p>
    <w:p w14:paraId="027D8BA3" w14:textId="77777777" w:rsidR="007D59CA" w:rsidRDefault="007D59CA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2562B0ED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562A3D3B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2D7BD5B4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02C228FF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6DAB6080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62A21299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7EB07156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51F8F6D0" w14:textId="77777777" w:rsidR="00756295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57216C18" w14:textId="77777777" w:rsidR="00756295" w:rsidRPr="00851819" w:rsidRDefault="00756295" w:rsidP="0075629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383CA917" w14:textId="77777777" w:rsidR="009A4B16" w:rsidRDefault="00D55A0D" w:rsidP="00B03F77">
      <w:pPr>
        <w:pStyle w:val="Heading2"/>
        <w:rPr>
          <w:lang w:val="sr-Latn-CS"/>
        </w:rPr>
      </w:pPr>
      <w:bookmarkStart w:id="7" w:name="_Siromaštvo_po_tipu"/>
      <w:bookmarkEnd w:id="7"/>
      <w:r w:rsidRPr="00013165">
        <w:rPr>
          <w:lang w:val="sr-Latn-CS"/>
        </w:rPr>
        <w:lastRenderedPageBreak/>
        <w:t>Siromaštvo po tipu naselja</w:t>
      </w:r>
    </w:p>
    <w:p w14:paraId="0A2F9F11" w14:textId="77777777" w:rsidR="00B03F77" w:rsidRPr="002828A1" w:rsidRDefault="00B03F77" w:rsidP="00B03F77">
      <w:pPr>
        <w:rPr>
          <w:lang w:val="sr-Latn-CS"/>
        </w:rPr>
      </w:pPr>
    </w:p>
    <w:p w14:paraId="5FF5FC22" w14:textId="77777777" w:rsidR="009A4B16" w:rsidRPr="00851819" w:rsidRDefault="006719C9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6719C9">
        <w:rPr>
          <w:rFonts w:ascii="Arial" w:hAnsi="Arial" w:cs="Arial"/>
          <w:sz w:val="21"/>
          <w:szCs w:val="21"/>
          <w:lang w:val="sr-Latn-CS"/>
        </w:rPr>
        <w:t xml:space="preserve">Kao u drugim zemljama,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siromaštvo je </w:t>
      </w:r>
      <w:r>
        <w:rPr>
          <w:rFonts w:ascii="Arial" w:hAnsi="Arial" w:cs="Arial"/>
          <w:sz w:val="21"/>
          <w:szCs w:val="21"/>
          <w:lang w:val="sr-Latn-CS"/>
        </w:rPr>
        <w:t xml:space="preserve">i u Srbiji 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znatno izraženije na </w:t>
      </w:r>
      <w:r>
        <w:rPr>
          <w:rFonts w:ascii="Arial" w:hAnsi="Arial" w:cs="Arial"/>
          <w:sz w:val="21"/>
          <w:szCs w:val="21"/>
          <w:lang w:val="sr-Latn-CS"/>
        </w:rPr>
        <w:t xml:space="preserve">tzv. 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ostalom području (varošice i sela)</w:t>
      </w:r>
      <w:r w:rsidR="00BF00CE">
        <w:rPr>
          <w:rFonts w:ascii="Arial" w:hAnsi="Arial" w:cs="Arial"/>
          <w:sz w:val="21"/>
          <w:szCs w:val="21"/>
          <w:lang w:val="sr-Latn-CS"/>
        </w:rPr>
        <w:t>,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BF00CE">
        <w:rPr>
          <w:rFonts w:ascii="Arial" w:hAnsi="Arial" w:cs="Arial"/>
          <w:sz w:val="21"/>
          <w:szCs w:val="21"/>
          <w:lang w:val="sr-Latn-CS"/>
        </w:rPr>
        <w:t>a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 znatno manje na urbanom području.</w:t>
      </w:r>
    </w:p>
    <w:p w14:paraId="7AD67D97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119CF083" w14:textId="77777777" w:rsidR="009A4B16" w:rsidRPr="00851819" w:rsidRDefault="00D30408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Tabela 3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4CC37F5F" w14:textId="77777777" w:rsidR="009A4B16" w:rsidRDefault="00D55A0D" w:rsidP="00013165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Siromaštvo, urbano i ostalo, 2014.</w:t>
      </w:r>
    </w:p>
    <w:p w14:paraId="02FA38AE" w14:textId="77777777" w:rsidR="00013165" w:rsidRPr="00AD645D" w:rsidRDefault="00013165" w:rsidP="00013165">
      <w:pPr>
        <w:spacing w:line="276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3736"/>
        <w:gridCol w:w="2983"/>
      </w:tblGrid>
      <w:tr w:rsidR="00322EF4" w:rsidRPr="00851819" w14:paraId="4BBB3D26" w14:textId="77777777" w:rsidTr="00322EF4">
        <w:trPr>
          <w:trHeight w:val="397"/>
        </w:trPr>
        <w:tc>
          <w:tcPr>
            <w:tcW w:w="1304" w:type="pct"/>
            <w:shd w:val="clear" w:color="auto" w:fill="95B3D7"/>
            <w:vAlign w:val="center"/>
          </w:tcPr>
          <w:p w14:paraId="545D2488" w14:textId="77777777" w:rsidR="009A4B16" w:rsidRPr="00551969" w:rsidRDefault="009A4B16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2055" w:type="pct"/>
            <w:shd w:val="clear" w:color="auto" w:fill="95B3D7"/>
            <w:vAlign w:val="center"/>
          </w:tcPr>
          <w:p w14:paraId="144F4D87" w14:textId="77777777" w:rsidR="009A4B16" w:rsidRPr="00551969" w:rsidRDefault="00BF00CE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Latn-CS"/>
              </w:rPr>
              <w:t>B</w:t>
            </w:r>
            <w:r w:rsidR="00D55A0D" w:rsidRPr="00551969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roj siromašnih, u 000</w:t>
            </w:r>
          </w:p>
        </w:tc>
        <w:tc>
          <w:tcPr>
            <w:tcW w:w="1641" w:type="pct"/>
            <w:shd w:val="clear" w:color="auto" w:fill="95B3D7"/>
            <w:vAlign w:val="center"/>
          </w:tcPr>
          <w:p w14:paraId="415DEF89" w14:textId="77777777" w:rsidR="009A4B16" w:rsidRPr="00551969" w:rsidRDefault="00BF00CE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Latn-CS"/>
              </w:rPr>
              <w:t>S</w:t>
            </w:r>
            <w:r w:rsidR="00D55A0D" w:rsidRPr="00551969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topa siromaštva, u %</w:t>
            </w:r>
          </w:p>
        </w:tc>
      </w:tr>
      <w:tr w:rsidR="00322EF4" w:rsidRPr="00851819" w14:paraId="3B74EE20" w14:textId="77777777" w:rsidTr="00322EF4">
        <w:trPr>
          <w:trHeight w:val="397"/>
        </w:trPr>
        <w:tc>
          <w:tcPr>
            <w:tcW w:w="1304" w:type="pct"/>
            <w:shd w:val="clear" w:color="auto" w:fill="B8CCE4"/>
            <w:vAlign w:val="center"/>
          </w:tcPr>
          <w:p w14:paraId="6925C799" w14:textId="77777777" w:rsidR="009A4B16" w:rsidRPr="00851819" w:rsidRDefault="00D55A0D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2055" w:type="pct"/>
            <w:shd w:val="clear" w:color="auto" w:fill="B8CCE4"/>
            <w:vAlign w:val="center"/>
          </w:tcPr>
          <w:p w14:paraId="69672EE4" w14:textId="77777777" w:rsidR="009A4B16" w:rsidRPr="00851819" w:rsidRDefault="00D55A0D" w:rsidP="0055196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627</w:t>
            </w:r>
          </w:p>
        </w:tc>
        <w:tc>
          <w:tcPr>
            <w:tcW w:w="1641" w:type="pct"/>
            <w:shd w:val="clear" w:color="auto" w:fill="B8CCE4"/>
            <w:vAlign w:val="center"/>
          </w:tcPr>
          <w:p w14:paraId="367ED9C3" w14:textId="77777777" w:rsidR="009A4B16" w:rsidRPr="00851819" w:rsidRDefault="00D55A0D" w:rsidP="0055196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8,9</w:t>
            </w:r>
          </w:p>
        </w:tc>
      </w:tr>
      <w:tr w:rsidR="00322EF4" w:rsidRPr="00851819" w14:paraId="0AC4CF7D" w14:textId="77777777" w:rsidTr="00322EF4">
        <w:trPr>
          <w:trHeight w:val="397"/>
        </w:trPr>
        <w:tc>
          <w:tcPr>
            <w:tcW w:w="1304" w:type="pct"/>
            <w:vAlign w:val="center"/>
          </w:tcPr>
          <w:p w14:paraId="0FE004C4" w14:textId="77777777" w:rsidR="009A4B16" w:rsidRPr="00851819" w:rsidRDefault="007D73E5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U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rbano</w:t>
            </w:r>
          </w:p>
        </w:tc>
        <w:tc>
          <w:tcPr>
            <w:tcW w:w="2055" w:type="pct"/>
            <w:vAlign w:val="center"/>
          </w:tcPr>
          <w:p w14:paraId="20237D17" w14:textId="77777777" w:rsidR="009A4B16" w:rsidRPr="00851819" w:rsidRDefault="00D55A0D" w:rsidP="0055196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284</w:t>
            </w:r>
          </w:p>
        </w:tc>
        <w:tc>
          <w:tcPr>
            <w:tcW w:w="1641" w:type="pct"/>
            <w:vAlign w:val="center"/>
          </w:tcPr>
          <w:p w14:paraId="0C82A371" w14:textId="77777777" w:rsidR="009A4B16" w:rsidRPr="00851819" w:rsidRDefault="00D55A0D" w:rsidP="0055196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6,7</w:t>
            </w:r>
          </w:p>
        </w:tc>
      </w:tr>
      <w:tr w:rsidR="00322EF4" w:rsidRPr="00851819" w14:paraId="42BE7B78" w14:textId="77777777" w:rsidTr="00322EF4">
        <w:trPr>
          <w:trHeight w:val="397"/>
        </w:trPr>
        <w:tc>
          <w:tcPr>
            <w:tcW w:w="1304" w:type="pct"/>
            <w:shd w:val="clear" w:color="auto" w:fill="B8CCE4"/>
            <w:vAlign w:val="center"/>
          </w:tcPr>
          <w:p w14:paraId="3B58B30C" w14:textId="77777777" w:rsidR="009A4B16" w:rsidRPr="00851819" w:rsidRDefault="007D73E5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O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stalo</w:t>
            </w:r>
          </w:p>
        </w:tc>
        <w:tc>
          <w:tcPr>
            <w:tcW w:w="2055" w:type="pct"/>
            <w:shd w:val="clear" w:color="auto" w:fill="B8CCE4"/>
            <w:vAlign w:val="center"/>
          </w:tcPr>
          <w:p w14:paraId="54D99585" w14:textId="77777777" w:rsidR="009A4B16" w:rsidRPr="00851819" w:rsidRDefault="00D55A0D" w:rsidP="0055196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344</w:t>
            </w:r>
          </w:p>
        </w:tc>
        <w:tc>
          <w:tcPr>
            <w:tcW w:w="1641" w:type="pct"/>
            <w:shd w:val="clear" w:color="auto" w:fill="B8CCE4"/>
            <w:vAlign w:val="center"/>
          </w:tcPr>
          <w:p w14:paraId="3A49F811" w14:textId="77777777" w:rsidR="009A4B16" w:rsidRPr="00851819" w:rsidRDefault="00D55A0D" w:rsidP="0055196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12,2</w:t>
            </w:r>
          </w:p>
        </w:tc>
      </w:tr>
    </w:tbl>
    <w:p w14:paraId="20937586" w14:textId="77777777" w:rsidR="009A4B16" w:rsidRPr="00551969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551969">
        <w:rPr>
          <w:rFonts w:ascii="Arial" w:hAnsi="Arial" w:cs="Arial"/>
          <w:sz w:val="18"/>
          <w:szCs w:val="18"/>
          <w:lang w:val="sr-Latn-CS"/>
        </w:rPr>
        <w:t xml:space="preserve"> Izvor: obrada Ankete o potrošnji domaćinstava 2014, RZS</w:t>
      </w:r>
    </w:p>
    <w:p w14:paraId="541061BB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13822ACA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Kako se vidi u </w:t>
      </w:r>
      <w:r w:rsidR="00BF00CE">
        <w:rPr>
          <w:rFonts w:ascii="Arial" w:hAnsi="Arial" w:cs="Arial"/>
          <w:sz w:val="21"/>
          <w:szCs w:val="21"/>
          <w:lang w:val="sr-Latn-CS"/>
        </w:rPr>
        <w:t>T</w:t>
      </w:r>
      <w:r w:rsidRPr="00851819">
        <w:rPr>
          <w:rFonts w:ascii="Arial" w:hAnsi="Arial" w:cs="Arial"/>
          <w:sz w:val="21"/>
          <w:szCs w:val="21"/>
          <w:lang w:val="sr-Latn-CS"/>
        </w:rPr>
        <w:t>abeli</w:t>
      </w:r>
      <w:r w:rsidR="00BF00CE">
        <w:rPr>
          <w:rFonts w:ascii="Arial" w:hAnsi="Arial" w:cs="Arial"/>
          <w:sz w:val="21"/>
          <w:szCs w:val="21"/>
          <w:lang w:val="sr-Latn-CS"/>
        </w:rPr>
        <w:t xml:space="preserve"> 3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, stopa siromaštva u 2014. dostigla je na urbanom području 6,7%, a na ostalom 12,2%, dok je broj siromašnih 284 i 344 hiljada respektivno. </w:t>
      </w:r>
    </w:p>
    <w:p w14:paraId="03B0316C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1964ABE4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Stopa siromaštva na ostalom području je i 2014. godine gotovo dvostruko veća nego na urbanom području  (12,2 u odnosu na 6,7%). Ove razlike između dvaju područja uobičajene su za zemlje istočne i jugoistočne Evrope, kod kojih se odnos stopa ruralnog i urbanog siromaštva kreće od 1,3:1 do 3:1.</w:t>
      </w:r>
      <w:r w:rsidR="00B161F4"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12"/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 Ipak, može se primetiti tendencija izvesnog smanjenja razlike između ova dva područja u Srbiji: odnos stope siromaštva na ostalom prema stopi siromaštva na urbanom području smanjen je sa 2,05 u 2012. na 1,91 u 2013. godini i na 1,82 u 2014. godini. </w:t>
      </w:r>
    </w:p>
    <w:p w14:paraId="46231162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4A5EC859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Iako imaju nižu stopu siromaštva, i urbana naselja Srbije pogođena su znatnim siromaštvom, pa je svaki petnaesti stanovnik </w:t>
      </w:r>
      <w:r w:rsidR="004F4E6C" w:rsidRPr="00851819">
        <w:rPr>
          <w:rFonts w:ascii="Arial" w:hAnsi="Arial" w:cs="Arial"/>
          <w:sz w:val="21"/>
          <w:szCs w:val="21"/>
          <w:lang w:val="sr-Latn-CS"/>
        </w:rPr>
        <w:t xml:space="preserve">u 2014. godini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siromašan. Uzroci siromaštva </w:t>
      </w:r>
      <w:r w:rsidR="007D73E5">
        <w:rPr>
          <w:rFonts w:ascii="Arial" w:hAnsi="Arial" w:cs="Arial"/>
          <w:sz w:val="21"/>
          <w:szCs w:val="21"/>
          <w:lang w:val="sr-Latn-CS"/>
        </w:rPr>
        <w:t xml:space="preserve">stanovnika urbanih naselja </w:t>
      </w:r>
      <w:r w:rsidRPr="00851819">
        <w:rPr>
          <w:rFonts w:ascii="Arial" w:hAnsi="Arial" w:cs="Arial"/>
          <w:sz w:val="21"/>
          <w:szCs w:val="21"/>
          <w:lang w:val="sr-Latn-CS"/>
        </w:rPr>
        <w:t>prvenstveno su višegodišnja stagnacija, uz izvesna kolebanja, bruto društvenog proizvoda Srbije, odnosno neuspeh da se ekonomija izvuče iz krize u koju je zapala još 2008. godine. Nepovoljn</w:t>
      </w:r>
      <w:r w:rsidR="004F4E6C">
        <w:rPr>
          <w:rFonts w:ascii="Arial" w:hAnsi="Arial" w:cs="Arial"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kretanj</w:t>
      </w:r>
      <w:r w:rsidR="004F4E6C">
        <w:rPr>
          <w:rFonts w:ascii="Arial" w:hAnsi="Arial" w:cs="Arial"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na planu ekonomske aktivnosti sledil</w:t>
      </w:r>
      <w:r w:rsidR="004F4E6C">
        <w:rPr>
          <w:rFonts w:ascii="Arial" w:hAnsi="Arial" w:cs="Arial"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4F4E6C">
        <w:rPr>
          <w:rFonts w:ascii="Arial" w:hAnsi="Arial" w:cs="Arial"/>
          <w:sz w:val="21"/>
          <w:szCs w:val="21"/>
          <w:lang w:val="sr-Latn-CS"/>
        </w:rPr>
        <w:t>su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visoka nezaposlenost gradskog stanovništva i smanjenje prihoda i potrošnje. </w:t>
      </w:r>
    </w:p>
    <w:p w14:paraId="3138DFD1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6DEF1476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Znatno viša stopa siromaštva na „ostalom“ području posledica je više razloga koji zajednički deluju: na ovom području dominira nepovoljnija privredna struktura sa tradicionalnim granama industrije i drugih delatnosti i dominacijom poljoprivrede koja donosi poljoprivrednom stanovništvu manji dohodak po radniku, sa posledičnim zaostajanjem potrošnje; ovom doprinosi i nepovoljna kvalifikaciona struktura radnoaktivnih, koja je znatno niža nego u urbanim centrima; </w:t>
      </w:r>
      <w:r w:rsidR="001B31FD">
        <w:rPr>
          <w:rFonts w:ascii="Arial" w:hAnsi="Arial" w:cs="Arial"/>
          <w:sz w:val="21"/>
          <w:szCs w:val="21"/>
          <w:lang w:val="sr-Latn-CS"/>
        </w:rPr>
        <w:t xml:space="preserve">takođe,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stanje na seoskom području i manjim varošicama veoma je pogoršano zbog negativnih demografskih kretanja koja su dovela do starenja stanovništva, pa u mnogim ruralnim domaćinstvima više ne postoje mladi, radno i preduzetnički sposobni članovi. </w:t>
      </w:r>
    </w:p>
    <w:p w14:paraId="07F0F446" w14:textId="77777777" w:rsidR="009A4B16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41D7C938" w14:textId="77777777" w:rsidR="00EC6390" w:rsidRDefault="00EC6390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0E4F2E22" w14:textId="77777777" w:rsidR="00EC6390" w:rsidRDefault="00EC6390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0EA97817" w14:textId="77777777" w:rsidR="00EC6390" w:rsidRDefault="00EC6390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1670C481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7F2F3A8A" w14:textId="77777777" w:rsidR="009A4B16" w:rsidRDefault="00D55A0D" w:rsidP="00B03F77">
      <w:pPr>
        <w:pStyle w:val="Heading2"/>
        <w:rPr>
          <w:lang w:val="sr-Latn-CS"/>
        </w:rPr>
      </w:pPr>
      <w:bookmarkStart w:id="8" w:name="_Geografija_siromaštva"/>
      <w:bookmarkEnd w:id="8"/>
      <w:r w:rsidRPr="00F5794F">
        <w:rPr>
          <w:lang w:val="sr-Latn-CS"/>
        </w:rPr>
        <w:lastRenderedPageBreak/>
        <w:t>Geografija siromaštva</w:t>
      </w:r>
    </w:p>
    <w:p w14:paraId="51E5AA61" w14:textId="77777777" w:rsidR="00B03F77" w:rsidRPr="002828A1" w:rsidRDefault="00B03F77" w:rsidP="00B03F77">
      <w:pPr>
        <w:rPr>
          <w:lang w:val="sr-Latn-CS"/>
        </w:rPr>
      </w:pPr>
    </w:p>
    <w:p w14:paraId="72C63AF4" w14:textId="77777777" w:rsidR="009A4B16" w:rsidRPr="00851819" w:rsidRDefault="00D55A0D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Teritorijalni raspored siromašnih u Srbiji i nivo siromaštva po regionima, izražen stopama siromaštva, prikazani su u </w:t>
      </w:r>
      <w:r w:rsidR="007D73E5">
        <w:rPr>
          <w:rFonts w:ascii="Arial" w:hAnsi="Arial" w:cs="Arial"/>
          <w:sz w:val="21"/>
          <w:szCs w:val="21"/>
          <w:lang w:val="sr-Latn-CS"/>
        </w:rPr>
        <w:t>Tabeli 4</w:t>
      </w:r>
      <w:r w:rsidRPr="00851819">
        <w:rPr>
          <w:rFonts w:ascii="Arial" w:hAnsi="Arial" w:cs="Arial"/>
          <w:sz w:val="21"/>
          <w:szCs w:val="21"/>
          <w:lang w:val="sr-Latn-CS"/>
        </w:rPr>
        <w:t>:</w:t>
      </w:r>
    </w:p>
    <w:p w14:paraId="39D09C2D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130435CE" w14:textId="77777777" w:rsidR="009A4B16" w:rsidRPr="00851819" w:rsidRDefault="00D30408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Tabela 4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2390CFF1" w14:textId="77777777" w:rsidR="009A4B16" w:rsidRDefault="00D55A0D" w:rsidP="00052A1C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Siromaštvo po regionima Srbije, 2014.</w:t>
      </w:r>
    </w:p>
    <w:p w14:paraId="05861B8F" w14:textId="77777777" w:rsidR="00052A1C" w:rsidRPr="00052A1C" w:rsidRDefault="00052A1C" w:rsidP="00052A1C">
      <w:pPr>
        <w:spacing w:line="276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2"/>
        <w:gridCol w:w="1990"/>
        <w:gridCol w:w="3407"/>
      </w:tblGrid>
      <w:tr w:rsidR="00052A1C" w:rsidRPr="00851819" w14:paraId="3692E41C" w14:textId="77777777" w:rsidTr="00052A1C">
        <w:trPr>
          <w:trHeight w:val="397"/>
        </w:trPr>
        <w:tc>
          <w:tcPr>
            <w:tcW w:w="2031" w:type="pct"/>
            <w:shd w:val="clear" w:color="auto" w:fill="95B3D7"/>
            <w:vAlign w:val="center"/>
          </w:tcPr>
          <w:p w14:paraId="04DBE99C" w14:textId="77777777" w:rsidR="009A4B16" w:rsidRPr="00851819" w:rsidRDefault="009A4B1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095" w:type="pct"/>
            <w:shd w:val="clear" w:color="auto" w:fill="95B3D7"/>
            <w:vAlign w:val="center"/>
          </w:tcPr>
          <w:p w14:paraId="039DC30B" w14:textId="77777777" w:rsidR="009A4B16" w:rsidRPr="00052A1C" w:rsidRDefault="006A616C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Latn-CS"/>
              </w:rPr>
              <w:t>B</w:t>
            </w:r>
            <w:r w:rsidR="00D55A0D" w:rsidRPr="00052A1C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roj siromašnih, </w:t>
            </w:r>
          </w:p>
          <w:p w14:paraId="56502768" w14:textId="77777777" w:rsidR="009A4B16" w:rsidRPr="00052A1C" w:rsidRDefault="00D55A0D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052A1C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u 000</w:t>
            </w:r>
          </w:p>
        </w:tc>
        <w:tc>
          <w:tcPr>
            <w:tcW w:w="1874" w:type="pct"/>
            <w:shd w:val="clear" w:color="auto" w:fill="95B3D7"/>
            <w:vAlign w:val="center"/>
          </w:tcPr>
          <w:p w14:paraId="5C049347" w14:textId="77777777" w:rsidR="009A4B16" w:rsidRPr="00052A1C" w:rsidRDefault="006A616C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topa siromaštva, u %</w:t>
            </w:r>
          </w:p>
        </w:tc>
      </w:tr>
      <w:tr w:rsidR="00052A1C" w:rsidRPr="00851819" w14:paraId="2F184160" w14:textId="77777777" w:rsidTr="00052A1C">
        <w:trPr>
          <w:trHeight w:val="397"/>
        </w:trPr>
        <w:tc>
          <w:tcPr>
            <w:tcW w:w="2031" w:type="pct"/>
            <w:shd w:val="clear" w:color="auto" w:fill="B8CCE4"/>
            <w:vAlign w:val="center"/>
          </w:tcPr>
          <w:p w14:paraId="3C45CD6E" w14:textId="77777777" w:rsidR="009A4B16" w:rsidRPr="00851819" w:rsidRDefault="00D55A0D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1095" w:type="pct"/>
            <w:shd w:val="clear" w:color="auto" w:fill="B8CCE4"/>
            <w:vAlign w:val="center"/>
          </w:tcPr>
          <w:p w14:paraId="5CE6C4D5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627</w:t>
            </w:r>
          </w:p>
        </w:tc>
        <w:tc>
          <w:tcPr>
            <w:tcW w:w="1874" w:type="pct"/>
            <w:shd w:val="clear" w:color="auto" w:fill="B8CCE4"/>
            <w:vAlign w:val="center"/>
          </w:tcPr>
          <w:p w14:paraId="1C1A1159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8,9</w:t>
            </w:r>
          </w:p>
        </w:tc>
      </w:tr>
      <w:tr w:rsidR="00052A1C" w:rsidRPr="00851819" w14:paraId="211CF5B9" w14:textId="77777777" w:rsidTr="00052A1C">
        <w:trPr>
          <w:trHeight w:val="397"/>
        </w:trPr>
        <w:tc>
          <w:tcPr>
            <w:tcW w:w="2031" w:type="pct"/>
            <w:vAlign w:val="center"/>
          </w:tcPr>
          <w:p w14:paraId="5090C2A3" w14:textId="77777777" w:rsidR="009A4B16" w:rsidRPr="00851819" w:rsidRDefault="00D55A0D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Vojvodina</w:t>
            </w:r>
          </w:p>
        </w:tc>
        <w:tc>
          <w:tcPr>
            <w:tcW w:w="1095" w:type="pct"/>
            <w:vAlign w:val="center"/>
          </w:tcPr>
          <w:p w14:paraId="5C87BAFC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149</w:t>
            </w:r>
          </w:p>
        </w:tc>
        <w:tc>
          <w:tcPr>
            <w:tcW w:w="1874" w:type="pct"/>
            <w:vAlign w:val="center"/>
          </w:tcPr>
          <w:p w14:paraId="5E1D323B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uz-Cyrl-UZ"/>
              </w:rPr>
              <w:t>7,8</w:t>
            </w:r>
          </w:p>
        </w:tc>
      </w:tr>
      <w:tr w:rsidR="00052A1C" w:rsidRPr="00851819" w14:paraId="04AB35D9" w14:textId="77777777" w:rsidTr="00052A1C">
        <w:trPr>
          <w:trHeight w:val="397"/>
        </w:trPr>
        <w:tc>
          <w:tcPr>
            <w:tcW w:w="2031" w:type="pct"/>
            <w:shd w:val="clear" w:color="auto" w:fill="B8CCE4"/>
            <w:vAlign w:val="center"/>
          </w:tcPr>
          <w:p w14:paraId="6F0B9072" w14:textId="77777777" w:rsidR="009A4B16" w:rsidRPr="00851819" w:rsidRDefault="00D55A0D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Beograd</w:t>
            </w:r>
          </w:p>
        </w:tc>
        <w:tc>
          <w:tcPr>
            <w:tcW w:w="1095" w:type="pct"/>
            <w:shd w:val="clear" w:color="auto" w:fill="B8CCE4"/>
            <w:vAlign w:val="center"/>
          </w:tcPr>
          <w:p w14:paraId="29B1683E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77</w:t>
            </w:r>
          </w:p>
        </w:tc>
        <w:tc>
          <w:tcPr>
            <w:tcW w:w="1874" w:type="pct"/>
            <w:shd w:val="clear" w:color="auto" w:fill="B8CCE4"/>
            <w:vAlign w:val="center"/>
          </w:tcPr>
          <w:p w14:paraId="15F8CBB2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uz-Cyrl-UZ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uz-Cyrl-UZ"/>
              </w:rPr>
              <w:t>4,7</w:t>
            </w:r>
          </w:p>
        </w:tc>
      </w:tr>
      <w:tr w:rsidR="00052A1C" w:rsidRPr="00851819" w14:paraId="786F1FE4" w14:textId="77777777" w:rsidTr="00052A1C">
        <w:trPr>
          <w:trHeight w:val="397"/>
        </w:trPr>
        <w:tc>
          <w:tcPr>
            <w:tcW w:w="2031" w:type="pct"/>
            <w:vAlign w:val="center"/>
          </w:tcPr>
          <w:p w14:paraId="373D7291" w14:textId="77777777" w:rsidR="009A4B16" w:rsidRPr="00851819" w:rsidRDefault="006A616C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C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entralna Srbija bez Beograda</w:t>
            </w:r>
          </w:p>
        </w:tc>
        <w:tc>
          <w:tcPr>
            <w:tcW w:w="1095" w:type="pct"/>
            <w:vAlign w:val="center"/>
          </w:tcPr>
          <w:p w14:paraId="4B60E903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402</w:t>
            </w:r>
          </w:p>
        </w:tc>
        <w:tc>
          <w:tcPr>
            <w:tcW w:w="1874" w:type="pct"/>
            <w:vAlign w:val="center"/>
          </w:tcPr>
          <w:p w14:paraId="5FD7E4BD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uz-Cyrl-UZ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11</w:t>
            </w:r>
            <w:r w:rsidRPr="00851819">
              <w:rPr>
                <w:rFonts w:ascii="Arial" w:hAnsi="Arial" w:cs="Arial"/>
                <w:sz w:val="21"/>
                <w:szCs w:val="21"/>
                <w:lang w:val="sr-Cyrl-CS"/>
              </w:rPr>
              <w:t>,</w:t>
            </w:r>
            <w:r w:rsidRPr="00851819">
              <w:rPr>
                <w:rFonts w:ascii="Arial" w:hAnsi="Arial" w:cs="Arial"/>
                <w:sz w:val="21"/>
                <w:szCs w:val="21"/>
                <w:lang w:val="uz-Cyrl-UZ"/>
              </w:rPr>
              <w:t>4</w:t>
            </w:r>
          </w:p>
        </w:tc>
      </w:tr>
      <w:tr w:rsidR="00052A1C" w:rsidRPr="00851819" w14:paraId="33AE20B3" w14:textId="77777777" w:rsidTr="00052A1C">
        <w:trPr>
          <w:trHeight w:val="397"/>
        </w:trPr>
        <w:tc>
          <w:tcPr>
            <w:tcW w:w="2031" w:type="pct"/>
            <w:shd w:val="clear" w:color="auto" w:fill="B8CCE4"/>
            <w:vAlign w:val="center"/>
          </w:tcPr>
          <w:p w14:paraId="5A2769FC" w14:textId="77777777" w:rsidR="009A4B16" w:rsidRPr="00851819" w:rsidRDefault="00D55A0D" w:rsidP="006A616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Šumadija, zapadna Srbija</w:t>
            </w:r>
          </w:p>
        </w:tc>
        <w:tc>
          <w:tcPr>
            <w:tcW w:w="1095" w:type="pct"/>
            <w:shd w:val="clear" w:color="auto" w:fill="B8CCE4"/>
            <w:vAlign w:val="center"/>
          </w:tcPr>
          <w:p w14:paraId="3519C1A3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154</w:t>
            </w:r>
          </w:p>
        </w:tc>
        <w:tc>
          <w:tcPr>
            <w:tcW w:w="1874" w:type="pct"/>
            <w:shd w:val="clear" w:color="auto" w:fill="B8CCE4"/>
            <w:vAlign w:val="center"/>
          </w:tcPr>
          <w:p w14:paraId="382662EE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7,6</w:t>
            </w:r>
          </w:p>
        </w:tc>
      </w:tr>
      <w:tr w:rsidR="00052A1C" w:rsidRPr="00851819" w14:paraId="5BE6F25E" w14:textId="77777777" w:rsidTr="00052A1C">
        <w:trPr>
          <w:trHeight w:val="397"/>
        </w:trPr>
        <w:tc>
          <w:tcPr>
            <w:tcW w:w="2031" w:type="pct"/>
            <w:vAlign w:val="center"/>
          </w:tcPr>
          <w:p w14:paraId="3A293D82" w14:textId="77777777" w:rsidR="009A4B16" w:rsidRPr="00851819" w:rsidRDefault="006A616C" w:rsidP="006A616C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J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ugoistočna Srbija,</w:t>
            </w:r>
            <w:r w:rsidR="00720B45" w:rsidRPr="00851819">
              <w:rPr>
                <w:rFonts w:ascii="Arial" w:hAnsi="Arial" w:cs="Arial"/>
                <w:sz w:val="21"/>
                <w:szCs w:val="21"/>
                <w:lang w:val="sr-Latn-CS"/>
              </w:rPr>
              <w:t xml:space="preserve"> 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istočna Srbija</w:t>
            </w:r>
          </w:p>
        </w:tc>
        <w:tc>
          <w:tcPr>
            <w:tcW w:w="1095" w:type="pct"/>
            <w:vAlign w:val="center"/>
          </w:tcPr>
          <w:p w14:paraId="5B296CD5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248</w:t>
            </w:r>
          </w:p>
        </w:tc>
        <w:tc>
          <w:tcPr>
            <w:tcW w:w="1874" w:type="pct"/>
            <w:vAlign w:val="center"/>
          </w:tcPr>
          <w:p w14:paraId="5F410197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Cyrl-CS"/>
              </w:rPr>
              <w:t>1</w:t>
            </w:r>
            <w:r w:rsidRPr="00851819">
              <w:rPr>
                <w:rFonts w:ascii="Arial" w:hAnsi="Arial" w:cs="Arial"/>
                <w:sz w:val="21"/>
                <w:szCs w:val="21"/>
                <w:lang w:val="uz-Cyrl-UZ"/>
              </w:rPr>
              <w:t>6</w:t>
            </w:r>
            <w:r w:rsidRPr="00851819">
              <w:rPr>
                <w:rFonts w:ascii="Arial" w:hAnsi="Arial" w:cs="Arial"/>
                <w:sz w:val="21"/>
                <w:szCs w:val="21"/>
              </w:rPr>
              <w:t>,4</w:t>
            </w:r>
          </w:p>
        </w:tc>
      </w:tr>
    </w:tbl>
    <w:p w14:paraId="45ECEB4C" w14:textId="77777777" w:rsidR="009A4B16" w:rsidRPr="00052A1C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052A1C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2D0B92B6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30080A43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Centralna Srbija (bez Beograda) je 2014. godine imala najveću stopu siromaštva među velikim regionima Srbije (centralna Srbija, Vojvodina, Beograd) </w:t>
      </w:r>
      <w:r w:rsidR="006A616C">
        <w:rPr>
          <w:rFonts w:ascii="Arial" w:hAnsi="Arial" w:cs="Arial"/>
          <w:sz w:val="21"/>
          <w:szCs w:val="21"/>
          <w:lang w:val="sr-Latn-CS"/>
        </w:rPr>
        <w:t>‒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11,4%, sa ukupno 408 hiljada siromašnih. U znatno boljoj poziciji su Vojvodina i Beograd, sa stopom od 7,8% i 4,7% respektivno i sa 149 i 77 hiljada siromašnih. Ukoliko se centralna Srbija podeli na dva regiona</w:t>
      </w:r>
      <w:r w:rsidR="007D73E5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dobija se relativno niska stopa siromaštva</w:t>
      </w:r>
      <w:r w:rsidR="007D73E5">
        <w:rPr>
          <w:rFonts w:ascii="Arial" w:hAnsi="Arial" w:cs="Arial"/>
          <w:sz w:val="21"/>
          <w:szCs w:val="21"/>
          <w:lang w:val="sr-Latn-CS"/>
        </w:rPr>
        <w:t>,</w:t>
      </w:r>
      <w:r w:rsidR="007D73E5" w:rsidRPr="007D73E5">
        <w:rPr>
          <w:rFonts w:ascii="Arial" w:hAnsi="Arial" w:cs="Arial"/>
          <w:sz w:val="21"/>
          <w:szCs w:val="21"/>
          <w:lang w:val="sr-Latn-CS"/>
        </w:rPr>
        <w:t xml:space="preserve"> </w:t>
      </w:r>
      <w:r w:rsidR="007D73E5" w:rsidRPr="00851819">
        <w:rPr>
          <w:rFonts w:ascii="Arial" w:hAnsi="Arial" w:cs="Arial"/>
          <w:sz w:val="21"/>
          <w:szCs w:val="21"/>
          <w:lang w:val="sr-Latn-CS"/>
        </w:rPr>
        <w:t>od 7,6%</w:t>
      </w:r>
      <w:r w:rsidR="007D73E5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za region Šumadija-zapadna Srbija, dok region istočna-jugoistočna Srbija ima stopu siromaštva od veoma visokih 16,4%. Relativno povoljan položaj regiona Šumadija-zapadna Srbija posledica je veće ujednačenosti potrošnje u odnosu na druge regione, jer je ovde Đini koeficijent (videti kasnije) 0,24, dok je u ostalim regionima 0,26. Razlog ovako visokog siromaštva regiona istočne-jugoistočne Srbije nalazi se u najnižem nivou razvoja: BDP po stanovniku </w:t>
      </w:r>
      <w:r w:rsidR="006F7190">
        <w:rPr>
          <w:rFonts w:ascii="Arial" w:hAnsi="Arial" w:cs="Arial"/>
          <w:sz w:val="21"/>
          <w:szCs w:val="21"/>
          <w:lang w:val="sr-Latn-CS"/>
        </w:rPr>
        <w:t>je</w:t>
      </w:r>
      <w:r w:rsidR="006F7190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sz w:val="21"/>
          <w:szCs w:val="21"/>
          <w:lang w:val="sr-Latn-CS"/>
        </w:rPr>
        <w:t>ispod 2/3 republičkog proseka</w:t>
      </w:r>
      <w:r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13"/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i najniži je među svim regionima. </w:t>
      </w:r>
    </w:p>
    <w:p w14:paraId="3F7E8462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73A9677C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 2014. </w:t>
      </w:r>
      <w:r w:rsidR="006F7190">
        <w:rPr>
          <w:rFonts w:ascii="Arial" w:hAnsi="Arial" w:cs="Arial"/>
          <w:bCs/>
          <w:sz w:val="21"/>
          <w:szCs w:val="21"/>
          <w:lang w:val="sr-Latn-CS"/>
        </w:rPr>
        <w:t xml:space="preserve">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došlo do izvesnih promena u odnosu na prethodnu 2013. godinu: smanjen je nivo siromaštva u Beogradu (sa 5,6 na 4,7%) i </w:t>
      </w:r>
      <w:r w:rsidR="00017C08">
        <w:rPr>
          <w:rFonts w:ascii="Arial" w:hAnsi="Arial" w:cs="Arial"/>
          <w:bCs/>
          <w:sz w:val="21"/>
          <w:szCs w:val="21"/>
          <w:lang w:val="sr-Latn-CS"/>
        </w:rPr>
        <w:t xml:space="preserve">u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regionu istočne i jugoistočne Srbije (sa 18 na 16,4%), dok je došlo do povećanja siromaštva u Vojvodini (sa 5,6 na 7,8%). Navedena dinamika regionalnih razlika pokazuje da su u zemlji sa jedinstvenom socijalnom politikom moguće divergentne tendencije u dinamici siromaštva, prvenstveno zbog razlika u njihovim socioekonomskim sistemima i delovanju različitih faktora siromaštva i nejednakosti. Za sada </w:t>
      </w:r>
      <w:r w:rsidR="00017C08">
        <w:rPr>
          <w:rFonts w:ascii="Arial" w:hAnsi="Arial" w:cs="Arial"/>
          <w:bCs/>
          <w:sz w:val="21"/>
          <w:szCs w:val="21"/>
          <w:lang w:val="sr-Latn-CS"/>
        </w:rPr>
        <w:t xml:space="preserve">se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ne raspolaže podacima o regionalnim bruto društvenim proizvodima za 2014. godinu, tako da</w:t>
      </w:r>
      <w:r w:rsidR="00017C08">
        <w:rPr>
          <w:rFonts w:ascii="Arial" w:hAnsi="Arial" w:cs="Arial"/>
          <w:bCs/>
          <w:sz w:val="21"/>
          <w:szCs w:val="21"/>
          <w:lang w:val="sr-Latn-CS"/>
        </w:rPr>
        <w:t xml:space="preserve"> je nemoguće oceniti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uticaj ovog inače bitnog faktora.</w:t>
      </w:r>
    </w:p>
    <w:p w14:paraId="44F3EF9D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5D3C45B5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6C4B0B44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15FC19BB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0373CF50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0CE4E245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43C91901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14D10E16" w14:textId="77777777" w:rsidR="009A4B16" w:rsidRDefault="00D55A0D" w:rsidP="00B03F77">
      <w:pPr>
        <w:pStyle w:val="Heading2"/>
        <w:rPr>
          <w:lang w:val="sr-Latn-CS"/>
        </w:rPr>
      </w:pPr>
      <w:bookmarkStart w:id="9" w:name="_Profil_siromašnih"/>
      <w:bookmarkEnd w:id="9"/>
      <w:r w:rsidRPr="00052A1C">
        <w:rPr>
          <w:lang w:val="sr-Latn-CS"/>
        </w:rPr>
        <w:lastRenderedPageBreak/>
        <w:t>Profil siromašnih</w:t>
      </w:r>
    </w:p>
    <w:p w14:paraId="331629D9" w14:textId="77777777" w:rsidR="00B03F77" w:rsidRPr="002828A1" w:rsidRDefault="00B03F77" w:rsidP="00B03F77">
      <w:pPr>
        <w:rPr>
          <w:lang w:val="sr-Latn-CS"/>
        </w:rPr>
      </w:pPr>
    </w:p>
    <w:p w14:paraId="74504B16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Posle prikaza nivoa ukupnog siromaštva u Srbiji u prethodnom odeljku, u ovom 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 xml:space="preserve">će biti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izneti poda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ci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 profilu siromašnih, odnosno ponu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đen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odgovor na pitanje ko su siromašni u Srbiji prema više demografsko-socijalno-ekonomskih karakteristika. 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Za u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stanovljavanje profila siromašnih neophodna je pretpostavka aktivne brige o siromašnima, jer je jedino na toj osnovi moguće dobro odabrati i podesiti odgovarajuće instrumente socijalne politike.</w:t>
      </w:r>
    </w:p>
    <w:p w14:paraId="475D825A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695E9E2B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Prvi indikator 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 xml:space="preserve">koji će biti prikazan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je siromaštvo prema brojnosti članova domaćinstva. </w:t>
      </w:r>
    </w:p>
    <w:p w14:paraId="6DE6D1E7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4B0F758A" w14:textId="77777777" w:rsidR="009A4B16" w:rsidRPr="00851819" w:rsidRDefault="00D30408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Tabela 5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2B1D1B42" w14:textId="77777777" w:rsidR="009A4B16" w:rsidRDefault="00D55A0D" w:rsidP="00052A1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Siromaštvo prema tipu domaćinstva, 2014, u %</w:t>
      </w:r>
    </w:p>
    <w:p w14:paraId="16AB6A94" w14:textId="77777777" w:rsidR="00052A1C" w:rsidRPr="00052A1C" w:rsidRDefault="00052A1C" w:rsidP="00052A1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6"/>
          <w:szCs w:val="6"/>
          <w:lang w:val="sr-Latn-CS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1847"/>
        <w:gridCol w:w="1845"/>
        <w:gridCol w:w="1989"/>
        <w:gridCol w:w="3408"/>
      </w:tblGrid>
      <w:tr w:rsidR="00052A1C" w:rsidRPr="00851819" w14:paraId="5E175E3F" w14:textId="77777777" w:rsidTr="00052A1C">
        <w:trPr>
          <w:trHeight w:val="397"/>
        </w:trPr>
        <w:tc>
          <w:tcPr>
            <w:tcW w:w="10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9245AB3" w14:textId="77777777" w:rsidR="009A4B16" w:rsidRPr="00851819" w:rsidRDefault="009A4B16" w:rsidP="00F1683F">
            <w:pPr>
              <w:spacing w:line="276" w:lineRule="auto"/>
              <w:rPr>
                <w:rFonts w:ascii="Arial" w:eastAsia="Times New Roman" w:hAnsi="Arial" w:cs="Arial"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2B861F1" w14:textId="77777777" w:rsidR="009A4B16" w:rsidRPr="00052A1C" w:rsidRDefault="00052A1C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 xml:space="preserve">Stopa 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siromaštva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921705" w14:textId="77777777" w:rsidR="009A4B16" w:rsidRPr="00052A1C" w:rsidRDefault="00052A1C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 xml:space="preserve">Struktura 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siromašnih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6D89E4B1" w14:textId="77777777" w:rsidR="009A4B16" w:rsidRPr="00052A1C" w:rsidRDefault="005C2ECD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ukupnog stanovništva</w:t>
            </w:r>
          </w:p>
        </w:tc>
      </w:tr>
      <w:tr w:rsidR="00052A1C" w:rsidRPr="00851819" w14:paraId="0EB96320" w14:textId="77777777" w:rsidTr="00052A1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1879225" w14:textId="77777777" w:rsidR="009A4B16" w:rsidRPr="00851819" w:rsidRDefault="005C2EC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J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ednočlana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8FE6791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4,4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2D7DC27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E2579AB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8,0</w:t>
            </w:r>
          </w:p>
        </w:tc>
      </w:tr>
      <w:tr w:rsidR="00052A1C" w:rsidRPr="00851819" w14:paraId="4CE17592" w14:textId="77777777" w:rsidTr="00052A1C">
        <w:trPr>
          <w:trHeight w:val="397"/>
        </w:trPr>
        <w:tc>
          <w:tcPr>
            <w:tcW w:w="10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7978" w14:textId="77777777" w:rsidR="009A4B16" w:rsidRPr="00851819" w:rsidRDefault="005C2EC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D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vočlana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F4C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6,4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671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13,4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D31B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18,7</w:t>
            </w:r>
          </w:p>
        </w:tc>
      </w:tr>
      <w:tr w:rsidR="00052A1C" w:rsidRPr="00851819" w14:paraId="53687AAB" w14:textId="77777777" w:rsidTr="00052A1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006835D0" w14:textId="77777777" w:rsidR="009A4B16" w:rsidRPr="00851819" w:rsidRDefault="005C2EC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T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ročlana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8E522E3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782C64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12,9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224BDCF5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18,7</w:t>
            </w:r>
          </w:p>
        </w:tc>
      </w:tr>
      <w:tr w:rsidR="00052A1C" w:rsidRPr="00851819" w14:paraId="500094B0" w14:textId="77777777" w:rsidTr="00052A1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DFE4" w14:textId="77777777" w:rsidR="009A4B16" w:rsidRPr="00851819" w:rsidRDefault="005C2EC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Č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etvoročlana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BA3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8,0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5F0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21,9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BD57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24,3</w:t>
            </w:r>
          </w:p>
        </w:tc>
      </w:tr>
      <w:tr w:rsidR="00052A1C" w:rsidRPr="00851819" w14:paraId="587431FE" w14:textId="77777777" w:rsidTr="00052A1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154F4DC" w14:textId="77777777" w:rsidR="009A4B16" w:rsidRPr="00851819" w:rsidRDefault="005C2EC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P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etočlana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3427C5A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10,2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8A98021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15,5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79A56081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13,5</w:t>
            </w:r>
          </w:p>
        </w:tc>
      </w:tr>
      <w:tr w:rsidR="00052A1C" w:rsidRPr="00851819" w14:paraId="4BE55D19" w14:textId="77777777" w:rsidTr="00052A1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C44C" w14:textId="77777777" w:rsidR="009A4B16" w:rsidRPr="00851819" w:rsidRDefault="005C2EC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Š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estočlana i više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E72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17,1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88D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32,4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5A98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16,9</w:t>
            </w:r>
          </w:p>
        </w:tc>
      </w:tr>
      <w:tr w:rsidR="00052A1C" w:rsidRPr="00851819" w14:paraId="3261E35B" w14:textId="77777777" w:rsidTr="00052A1C">
        <w:trPr>
          <w:trHeight w:val="3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393166CB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7414400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8,9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DA8E10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2488E264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</w:tr>
    </w:tbl>
    <w:p w14:paraId="705BE968" w14:textId="77777777" w:rsidR="009A4B16" w:rsidRPr="00052A1C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052A1C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11162256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192FF1EB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Kao i prethodnih godina, i u 2014. godini ugroženost siromaštvom raste sa povećanjem broja članova domaćinstva, pa je siromaštvo naročito izraženo u višečlanim domaćinstvima: dok je stopa siromaštva za jednočlana domaćinstva samo 4,4</w:t>
      </w:r>
      <w:r w:rsidR="00F73D99">
        <w:rPr>
          <w:rFonts w:ascii="Arial" w:hAnsi="Arial" w:cs="Arial"/>
          <w:sz w:val="21"/>
          <w:szCs w:val="21"/>
          <w:lang w:val="sr-Latn-CS"/>
        </w:rPr>
        <w:t>%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, ona postepeno raste i dostiže 17,1% kod šestočlanih i brojnijih domaćinstava. Svakako </w:t>
      </w:r>
      <w:r w:rsidR="005C2ECD">
        <w:rPr>
          <w:rFonts w:ascii="Arial" w:hAnsi="Arial" w:cs="Arial"/>
          <w:sz w:val="21"/>
          <w:szCs w:val="21"/>
          <w:lang w:val="sr-Latn-CS"/>
        </w:rPr>
        <w:t xml:space="preserve">je </w:t>
      </w:r>
      <w:r w:rsidRPr="00851819">
        <w:rPr>
          <w:rFonts w:ascii="Arial" w:hAnsi="Arial" w:cs="Arial"/>
          <w:sz w:val="21"/>
          <w:szCs w:val="21"/>
          <w:lang w:val="sr-Latn-CS"/>
        </w:rPr>
        <w:t>pomenuta razlika u siromaštvu posledica različitog odnosa broja članova koji imaju sopstvene prihode i broja nezaposlenih/neaktivnih članova bez prihoda, koji je nepovoljniji u višečlanim domaćinstvima zbog većeg broja dece ili neaktivnih starih lica bez prihoda. Zbog više stope siromaštva je i učešće članova višečlanih domaćinstava u ukupnom broju siromašnih visok</w:t>
      </w:r>
      <w:r w:rsidR="00F73D99">
        <w:rPr>
          <w:rFonts w:ascii="Arial" w:hAnsi="Arial" w:cs="Arial"/>
          <w:sz w:val="21"/>
          <w:szCs w:val="21"/>
          <w:lang w:val="sr-Latn-CS"/>
        </w:rPr>
        <w:t>o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: dok petočlana i brojnija domaćinstva obuhvataju samo 30,4% svih stanovnika Srbije, njihovo </w:t>
      </w:r>
      <w:r w:rsidR="005C2ECD">
        <w:rPr>
          <w:rFonts w:ascii="Arial" w:hAnsi="Arial" w:cs="Arial"/>
          <w:sz w:val="21"/>
          <w:szCs w:val="21"/>
          <w:lang w:val="sr-Latn-CS"/>
        </w:rPr>
        <w:t xml:space="preserve">je </w:t>
      </w:r>
      <w:r w:rsidRPr="00851819">
        <w:rPr>
          <w:rFonts w:ascii="Arial" w:hAnsi="Arial" w:cs="Arial"/>
          <w:sz w:val="21"/>
          <w:szCs w:val="21"/>
          <w:lang w:val="sr-Latn-CS"/>
        </w:rPr>
        <w:t>učešće u ukupnom broju siromašnih čak 47,9%.</w:t>
      </w:r>
    </w:p>
    <w:p w14:paraId="5F609272" w14:textId="77777777" w:rsidR="009A4B16" w:rsidRPr="00851819" w:rsidRDefault="009A4B16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16DF0399" w14:textId="77777777" w:rsidR="009A4B16" w:rsidRPr="00851819" w:rsidRDefault="00D55A0D" w:rsidP="00F1683F">
      <w:pPr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Međutim, siromaštvo višečlanih domaćinstava </w:t>
      </w:r>
      <w:r w:rsidR="00E90DB9" w:rsidRPr="00851819">
        <w:rPr>
          <w:rFonts w:ascii="Arial" w:hAnsi="Arial" w:cs="Arial"/>
          <w:sz w:val="21"/>
          <w:szCs w:val="21"/>
          <w:lang w:val="sr-Latn-CS"/>
        </w:rPr>
        <w:t xml:space="preserve">znatno je više od proseka za Srbiju, što je svakako očekivano, ali razlika nije posebno dramatična, na šta ukazuje njihova relativno umerena stopa siromaštva od 17,1%.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Razlog ovome jeste činjenica da u Srbiji višečlane porodice </w:t>
      </w:r>
      <w:r w:rsidR="00E90DB9" w:rsidRPr="00851819">
        <w:rPr>
          <w:rFonts w:ascii="Arial" w:hAnsi="Arial" w:cs="Arial"/>
          <w:sz w:val="21"/>
          <w:szCs w:val="21"/>
          <w:lang w:val="sr-Latn-CS"/>
        </w:rPr>
        <w:t xml:space="preserve">najčešće nisu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sačinjene od velikog broja dece, već </w:t>
      </w:r>
      <w:r w:rsidR="00E90DB9" w:rsidRPr="00851819">
        <w:rPr>
          <w:rFonts w:ascii="Arial" w:hAnsi="Arial" w:cs="Arial"/>
          <w:sz w:val="21"/>
          <w:szCs w:val="21"/>
          <w:lang w:val="sr-Latn-CS"/>
        </w:rPr>
        <w:t xml:space="preserve">se u znatnom broju </w:t>
      </w:r>
      <w:r w:rsidRPr="00851819">
        <w:rPr>
          <w:rFonts w:ascii="Arial" w:hAnsi="Arial" w:cs="Arial"/>
          <w:sz w:val="21"/>
          <w:szCs w:val="21"/>
          <w:lang w:val="sr-Latn-CS"/>
        </w:rPr>
        <w:t>radi o višegeneracijskim domaćinstvima kod kojih više članova ima sopstvene prihode (od rada, nekretnina, penzija</w:t>
      </w:r>
      <w:r w:rsidR="005C2ECD">
        <w:rPr>
          <w:rFonts w:ascii="Arial" w:hAnsi="Arial" w:cs="Arial"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itd</w:t>
      </w:r>
      <w:r w:rsidR="00F73D99">
        <w:rPr>
          <w:rFonts w:ascii="Arial" w:hAnsi="Arial" w:cs="Arial"/>
          <w:sz w:val="21"/>
          <w:szCs w:val="21"/>
          <w:lang w:val="sr-Latn-CS"/>
        </w:rPr>
        <w:t>.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). </w:t>
      </w:r>
    </w:p>
    <w:p w14:paraId="0499B271" w14:textId="77777777" w:rsidR="00EA16D6" w:rsidRPr="00851819" w:rsidRDefault="00EA16D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175F52D3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 </w:t>
      </w:r>
      <w:r w:rsidR="00F73D99">
        <w:rPr>
          <w:rFonts w:ascii="Arial" w:hAnsi="Arial" w:cs="Arial"/>
          <w:bCs/>
          <w:sz w:val="21"/>
          <w:szCs w:val="21"/>
          <w:lang w:val="sr-Latn-CS"/>
        </w:rPr>
        <w:t>Tabeli 6.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prikazan je stepen siromaštva po različitim starosnim grupama stanovništva. </w:t>
      </w:r>
    </w:p>
    <w:p w14:paraId="3EF91DDA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75FB0CAF" w14:textId="77777777" w:rsidR="00052A1C" w:rsidRDefault="00052A1C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3B228345" w14:textId="77777777" w:rsidR="00052A1C" w:rsidRDefault="00052A1C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3612C4E9" w14:textId="77777777" w:rsidR="00052A1C" w:rsidRDefault="00052A1C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0918E621" w14:textId="77777777" w:rsidR="009A4B16" w:rsidRPr="00851819" w:rsidRDefault="00D30408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lastRenderedPageBreak/>
        <w:t>Tabela 6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1B413E68" w14:textId="77777777" w:rsidR="009A4B16" w:rsidRDefault="00D55A0D" w:rsidP="00052A1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Siromaštvo prema starosti, 2014, u %</w:t>
      </w:r>
    </w:p>
    <w:p w14:paraId="3103DB06" w14:textId="77777777" w:rsidR="00052A1C" w:rsidRPr="00052A1C" w:rsidRDefault="00052A1C" w:rsidP="00052A1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6"/>
          <w:szCs w:val="6"/>
          <w:lang w:val="sr-Latn-CS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1422"/>
        <w:gridCol w:w="2270"/>
        <w:gridCol w:w="2414"/>
        <w:gridCol w:w="2983"/>
      </w:tblGrid>
      <w:tr w:rsidR="00052A1C" w:rsidRPr="00851819" w14:paraId="6E372932" w14:textId="77777777" w:rsidTr="00052A1C">
        <w:trPr>
          <w:trHeight w:val="397"/>
        </w:trPr>
        <w:tc>
          <w:tcPr>
            <w:tcW w:w="7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7BF63457" w14:textId="77777777" w:rsidR="009A4B16" w:rsidRPr="00052A1C" w:rsidRDefault="00D55A0D" w:rsidP="00F1683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Godine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2F42F288" w14:textId="77777777" w:rsidR="009A4B16" w:rsidRPr="00052A1C" w:rsidRDefault="005C2ECD" w:rsidP="00F1683F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topa siromaštva 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365F07E0" w14:textId="77777777" w:rsidR="009A4B16" w:rsidRPr="00052A1C" w:rsidRDefault="005C2ECD" w:rsidP="00F33CC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siromašnih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76BDE640" w14:textId="77777777" w:rsidR="009A4B16" w:rsidRPr="00052A1C" w:rsidRDefault="005C2ECD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ukupnog stanovništva</w:t>
            </w:r>
          </w:p>
        </w:tc>
      </w:tr>
      <w:tr w:rsidR="00052A1C" w:rsidRPr="00851819" w14:paraId="7CA90A5C" w14:textId="77777777" w:rsidTr="00052A1C">
        <w:trPr>
          <w:trHeight w:val="39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55345E6C" w14:textId="77777777" w:rsidR="009A4B16" w:rsidRPr="00851819" w:rsidRDefault="005C2ECD" w:rsidP="005C2ECD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D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o 13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517276E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12,2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4508AC3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17,4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50E858F2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12,7</w:t>
            </w:r>
          </w:p>
        </w:tc>
      </w:tr>
      <w:tr w:rsidR="00052A1C" w:rsidRPr="00851819" w14:paraId="34342533" w14:textId="77777777" w:rsidTr="00052A1C">
        <w:trPr>
          <w:trHeight w:val="397"/>
        </w:trPr>
        <w:tc>
          <w:tcPr>
            <w:tcW w:w="7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7270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14-18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3F2E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15D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6,3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8BD5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4,9</w:t>
            </w:r>
          </w:p>
        </w:tc>
      </w:tr>
      <w:tr w:rsidR="00052A1C" w:rsidRPr="00851819" w14:paraId="14880996" w14:textId="77777777" w:rsidTr="00052A1C">
        <w:trPr>
          <w:trHeight w:val="39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F83DF8E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19-24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124361C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10,7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53C9CC0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8,1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71563DA6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6,7</w:t>
            </w:r>
          </w:p>
        </w:tc>
      </w:tr>
      <w:tr w:rsidR="00052A1C" w:rsidRPr="00851819" w14:paraId="070D5D36" w14:textId="77777777" w:rsidTr="00052A1C">
        <w:trPr>
          <w:trHeight w:val="39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71C5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25-45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7D5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8,6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B57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25,5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3746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26,4</w:t>
            </w:r>
          </w:p>
        </w:tc>
      </w:tr>
      <w:tr w:rsidR="00052A1C" w:rsidRPr="00851819" w14:paraId="6753F339" w14:textId="77777777" w:rsidTr="00052A1C">
        <w:trPr>
          <w:trHeight w:val="39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26BD9FDC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46-65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3AA7A16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7,9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1A7C8D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25,2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69290FE7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28,2</w:t>
            </w:r>
          </w:p>
        </w:tc>
      </w:tr>
      <w:tr w:rsidR="00052A1C" w:rsidRPr="00851819" w14:paraId="6D724B08" w14:textId="77777777" w:rsidTr="00052A1C">
        <w:trPr>
          <w:trHeight w:val="397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B78A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65+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6D8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7,4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C84D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17,5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15C8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21,1</w:t>
            </w:r>
          </w:p>
        </w:tc>
      </w:tr>
      <w:tr w:rsidR="00052A1C" w:rsidRPr="00851819" w14:paraId="4B57A482" w14:textId="77777777" w:rsidTr="00052A1C">
        <w:trPr>
          <w:trHeight w:val="305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54B566A5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2FA1C8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8,9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5E4755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100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7FE33AE7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100</w:t>
            </w:r>
          </w:p>
        </w:tc>
      </w:tr>
    </w:tbl>
    <w:p w14:paraId="7C4EDAFA" w14:textId="77777777" w:rsidR="009A4B16" w:rsidRPr="00052A1C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052A1C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78339B28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6ED454ED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Iz ovih podataka može se uočiti da se stanovništvo Srbije po starosti može podeliti na dve velike grupe: na mlađe, koj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obuhvata sve stanovnike stare od 0 do 24 godine, sa sličnom stopom siromaštva od 11-12%, i na starije, koj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obuhvata pojedince stare 25 i više godina, sa stopom siromaštva koja se kreće oko 8%. </w:t>
      </w:r>
    </w:p>
    <w:p w14:paraId="62CAEAA0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1D97F6EF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Uzrok ovih međugeneracijskih razlika je nejednaka zastupljenost pojedinaca sa i bez sopstvenih prihoda: mlađe katogorije stanovni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š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tva, a to su deca i mladi na školovanju, obično nemaju sopstvene prihode, pa je u njihovim porodicama siromaštvo izraženije nego u onim u kojima preovlađuju članovi sa sopstvenim prihodima (od rada, penzija, kapitala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itd</w:t>
      </w:r>
      <w:r w:rsidR="008276FD">
        <w:rPr>
          <w:rFonts w:ascii="Arial" w:hAnsi="Arial" w:cs="Arial"/>
          <w:bCs/>
          <w:sz w:val="21"/>
          <w:szCs w:val="21"/>
          <w:lang w:val="sr-Latn-CS"/>
        </w:rPr>
        <w:t>.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). Ipak, razlika u siromaštvu između ovih dveju</w:t>
      </w:r>
      <w:r w:rsidR="00B161F4" w:rsidRPr="00851819">
        <w:rPr>
          <w:rFonts w:ascii="Arial" w:hAnsi="Arial" w:cs="Arial"/>
          <w:bCs/>
          <w:sz w:val="21"/>
          <w:szCs w:val="21"/>
          <w:lang w:val="sr-Latn-CS"/>
        </w:rPr>
        <w:t xml:space="preserve"> starosnih kategorija nije naroč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ito velika, </w:t>
      </w:r>
      <w:r w:rsidR="005C2ECD">
        <w:rPr>
          <w:rFonts w:ascii="Arial" w:hAnsi="Arial" w:cs="Arial"/>
          <w:bCs/>
          <w:sz w:val="21"/>
          <w:szCs w:val="21"/>
          <w:lang w:val="sr-Latn-CS"/>
        </w:rPr>
        <w:t>i to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zbog zajedničkog života pripadnika različitih generacija koj</w:t>
      </w:r>
      <w:r w:rsidR="002115E8">
        <w:rPr>
          <w:rFonts w:ascii="Arial" w:hAnsi="Arial" w:cs="Arial"/>
          <w:bCs/>
          <w:sz w:val="21"/>
          <w:szCs w:val="21"/>
          <w:lang w:val="sr-Latn-CS"/>
        </w:rPr>
        <w:t>i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koriste prihod svih članova domaćinstva i tako ujednačavaju potrošnju svih članova. </w:t>
      </w:r>
      <w:r w:rsidR="00B161F4" w:rsidRPr="00851819">
        <w:rPr>
          <w:rFonts w:ascii="Arial" w:hAnsi="Arial" w:cs="Arial"/>
          <w:bCs/>
          <w:sz w:val="21"/>
          <w:szCs w:val="21"/>
          <w:lang w:val="sr-Latn-CS"/>
        </w:rPr>
        <w:t>Pored toga, prihodi aktivnih odraslih članova veći su u domaćinstvima sa decom nego u domaćinstvima bez dece.</w:t>
      </w:r>
      <w:r w:rsidR="00B161F4"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14"/>
      </w:r>
      <w:r w:rsidR="00B161F4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</w:p>
    <w:p w14:paraId="69E8FD7F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2A51E6B3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 ukupnom broju svih siromašnih mlađa generacija (do 24 godine) učestvuje sa 31,8%, a starija sa 68,2%. Ovako nisko učešće mlađe generacije, kod koje je stopa siromaštva viša, rezultat je nepovoljnih demografskih procesa u Srbiji koji su doveli do starenja stanovništva i smanjenja udela mladih. </w:t>
      </w:r>
    </w:p>
    <w:p w14:paraId="230C3AA5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273288B6" w14:textId="77777777" w:rsidR="009A4B16" w:rsidRPr="00851819" w:rsidRDefault="002115E8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>
        <w:rPr>
          <w:rFonts w:ascii="Arial" w:hAnsi="Arial" w:cs="Arial"/>
          <w:bCs/>
          <w:sz w:val="21"/>
          <w:szCs w:val="21"/>
          <w:lang w:val="sr-Latn-CS"/>
        </w:rPr>
        <w:t>Može se primetiti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i da najnižu stopu siromaštva ima najstarija generacija – sa 65 i više godina. Iako uglavnom radno neaktivni, pripadnici najstarije populacije dobro su zaštićeni od siromaštva penzijskim sistemom, pa je njihov nivo siromaštva čak niži nego </w:t>
      </w:r>
      <w:r>
        <w:rPr>
          <w:rFonts w:ascii="Arial" w:hAnsi="Arial" w:cs="Arial"/>
          <w:bCs/>
          <w:sz w:val="21"/>
          <w:szCs w:val="21"/>
          <w:lang w:val="sr-Latn-CS"/>
        </w:rPr>
        <w:t xml:space="preserve">nivo </w:t>
      </w:r>
      <w:r w:rsidR="008276FD">
        <w:rPr>
          <w:rFonts w:ascii="Arial" w:hAnsi="Arial" w:cs="Arial"/>
          <w:bCs/>
          <w:sz w:val="21"/>
          <w:szCs w:val="21"/>
          <w:lang w:val="sr-Latn-CS"/>
        </w:rPr>
        <w:t xml:space="preserve">siromaštva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pripadnika radno aktivnih generacija.</w:t>
      </w:r>
    </w:p>
    <w:p w14:paraId="58B36D81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767CE153" w14:textId="77777777" w:rsidR="009A4B16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Pomenuti odnos stopa siromaštva mlađih i stariji</w:t>
      </w:r>
      <w:r w:rsidR="002115E8">
        <w:rPr>
          <w:rFonts w:ascii="Arial" w:hAnsi="Arial" w:cs="Arial"/>
          <w:bCs/>
          <w:sz w:val="21"/>
          <w:szCs w:val="21"/>
          <w:lang w:val="sr-Latn-CS"/>
        </w:rPr>
        <w:t>h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preslikan je i na odnos siromaštva dece i odraslih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 xml:space="preserve"> (Tabela 7)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:</w:t>
      </w:r>
    </w:p>
    <w:p w14:paraId="2FDD29D6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529AB3CF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13F0E777" w14:textId="77777777" w:rsidR="00052A1C" w:rsidRDefault="00052A1C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1BEC7CDA" w14:textId="77777777" w:rsidR="00052A1C" w:rsidRPr="00851819" w:rsidRDefault="00052A1C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5A7E68A6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3E817DA6" w14:textId="77777777" w:rsidR="009A4B16" w:rsidRPr="00851819" w:rsidRDefault="00D30408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lastRenderedPageBreak/>
        <w:t>Tabela 7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08BE1EE0" w14:textId="77777777" w:rsidR="009A4B16" w:rsidRDefault="00D55A0D" w:rsidP="00052A1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Siromaštvo dece i odraslih, 2014, u %</w:t>
      </w:r>
    </w:p>
    <w:p w14:paraId="00B33B7D" w14:textId="77777777" w:rsidR="00052A1C" w:rsidRPr="00052A1C" w:rsidRDefault="00052A1C" w:rsidP="00052A1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1923"/>
        <w:gridCol w:w="1658"/>
        <w:gridCol w:w="1656"/>
        <w:gridCol w:w="3852"/>
      </w:tblGrid>
      <w:tr w:rsidR="00052A1C" w:rsidRPr="00851819" w14:paraId="1E2EDB1C" w14:textId="77777777" w:rsidTr="00052A1C">
        <w:trPr>
          <w:trHeight w:val="397"/>
        </w:trPr>
        <w:tc>
          <w:tcPr>
            <w:tcW w:w="10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76FDE227" w14:textId="77777777" w:rsidR="009A4B16" w:rsidRPr="00052A1C" w:rsidRDefault="009A4B16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4D9F7C5" w14:textId="77777777" w:rsidR="009A4B16" w:rsidRPr="00052A1C" w:rsidRDefault="002115E8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topa siromaštva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902FA7D" w14:textId="77777777" w:rsidR="009A4B16" w:rsidRPr="00052A1C" w:rsidRDefault="002115E8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siromašnih</w:t>
            </w:r>
          </w:p>
        </w:tc>
        <w:tc>
          <w:tcPr>
            <w:tcW w:w="21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250508C" w14:textId="77777777" w:rsidR="009A4B16" w:rsidRPr="00052A1C" w:rsidRDefault="002115E8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052A1C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ukupnog stanovništva</w:t>
            </w:r>
          </w:p>
        </w:tc>
      </w:tr>
      <w:tr w:rsidR="00052A1C" w:rsidRPr="00851819" w14:paraId="7041AEB1" w14:textId="77777777" w:rsidTr="0097661F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06988942" w14:textId="77777777" w:rsidR="009A4B16" w:rsidRPr="00851819" w:rsidRDefault="002115E8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D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eca (0-18)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4D6526A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12,0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D247124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23,7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0A155A9B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17,5</w:t>
            </w:r>
          </w:p>
        </w:tc>
      </w:tr>
      <w:tr w:rsidR="00052A1C" w:rsidRPr="00851819" w14:paraId="69DCD0BE" w14:textId="77777777" w:rsidTr="00052A1C">
        <w:trPr>
          <w:trHeight w:val="397"/>
        </w:trPr>
        <w:tc>
          <w:tcPr>
            <w:tcW w:w="10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B9F5" w14:textId="77777777" w:rsidR="009A4B16" w:rsidRPr="00851819" w:rsidRDefault="002115E8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O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drasli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B702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9ABE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76,3</w:t>
            </w:r>
          </w:p>
        </w:tc>
        <w:tc>
          <w:tcPr>
            <w:tcW w:w="21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751D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82,5</w:t>
            </w:r>
          </w:p>
        </w:tc>
      </w:tr>
      <w:tr w:rsidR="00052A1C" w:rsidRPr="00851819" w14:paraId="20E2AF72" w14:textId="77777777" w:rsidTr="0097661F">
        <w:trPr>
          <w:trHeight w:val="39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574108ED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004842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8,9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6E0F5DA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100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1F447900" w14:textId="77777777" w:rsidR="009A4B16" w:rsidRPr="00851819" w:rsidRDefault="00D55A0D" w:rsidP="00052A1C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100</w:t>
            </w:r>
          </w:p>
        </w:tc>
      </w:tr>
    </w:tbl>
    <w:p w14:paraId="337175F7" w14:textId="77777777" w:rsidR="009A4B16" w:rsidRPr="0097661F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97661F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22C75E7F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5580F8D7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 2014. 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 xml:space="preserve">godini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stopa siromaštva dece iznosi 12,0% i uočljivo je viša nego 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 xml:space="preserve">kod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punoletnih (8,2%). Kako je uobičajeno u svetu, i ove, kao i prethodnih godina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deca su u Srbiji više ugrožena siromaštvom, odnosno imaju veći rizik siromaštva nego odrasli iz napred pomenutih razloga. Ipak, ta razlika nije dramatična kao u nekim drugim zemljama, prvenstveno zbog relativno malog prosečnog broja dece po porodici u Srbiji.  </w:t>
      </w:r>
    </w:p>
    <w:p w14:paraId="4FD72D9E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0CFDD441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Siromaštvo prema polu prikazano je u 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>T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abeli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 xml:space="preserve"> 8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:</w:t>
      </w:r>
    </w:p>
    <w:p w14:paraId="00C46A87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0A377744" w14:textId="77777777" w:rsidR="009A4B16" w:rsidRPr="00851819" w:rsidRDefault="00D30408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Tabela 8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0CE7245B" w14:textId="77777777" w:rsidR="009A4B16" w:rsidRDefault="00D55A0D" w:rsidP="0097661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Siromaštvo prema polu, 2014, u %</w:t>
      </w:r>
    </w:p>
    <w:p w14:paraId="1A6A5BF7" w14:textId="77777777" w:rsidR="0097661F" w:rsidRPr="0097661F" w:rsidRDefault="0097661F" w:rsidP="0097661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6"/>
          <w:szCs w:val="6"/>
          <w:lang w:val="sr-Latn-CS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1058"/>
        <w:gridCol w:w="2067"/>
        <w:gridCol w:w="2416"/>
        <w:gridCol w:w="3548"/>
      </w:tblGrid>
      <w:tr w:rsidR="00516DED" w:rsidRPr="00851819" w14:paraId="4DF2FB5F" w14:textId="77777777" w:rsidTr="00516DED">
        <w:trPr>
          <w:trHeight w:val="397"/>
        </w:trPr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7D56C498" w14:textId="77777777" w:rsidR="009A4B16" w:rsidRPr="00851819" w:rsidRDefault="009A4B16" w:rsidP="00F1683F">
            <w:pPr>
              <w:spacing w:line="276" w:lineRule="auto"/>
              <w:rPr>
                <w:rFonts w:ascii="Arial" w:eastAsia="Times New Roman" w:hAnsi="Arial" w:cs="Arial"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4C0E3B6" w14:textId="77777777" w:rsidR="009A4B16" w:rsidRPr="00516DED" w:rsidRDefault="00FF6B27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topa siromaštva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6EC68F2" w14:textId="77777777" w:rsidR="009A4B16" w:rsidRPr="00516DED" w:rsidRDefault="00FF6B27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siromašnih</w:t>
            </w:r>
          </w:p>
        </w:tc>
        <w:tc>
          <w:tcPr>
            <w:tcW w:w="19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66831614" w14:textId="77777777" w:rsidR="009A4B16" w:rsidRPr="00516DED" w:rsidRDefault="00FF6B27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ukupnog stanovništva</w:t>
            </w:r>
          </w:p>
        </w:tc>
      </w:tr>
      <w:tr w:rsidR="00516DED" w:rsidRPr="00851819" w14:paraId="3C1BD59C" w14:textId="77777777" w:rsidTr="00516DED">
        <w:trPr>
          <w:trHeight w:val="39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7DA239E2" w14:textId="77777777" w:rsidR="009A4B16" w:rsidRPr="00851819" w:rsidRDefault="00FF6B27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M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 xml:space="preserve">uškarci 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3939327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9,1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F812957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49,2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791BD734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48,2</w:t>
            </w:r>
          </w:p>
        </w:tc>
      </w:tr>
      <w:tr w:rsidR="00516DED" w:rsidRPr="00851819" w14:paraId="4B38FF00" w14:textId="77777777" w:rsidTr="00516DED">
        <w:trPr>
          <w:trHeight w:val="397"/>
        </w:trPr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94EC" w14:textId="77777777" w:rsidR="009A4B16" w:rsidRPr="00851819" w:rsidRDefault="00FF6B27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Ž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ene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DA6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8,7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75A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50,8</w:t>
            </w:r>
          </w:p>
        </w:tc>
        <w:tc>
          <w:tcPr>
            <w:tcW w:w="19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0B51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51,8</w:t>
            </w:r>
          </w:p>
        </w:tc>
      </w:tr>
      <w:tr w:rsidR="00516DED" w:rsidRPr="00851819" w14:paraId="63DB8E6E" w14:textId="77777777" w:rsidTr="00516DED">
        <w:trPr>
          <w:trHeight w:val="39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649B799D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B957B57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8,9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0A98362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100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32222B15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100</w:t>
            </w:r>
          </w:p>
        </w:tc>
      </w:tr>
    </w:tbl>
    <w:p w14:paraId="78F40EF0" w14:textId="77777777" w:rsidR="009A4B16" w:rsidRPr="00516DED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516DED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45EE0C7E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586208A0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Nivo siromaštva muškaraca i žena je vrlo sličan i, zavisno od godine, </w:t>
      </w:r>
      <w:r w:rsidR="00CE0E5F">
        <w:rPr>
          <w:rFonts w:ascii="Arial" w:hAnsi="Arial" w:cs="Arial"/>
          <w:bCs/>
          <w:sz w:val="21"/>
          <w:szCs w:val="21"/>
          <w:lang w:val="sr-Latn-CS"/>
        </w:rPr>
        <w:t>rezultati pokazuju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da </w:t>
      </w:r>
      <w:r w:rsidR="00DA1B9A">
        <w:rPr>
          <w:rFonts w:ascii="Arial" w:hAnsi="Arial" w:cs="Arial"/>
          <w:bCs/>
          <w:sz w:val="21"/>
          <w:szCs w:val="21"/>
          <w:lang w:val="sr-Latn-CS"/>
        </w:rPr>
        <w:t xml:space="preserve">je stopa siromaštva nekada viša među ženama, a nekada među muškarcima.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Pri tome, ova ujednačenost ne garantuje da su sopstveni prihodi muškaraca i žena jednaki (mada  jesu)</w:t>
      </w:r>
      <w:r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15"/>
      </w:r>
      <w:r w:rsidR="00FF6B27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već nastaje zbog zajedničkog života većine žena i muškaraca i zajedničkog korišćenja ukupnog prihoda, bez obzira 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 xml:space="preserve">na to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ko ga zarađuje.</w:t>
      </w:r>
    </w:p>
    <w:p w14:paraId="43F1CD92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2E684603" w14:textId="77777777" w:rsidR="009A4B16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Nivo obrazovanja svakako je jedan od najvažnijih faktora siromaštva pošto oni sa višim obrazovanjem po pravilu poseduju veće prihode i viši životni standard, pa ih je manje među siromašnima, i obrnuto. Uticaj nivoa obrazovanja nosioca domaćinstva na siromaštvo prikazan je u 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>T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abeli</w:t>
      </w:r>
      <w:r w:rsidR="00FF6B27">
        <w:rPr>
          <w:rFonts w:ascii="Arial" w:hAnsi="Arial" w:cs="Arial"/>
          <w:bCs/>
          <w:sz w:val="21"/>
          <w:szCs w:val="21"/>
          <w:lang w:val="sr-Latn-CS"/>
        </w:rPr>
        <w:t xml:space="preserve"> 9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:</w:t>
      </w:r>
    </w:p>
    <w:p w14:paraId="7152B11C" w14:textId="77777777" w:rsidR="0097661F" w:rsidRDefault="0097661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0C617F14" w14:textId="77777777" w:rsidR="0097661F" w:rsidRDefault="0097661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1354D824" w14:textId="77777777" w:rsidR="0097661F" w:rsidRDefault="0097661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38F4A78F" w14:textId="77777777" w:rsidR="0097661F" w:rsidRDefault="0097661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1CCCE18F" w14:textId="77777777" w:rsidR="0097661F" w:rsidRDefault="0097661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7AF5DECC" w14:textId="77777777" w:rsidR="0097661F" w:rsidRDefault="0097661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45712C9F" w14:textId="77777777" w:rsidR="0097661F" w:rsidRPr="00851819" w:rsidRDefault="0097661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21C9BAFC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53172C9D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lastRenderedPageBreak/>
        <w:t xml:space="preserve">Tabela </w:t>
      </w:r>
      <w:r w:rsidR="00D30408" w:rsidRPr="00851819">
        <w:rPr>
          <w:rFonts w:ascii="Arial" w:hAnsi="Arial" w:cs="Arial"/>
          <w:bCs/>
          <w:sz w:val="21"/>
          <w:szCs w:val="21"/>
          <w:lang w:val="uz-Cyrl-UZ"/>
        </w:rPr>
        <w:t>9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3B175F6C" w14:textId="77777777" w:rsidR="009A4B16" w:rsidRDefault="00D55A0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Siromaštvo prema školskoj spremi nosioca domaćinstva, 2014, u %</w:t>
      </w:r>
    </w:p>
    <w:p w14:paraId="0AB48AA7" w14:textId="77777777" w:rsidR="0097661F" w:rsidRPr="0097661F" w:rsidRDefault="0097661F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6"/>
          <w:szCs w:val="6"/>
          <w:lang w:val="sr-Latn-CS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1864"/>
        <w:gridCol w:w="1970"/>
        <w:gridCol w:w="2130"/>
        <w:gridCol w:w="3125"/>
      </w:tblGrid>
      <w:tr w:rsidR="0097661F" w:rsidRPr="00851819" w14:paraId="05B29F60" w14:textId="77777777" w:rsidTr="0097661F">
        <w:trPr>
          <w:trHeight w:val="397"/>
        </w:trPr>
        <w:tc>
          <w:tcPr>
            <w:tcW w:w="10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B37E908" w14:textId="77777777" w:rsidR="009A4B16" w:rsidRPr="00851819" w:rsidRDefault="009A4B16" w:rsidP="00F1683F">
            <w:pPr>
              <w:spacing w:line="276" w:lineRule="auto"/>
              <w:rPr>
                <w:rFonts w:ascii="Arial" w:eastAsia="Times New Roman" w:hAnsi="Arial" w:cs="Arial"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AF3B2DF" w14:textId="77777777" w:rsidR="009A4B16" w:rsidRPr="00516DED" w:rsidRDefault="00FF6B27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topa siromaštva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21DC1F" w14:textId="77777777" w:rsidR="009A4B16" w:rsidRPr="00516DED" w:rsidRDefault="00FF6B27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siromašnih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58065333" w14:textId="77777777" w:rsidR="009A4B16" w:rsidRPr="00516DED" w:rsidRDefault="00FF6B27" w:rsidP="0097661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ukupnog stanovništva</w:t>
            </w:r>
          </w:p>
        </w:tc>
      </w:tr>
      <w:tr w:rsidR="0097661F" w:rsidRPr="00851819" w14:paraId="791F2C82" w14:textId="77777777" w:rsidTr="00516DED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  <w:hideMark/>
          </w:tcPr>
          <w:p w14:paraId="3098E32B" w14:textId="77777777" w:rsidR="009A4B16" w:rsidRPr="00851819" w:rsidRDefault="00FF6B27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N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ezavršena osnovna škola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44FB26C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20,2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07CD637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25,6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032D4EC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11,3</w:t>
            </w:r>
          </w:p>
        </w:tc>
      </w:tr>
      <w:tr w:rsidR="0097661F" w:rsidRPr="00851819" w14:paraId="6AF1D81A" w14:textId="77777777" w:rsidTr="0097661F">
        <w:trPr>
          <w:trHeight w:val="397"/>
        </w:trPr>
        <w:tc>
          <w:tcPr>
            <w:tcW w:w="10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B8212" w14:textId="77777777" w:rsidR="009A4B16" w:rsidRPr="00851819" w:rsidRDefault="00FF6B27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O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snovna škola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658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17,5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2497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35,9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676E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18,2</w:t>
            </w:r>
          </w:p>
        </w:tc>
      </w:tr>
      <w:tr w:rsidR="0097661F" w:rsidRPr="00851819" w14:paraId="720C9E8D" w14:textId="77777777" w:rsidTr="00516DED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5AFC4D63" w14:textId="77777777" w:rsidR="009A4B16" w:rsidRPr="00851819" w:rsidRDefault="00FF6B27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rednja škola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C31B731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5,9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4D9FAE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36,3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EF3979F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54,2</w:t>
            </w:r>
          </w:p>
        </w:tc>
      </w:tr>
      <w:tr w:rsidR="0097661F" w:rsidRPr="00851819" w14:paraId="7A4A6770" w14:textId="77777777" w:rsidTr="0097661F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87B9" w14:textId="77777777" w:rsidR="009A4B16" w:rsidRPr="00851819" w:rsidRDefault="00FF6B27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V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iša škola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B1D4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E1E3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B36F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5,9</w:t>
            </w:r>
          </w:p>
        </w:tc>
      </w:tr>
      <w:tr w:rsidR="0097661F" w:rsidRPr="00851819" w14:paraId="79698780" w14:textId="77777777" w:rsidTr="00516DED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136F23C9" w14:textId="77777777" w:rsidR="009A4B16" w:rsidRPr="00851819" w:rsidRDefault="00FF6B27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V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isoka škola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9BC7F4F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F6CB066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14:paraId="47B80375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10,4</w:t>
            </w:r>
          </w:p>
        </w:tc>
      </w:tr>
      <w:tr w:rsidR="0097661F" w:rsidRPr="00851819" w14:paraId="01B9A0FF" w14:textId="77777777" w:rsidTr="0097661F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3E32" w14:textId="77777777" w:rsidR="009A4B16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861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084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z-Cyrl-UZ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322D" w14:textId="77777777" w:rsidR="009A4B16" w:rsidRPr="00851819" w:rsidRDefault="00D55A0D" w:rsidP="009766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</w:tr>
    </w:tbl>
    <w:p w14:paraId="49621667" w14:textId="77777777" w:rsidR="009A4B16" w:rsidRPr="00516DED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516DED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53023700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1704D3B8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uz-Cyrl-UZ"/>
        </w:rPr>
      </w:pP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U Srbiji se stopa siromaštva očigledno smanjuje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sa povećanjem školske spreme nosioca domaćinstva: od 2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0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2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%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pojedinaca bez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završen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osnovn</w:t>
      </w:r>
      <w:r w:rsidR="008160E3">
        <w:rPr>
          <w:rFonts w:ascii="Arial" w:hAnsi="Arial" w:cs="Arial"/>
          <w:bCs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škol</w:t>
      </w:r>
      <w:r w:rsidR="008160E3">
        <w:rPr>
          <w:rFonts w:ascii="Arial" w:hAnsi="Arial" w:cs="Arial"/>
          <w:bCs/>
          <w:sz w:val="21"/>
          <w:szCs w:val="21"/>
          <w:lang w:val="sr-Latn-CS"/>
        </w:rPr>
        <w:t>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do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samo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1,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0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% onih sa završenim fakultetom.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Među siromašnima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dominiraju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oni sa završenom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osnovn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om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škol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om</w:t>
      </w:r>
      <w:r w:rsidR="008160E3">
        <w:rPr>
          <w:rFonts w:ascii="Arial" w:hAnsi="Arial" w:cs="Arial"/>
          <w:bCs/>
          <w:sz w:val="21"/>
          <w:szCs w:val="21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ili čak bez </w:t>
      </w:r>
      <w:r w:rsidR="008160E3">
        <w:rPr>
          <w:rFonts w:ascii="Arial" w:hAnsi="Arial" w:cs="Arial"/>
          <w:bCs/>
          <w:sz w:val="21"/>
          <w:szCs w:val="21"/>
        </w:rPr>
        <w:t>završene osnovne škole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: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učestvuju sa 61,5% od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ukupnog broja siromašnih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, iako je njihovo učešće u ukupnom stanovništvu samo 29,5%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Iako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oni sa završenom srednjom školom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imaju stopu siromaštva ispod proseka za Srbiju kao celinu, ipak je njihov broj visok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– ima ih čak 3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6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3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% ukupnog broja siromašnih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, svakako zahvaljujući velikom ukupnom broju (čak 54,2% populacije u Srbiji</w:t>
      </w:r>
      <w:r w:rsidR="00084928">
        <w:rPr>
          <w:rFonts w:ascii="Arial" w:hAnsi="Arial" w:cs="Arial"/>
          <w:bCs/>
          <w:sz w:val="21"/>
          <w:szCs w:val="21"/>
        </w:rPr>
        <w:t>)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.</w:t>
      </w:r>
    </w:p>
    <w:p w14:paraId="2F3AEFB8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uz-Cyrl-UZ"/>
        </w:rPr>
      </w:pPr>
    </w:p>
    <w:p w14:paraId="030B3054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uz-Cyrl-UZ"/>
        </w:rPr>
      </w:pP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Ova čvrsta relacija između nivoa </w:t>
      </w:r>
      <w:r w:rsidR="008160E3">
        <w:rPr>
          <w:rFonts w:ascii="Arial" w:hAnsi="Arial" w:cs="Arial"/>
          <w:bCs/>
          <w:sz w:val="21"/>
          <w:szCs w:val="21"/>
        </w:rPr>
        <w:t>obrazovanja</w:t>
      </w:r>
      <w:r w:rsidR="008160E3" w:rsidRPr="00851819">
        <w:rPr>
          <w:rFonts w:ascii="Arial" w:hAnsi="Arial" w:cs="Arial"/>
          <w:bCs/>
          <w:sz w:val="21"/>
          <w:szCs w:val="21"/>
          <w:lang w:val="uz-Cyrl-UZ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i siromaštva jasno ukazuje na to da je podizanje kvalifikovanosti zaposlenih, posebno onih na najnižim stepenima lestvice, neposredan i efikasan način smanjenja siromaštva u Srbiji. Makar kao prvi korak</w:t>
      </w:r>
      <w:r w:rsidR="008160E3">
        <w:rPr>
          <w:rFonts w:ascii="Arial" w:hAnsi="Arial" w:cs="Arial"/>
          <w:bCs/>
          <w:sz w:val="21"/>
          <w:szCs w:val="21"/>
        </w:rPr>
        <w:t>,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 Srbija bi morala da obezbedi da sva deca završe osnovnu školu, što je i višedecenijska zakonska obaveza koja se ne ostvaruje. </w:t>
      </w:r>
    </w:p>
    <w:p w14:paraId="5F49A8C2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uz-Cyrl-UZ"/>
        </w:rPr>
      </w:pPr>
    </w:p>
    <w:p w14:paraId="27DBF4B2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Iako važan faktor, nivo obrazovanja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nosioca domaćinstva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 ne mora biti odlučujuć</w:t>
      </w:r>
      <w:r w:rsidR="008160E3">
        <w:rPr>
          <w:rFonts w:ascii="Arial" w:hAnsi="Arial" w:cs="Arial"/>
          <w:bCs/>
          <w:sz w:val="21"/>
          <w:szCs w:val="21"/>
        </w:rPr>
        <w:t>i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 za siromaštvo domaćinstva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, 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>jer njegova radna aktivnost, odnosno položaj na tržištu rada</w:t>
      </w:r>
      <w:r w:rsidR="008160E3">
        <w:rPr>
          <w:rFonts w:ascii="Arial" w:hAnsi="Arial" w:cs="Arial"/>
          <w:bCs/>
          <w:sz w:val="21"/>
          <w:szCs w:val="21"/>
        </w:rPr>
        <w:t>,</w:t>
      </w:r>
      <w:r w:rsidRPr="00851819">
        <w:rPr>
          <w:rFonts w:ascii="Arial" w:hAnsi="Arial" w:cs="Arial"/>
          <w:bCs/>
          <w:sz w:val="21"/>
          <w:szCs w:val="21"/>
          <w:lang w:val="uz-Cyrl-UZ"/>
        </w:rPr>
        <w:t xml:space="preserve"> može biti još važniji.</w:t>
      </w:r>
    </w:p>
    <w:p w14:paraId="3C470F74" w14:textId="77777777" w:rsidR="002A2A33" w:rsidRPr="00851819" w:rsidRDefault="002A2A33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0D28B73A" w14:textId="77777777" w:rsidR="00D55A0D" w:rsidRPr="00851819" w:rsidRDefault="00D30408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Tabela 10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6E09D6A1" w14:textId="77777777" w:rsidR="00D55A0D" w:rsidRDefault="00D55A0D" w:rsidP="00516DE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Siromaštvo prema statusu na tržištu rada – nosilac, 2014, u %</w:t>
      </w:r>
    </w:p>
    <w:p w14:paraId="0A7BBEED" w14:textId="77777777" w:rsidR="00516DED" w:rsidRPr="00516DED" w:rsidRDefault="00516DED" w:rsidP="00516DE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6"/>
          <w:szCs w:val="6"/>
          <w:lang w:val="sr-Latn-CS"/>
        </w:rPr>
      </w:pPr>
    </w:p>
    <w:tbl>
      <w:tblPr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6"/>
        <w:gridCol w:w="2414"/>
        <w:gridCol w:w="2135"/>
        <w:gridCol w:w="2777"/>
      </w:tblGrid>
      <w:tr w:rsidR="00516DED" w:rsidRPr="00851819" w14:paraId="742601C6" w14:textId="77777777" w:rsidTr="00516DED">
        <w:trPr>
          <w:trHeight w:val="397"/>
        </w:trPr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85834E2" w14:textId="77777777" w:rsidR="00D55A0D" w:rsidRPr="00516DED" w:rsidRDefault="00D55A0D" w:rsidP="00516D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AF19113" w14:textId="77777777" w:rsidR="00D55A0D" w:rsidRPr="00516DED" w:rsidRDefault="008160E3" w:rsidP="00516D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topa siromaštva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05770FA" w14:textId="77777777" w:rsidR="00D55A0D" w:rsidRPr="00516DED" w:rsidRDefault="008160E3" w:rsidP="00516D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siromašnih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5595F006" w14:textId="77777777" w:rsidR="00D55A0D" w:rsidRPr="00516DED" w:rsidRDefault="008160E3" w:rsidP="00516D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S</w:t>
            </w:r>
            <w:r w:rsidR="00D55A0D" w:rsidRPr="00516DED">
              <w:rPr>
                <w:rFonts w:ascii="Arial" w:eastAsia="Times New Roman" w:hAnsi="Arial" w:cs="Arial"/>
                <w:b/>
                <w:bCs/>
                <w:sz w:val="21"/>
                <w:szCs w:val="21"/>
                <w:lang w:val="sr-Latn-CS"/>
              </w:rPr>
              <w:t>truktura ukupnog stanovništva</w:t>
            </w:r>
          </w:p>
        </w:tc>
      </w:tr>
      <w:tr w:rsidR="00516DED" w:rsidRPr="00851819" w14:paraId="2163808E" w14:textId="77777777" w:rsidTr="00516DED">
        <w:trPr>
          <w:trHeight w:val="39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02D6" w14:textId="77777777" w:rsidR="00D55A0D" w:rsidRPr="00851819" w:rsidRDefault="008160E3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Z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aposlen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B9F6" w14:textId="77777777" w:rsidR="00D55A0D" w:rsidRPr="00851819" w:rsidRDefault="00D55A0D" w:rsidP="00516DED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6,5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3B3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36,5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F1FE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50,3</w:t>
            </w:r>
          </w:p>
        </w:tc>
      </w:tr>
      <w:tr w:rsidR="00516DED" w:rsidRPr="00851819" w14:paraId="48AEB140" w14:textId="77777777" w:rsidTr="00516DED">
        <w:trPr>
          <w:trHeight w:val="397"/>
        </w:trPr>
        <w:tc>
          <w:tcPr>
            <w:tcW w:w="10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794EB" w14:textId="77777777" w:rsidR="00D55A0D" w:rsidRPr="00851819" w:rsidRDefault="008160E3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N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ezaposlen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9DE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23,7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B0B7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24,5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445E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9,2</w:t>
            </w:r>
          </w:p>
        </w:tc>
      </w:tr>
      <w:tr w:rsidR="00516DED" w:rsidRPr="00851819" w14:paraId="05AEA89A" w14:textId="77777777" w:rsidTr="00516DED">
        <w:trPr>
          <w:trHeight w:val="39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BBB0" w14:textId="77777777" w:rsidR="00D55A0D" w:rsidRPr="00851819" w:rsidRDefault="008160E3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N</w:t>
            </w:r>
            <w:r w:rsidR="00D55A0D"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eaktivan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4E2A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</w:rPr>
              <w:t>8,6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B94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39,0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A34E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40,5</w:t>
            </w:r>
          </w:p>
        </w:tc>
      </w:tr>
      <w:tr w:rsidR="00516DED" w:rsidRPr="00851819" w14:paraId="6C921E5A" w14:textId="77777777" w:rsidTr="00516DED">
        <w:trPr>
          <w:trHeight w:val="39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D771" w14:textId="77777777" w:rsidR="00D55A0D" w:rsidRPr="00851819" w:rsidRDefault="00D55A0D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612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8,9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6FA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100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2E69" w14:textId="77777777" w:rsidR="00D55A0D" w:rsidRPr="00851819" w:rsidRDefault="00D55A0D" w:rsidP="00516D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100</w:t>
            </w:r>
          </w:p>
        </w:tc>
      </w:tr>
    </w:tbl>
    <w:p w14:paraId="3CA342FB" w14:textId="77777777" w:rsidR="00D55A0D" w:rsidRPr="00516DED" w:rsidRDefault="00D55A0D" w:rsidP="00F1683F">
      <w:pPr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516DED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</w:p>
    <w:p w14:paraId="5E4D5A65" w14:textId="77777777" w:rsidR="00D55A0D" w:rsidRPr="00851819" w:rsidRDefault="00D55A0D" w:rsidP="00F1683F">
      <w:pPr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5891ABE8" w14:textId="77777777" w:rsidR="00D55A0D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Iz ugla siromaštva domaćinstva</w:t>
      </w:r>
      <w:r w:rsidR="00D638C6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od tri moguće opcije – da nosilac domaćinstva bude zaposlen, nezaposlen ili neaktivan – najnepovoljnija 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 xml:space="preserve">opcija 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ukoliko je nezaposlen. Tada je prosečna stopa siromaštva visokih 23,7%. Ova bi stopa mogla biti i viša da </w:t>
      </w:r>
      <w:r w:rsidR="00D638C6">
        <w:rPr>
          <w:rFonts w:ascii="Arial" w:hAnsi="Arial" w:cs="Arial"/>
          <w:bCs/>
          <w:sz w:val="21"/>
          <w:szCs w:val="21"/>
          <w:lang w:val="sr-Latn-CS"/>
        </w:rPr>
        <w:t>ta</w:t>
      </w:r>
      <w:r w:rsidR="00D638C6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domaćinstva nemaju drugih prihoda (od države, humanitarne pomoći, rođaka i prijatelja, nekretnina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itd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.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) i da neki od članova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lastRenderedPageBreak/>
        <w:t xml:space="preserve">domaćinstva nisu zaposleni, bez obzira 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 xml:space="preserve">na to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što je nosilac nezaposlen.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I</w:t>
      </w:r>
      <w:r w:rsidR="008C73E3" w:rsidRPr="00851819">
        <w:rPr>
          <w:rFonts w:ascii="Arial" w:hAnsi="Arial" w:cs="Arial"/>
          <w:bCs/>
          <w:sz w:val="21"/>
          <w:szCs w:val="21"/>
          <w:lang w:val="sr-Latn-CS"/>
        </w:rPr>
        <w:t>nače, jedna četvrtina od ukupno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g 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b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roja zaposlenih pr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i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pada domaćinstvima sa nezaposlenim nosiocem.</w:t>
      </w:r>
    </w:p>
    <w:p w14:paraId="677CCD9A" w14:textId="77777777" w:rsidR="00D55A0D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39E8837C" w14:textId="77777777" w:rsidR="00C17FA4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Najnižu stopu siromaštva od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6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5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% imaju domaćinstva sa zaposlenom osobom kao nosiocem.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Ali, kada se pokaže da čak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3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6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5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% siromašnih potiče iz domaćinstava u kojima je bar jedan član (nosilac)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zaposlen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,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 postaje očigledno da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ni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zaposlenost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n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e garantuje izbegavanje siromaštva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u Srbiji. Uzrok tome se može naći u činjenici da mnogi zaposleni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, posebno među samozaposlenima,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rade skraćeno radno vreme ili čak neredovno i u sivoj ekonom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iji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i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da zato skromno zarađuju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. Unutar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kategorije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zaposlenih samozaposleni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imaju višu stopu siromaštva (10,1%)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u odnosu na zaposlene kod poslodavca (4,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4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%)</w:t>
      </w:r>
      <w:r w:rsidR="008C73E3" w:rsidRPr="00851819">
        <w:rPr>
          <w:rFonts w:ascii="Arial" w:hAnsi="Arial" w:cs="Arial"/>
          <w:bCs/>
          <w:sz w:val="21"/>
          <w:szCs w:val="21"/>
          <w:lang w:val="sr-Latn-CS"/>
        </w:rPr>
        <w:t>, što svedoči o niskoj produktivnosti i skromnim zaradama samozaposlenih pojedinaca.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 xml:space="preserve"> Ovakva pozicija zaposlenih razlikuje se od kretanja u mnogim evropskim zemljama, gde je siromaštvo koncentrisano u domaćinstvima u kojima niko nije zaposlen, tj. koja čine neaktivni ili nezaposleni, dok zaposlene od siromaštva </w:t>
      </w:r>
      <w:r w:rsidR="00F87C85" w:rsidRPr="00851819">
        <w:rPr>
          <w:rFonts w:ascii="Arial" w:hAnsi="Arial" w:cs="Arial"/>
          <w:bCs/>
          <w:sz w:val="21"/>
          <w:szCs w:val="21"/>
          <w:lang w:val="sr-Latn-CS"/>
        </w:rPr>
        <w:t xml:space="preserve">štiti </w:t>
      </w:r>
      <w:r w:rsidR="008C73E3" w:rsidRPr="00851819">
        <w:rPr>
          <w:rFonts w:ascii="Arial" w:hAnsi="Arial" w:cs="Arial"/>
          <w:bCs/>
          <w:sz w:val="21"/>
          <w:szCs w:val="21"/>
          <w:lang w:val="sr-Latn-CS"/>
        </w:rPr>
        <w:t>redovna i dovoljno visok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a</w:t>
      </w:r>
      <w:r w:rsidR="008C73E3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C17FA4" w:rsidRPr="00851819">
        <w:rPr>
          <w:rFonts w:ascii="Arial" w:hAnsi="Arial" w:cs="Arial"/>
          <w:bCs/>
          <w:sz w:val="21"/>
          <w:szCs w:val="21"/>
          <w:lang w:val="sr-Latn-CS"/>
        </w:rPr>
        <w:t>zarada.</w:t>
      </w:r>
    </w:p>
    <w:p w14:paraId="2808ED29" w14:textId="77777777" w:rsidR="009A4B16" w:rsidRPr="00851819" w:rsidRDefault="009A4B16" w:rsidP="00F1683F">
      <w:pPr>
        <w:spacing w:line="276" w:lineRule="auto"/>
        <w:rPr>
          <w:rFonts w:ascii="Arial" w:hAnsi="Arial" w:cs="Arial"/>
          <w:sz w:val="21"/>
          <w:szCs w:val="21"/>
          <w:lang w:val="uz-Cyrl-UZ"/>
        </w:rPr>
      </w:pPr>
    </w:p>
    <w:p w14:paraId="797F11D0" w14:textId="77777777" w:rsidR="00D55A0D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Znatn</w:t>
      </w:r>
      <w:r w:rsidR="00F87C85" w:rsidRPr="00851819">
        <w:rPr>
          <w:rFonts w:ascii="Arial" w:hAnsi="Arial" w:cs="Arial"/>
          <w:bCs/>
          <w:sz w:val="21"/>
          <w:szCs w:val="21"/>
          <w:lang w:val="sr-Latn-CS"/>
        </w:rPr>
        <w:t>o niž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>u</w:t>
      </w:r>
      <w:r w:rsidR="00F87C85" w:rsidRPr="00851819">
        <w:rPr>
          <w:rFonts w:ascii="Arial" w:hAnsi="Arial" w:cs="Arial"/>
          <w:bCs/>
          <w:sz w:val="21"/>
          <w:szCs w:val="21"/>
          <w:lang w:val="sr-Latn-CS"/>
        </w:rPr>
        <w:t xml:space="preserve"> stopu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siromaštva </w:t>
      </w:r>
      <w:r w:rsidR="00F87C85" w:rsidRPr="00851819">
        <w:rPr>
          <w:rFonts w:ascii="Arial" w:hAnsi="Arial" w:cs="Arial"/>
          <w:bCs/>
          <w:sz w:val="21"/>
          <w:szCs w:val="21"/>
          <w:lang w:val="sr-Latn-CS"/>
        </w:rPr>
        <w:t xml:space="preserve">od </w:t>
      </w:r>
      <w:r w:rsidR="00131248" w:rsidRPr="00851819">
        <w:rPr>
          <w:rFonts w:ascii="Arial" w:hAnsi="Arial" w:cs="Arial"/>
          <w:bCs/>
          <w:sz w:val="21"/>
          <w:szCs w:val="21"/>
          <w:lang w:val="sr-Latn-CS"/>
        </w:rPr>
        <w:t>onih čiji je nosilac nezaposlen</w:t>
      </w:r>
      <w:r w:rsidR="001907DC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F87C85" w:rsidRPr="00851819">
        <w:rPr>
          <w:rFonts w:ascii="Arial" w:hAnsi="Arial" w:cs="Arial"/>
          <w:bCs/>
          <w:sz w:val="21"/>
          <w:szCs w:val="21"/>
          <w:lang w:val="sr-Latn-CS"/>
        </w:rPr>
        <w:t>imaju domaćinstva sa neaktivnim nosiocem (8,6%),</w:t>
      </w:r>
      <w:r w:rsidR="00EA16D6"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16"/>
      </w:r>
      <w:r w:rsidR="00F87C85" w:rsidRPr="00851819">
        <w:rPr>
          <w:rFonts w:ascii="Arial" w:hAnsi="Arial" w:cs="Arial"/>
          <w:bCs/>
          <w:sz w:val="21"/>
          <w:szCs w:val="21"/>
          <w:lang w:val="sr-Latn-CS"/>
        </w:rPr>
        <w:t xml:space="preserve"> što je na nivou stope siromaštva za Srbiju u celini 8,9%. 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>Nema sumnje da je za relativno povolj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n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 xml:space="preserve">u situaciju ovih domaćinstava posebno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zaslužan penzijski sistem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 xml:space="preserve"> Srbije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.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 xml:space="preserve"> Tako,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 xml:space="preserve"> m</w:t>
      </w:r>
      <w:r w:rsidR="0052501C" w:rsidRPr="00851819">
        <w:rPr>
          <w:rFonts w:ascii="Arial" w:hAnsi="Arial" w:cs="Arial"/>
          <w:bCs/>
          <w:sz w:val="21"/>
          <w:szCs w:val="21"/>
          <w:lang w:val="sr-Latn-CS"/>
        </w:rPr>
        <w:t>eđu neaktivnim nosiocima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, </w:t>
      </w:r>
      <w:r w:rsidR="0052501C" w:rsidRPr="00851819">
        <w:rPr>
          <w:rFonts w:ascii="Arial" w:hAnsi="Arial" w:cs="Arial"/>
          <w:bCs/>
          <w:sz w:val="21"/>
          <w:szCs w:val="21"/>
          <w:lang w:val="sr-Latn-CS"/>
        </w:rPr>
        <w:t>domaćinstva sa nosiocem penzionerom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 xml:space="preserve"> imaju znatno nižu stopu siromaštva (8,1%) nego 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 xml:space="preserve">domaćinstva </w:t>
      </w:r>
      <w:r w:rsidR="0052501C" w:rsidRPr="00851819">
        <w:rPr>
          <w:rFonts w:ascii="Arial" w:hAnsi="Arial" w:cs="Arial"/>
          <w:bCs/>
          <w:sz w:val="21"/>
          <w:szCs w:val="21"/>
          <w:lang w:val="sr-Latn-CS"/>
        </w:rPr>
        <w:t xml:space="preserve">sa 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>ostali</w:t>
      </w:r>
      <w:r w:rsidR="0052501C" w:rsidRPr="00851819">
        <w:rPr>
          <w:rFonts w:ascii="Arial" w:hAnsi="Arial" w:cs="Arial"/>
          <w:bCs/>
          <w:sz w:val="21"/>
          <w:szCs w:val="21"/>
          <w:lang w:val="sr-Latn-CS"/>
        </w:rPr>
        <w:t>m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 xml:space="preserve"> neaktivni</w:t>
      </w:r>
      <w:r w:rsidR="0052501C" w:rsidRPr="00851819">
        <w:rPr>
          <w:rFonts w:ascii="Arial" w:hAnsi="Arial" w:cs="Arial"/>
          <w:bCs/>
          <w:sz w:val="21"/>
          <w:szCs w:val="21"/>
          <w:lang w:val="sr-Latn-CS"/>
        </w:rPr>
        <w:t>m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131248" w:rsidRPr="00851819">
        <w:rPr>
          <w:rFonts w:ascii="Arial" w:hAnsi="Arial" w:cs="Arial"/>
          <w:bCs/>
          <w:sz w:val="21"/>
          <w:szCs w:val="21"/>
          <w:lang w:val="sr-Latn-CS"/>
        </w:rPr>
        <w:t xml:space="preserve">nosiocima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(1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>7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="004036AC" w:rsidRPr="00851819">
        <w:rPr>
          <w:rFonts w:ascii="Arial" w:hAnsi="Arial" w:cs="Arial"/>
          <w:bCs/>
          <w:sz w:val="21"/>
          <w:szCs w:val="21"/>
          <w:lang w:val="sr-Latn-CS"/>
        </w:rPr>
        <w:t>0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%).</w:t>
      </w:r>
    </w:p>
    <w:p w14:paraId="1ADB4330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68AD4E32" w14:textId="77777777" w:rsidR="009A4B16" w:rsidRDefault="00D55A0D" w:rsidP="00516D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* * *</w:t>
      </w:r>
    </w:p>
    <w:p w14:paraId="5B9DB21F" w14:textId="77777777" w:rsidR="00516DED" w:rsidRPr="00851819" w:rsidRDefault="00516DED" w:rsidP="00516D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4BC746EC" w14:textId="77777777" w:rsidR="009A4B16" w:rsidRPr="00851819" w:rsidRDefault="004036AC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U 2014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. godini siromaštvo je ostalo na približno jednakom nivou sa prethodnom godinom – 8,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>9</w:t>
      </w:r>
      <w:r w:rsidR="00D638C6">
        <w:rPr>
          <w:rFonts w:ascii="Arial" w:hAnsi="Arial" w:cs="Arial"/>
          <w:bCs/>
          <w:sz w:val="21"/>
          <w:szCs w:val="21"/>
          <w:lang w:val="sr-Latn-CS"/>
        </w:rPr>
        <w:t>%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prema 8,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>6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%. Društveni bruto proizvod je, prema preliminarnim podacima, 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 xml:space="preserve">smanjen delimično zbog poplava. Prema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Ank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>eti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o potrošnji domaćinstava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,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 xml:space="preserve">u Srbiji je bilo ukupno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6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>27 hiljada siromašnih, a najviše su pogođeni siromaštvom bili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, kao i obično, članovi brojnih domaćinstava, nezaposleni, neaktivni (bez penzionera) i nekvalifikovani građani i stanovnici istočne/jugoistočne Srbije. 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>Nejednakost je u 2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0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 xml:space="preserve">14. ostala nepromenjena 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u odnosu na</w:t>
      </w:r>
      <w:r w:rsidR="00895F52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>2013. godin</w:t>
      </w:r>
      <w:r w:rsidR="00895F52">
        <w:rPr>
          <w:rFonts w:ascii="Arial" w:hAnsi="Arial" w:cs="Arial"/>
          <w:bCs/>
          <w:sz w:val="21"/>
          <w:szCs w:val="21"/>
          <w:lang w:val="sr-Latn-CS"/>
        </w:rPr>
        <w:t>u</w:t>
      </w:r>
      <w:r w:rsidR="009741BC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36F8A8A5" w14:textId="77777777" w:rsidR="009741BC" w:rsidRPr="00851819" w:rsidRDefault="009741BC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7C6AA4C5" w14:textId="77777777" w:rsidR="00F973DA" w:rsidRPr="00851819" w:rsidRDefault="00F973DA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224009D0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0DC527F0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5F99DE94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2CFCBD0B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76ED0A56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7EB2800C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20E74179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62C79533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1DB3A1FE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0F5A464C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15478DDB" w14:textId="77777777" w:rsidR="00516DED" w:rsidRDefault="00516DED" w:rsidP="00F1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7519BF88" w14:textId="77777777" w:rsidR="00516DED" w:rsidRDefault="00516DED" w:rsidP="00AE3E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77D5AE5A" w14:textId="77777777" w:rsidR="009A4B16" w:rsidRPr="000D1B22" w:rsidRDefault="000866F3" w:rsidP="00B03F77">
      <w:pPr>
        <w:pStyle w:val="Heading1"/>
        <w:rPr>
          <w:lang w:val="sr-Latn-CS"/>
        </w:rPr>
      </w:pPr>
      <w:bookmarkStart w:id="10" w:name="_NEJEDNAKOST"/>
      <w:bookmarkEnd w:id="10"/>
      <w:r w:rsidRPr="000D1B22">
        <w:rPr>
          <w:lang w:val="sr-Latn-CS"/>
        </w:rPr>
        <w:lastRenderedPageBreak/>
        <w:t>NEJEDNAKOST</w:t>
      </w:r>
    </w:p>
    <w:p w14:paraId="5B8EACE7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0B8BFDA7" w14:textId="0DA4E8C0" w:rsidR="009A4B16" w:rsidRPr="00851819" w:rsidRDefault="000866F3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Od različitih mera nejednakosti</w:t>
      </w:r>
      <w:r w:rsidRPr="00851819">
        <w:rPr>
          <w:rStyle w:val="FootnoteReference"/>
          <w:rFonts w:ascii="Arial" w:hAnsi="Arial" w:cs="Arial"/>
          <w:sz w:val="21"/>
          <w:szCs w:val="21"/>
          <w:lang w:val="sr-Latn-CS"/>
        </w:rPr>
        <w:footnoteReference w:id="17"/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FB5D36">
        <w:rPr>
          <w:rFonts w:ascii="Arial" w:hAnsi="Arial" w:cs="Arial"/>
          <w:sz w:val="21"/>
          <w:szCs w:val="21"/>
          <w:lang w:val="sr-Latn-CS"/>
        </w:rPr>
        <w:t xml:space="preserve">autori istraživanja su se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opredelili 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za dva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najpopularnija, 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najjednostavnija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i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 najjasnija </w:t>
      </w:r>
      <w:r w:rsidRPr="00851819">
        <w:rPr>
          <w:rFonts w:ascii="Arial" w:hAnsi="Arial" w:cs="Arial"/>
          <w:sz w:val="21"/>
          <w:szCs w:val="21"/>
          <w:lang w:val="sr-Latn-CS"/>
        </w:rPr>
        <w:t>pokazatelja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: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jedan je 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Đini koeficijent nejednakosti potrošnje, a drugi </w:t>
      </w:r>
      <w:r w:rsidR="000417E2">
        <w:rPr>
          <w:rFonts w:ascii="Arial" w:hAnsi="Arial" w:cs="Arial"/>
          <w:sz w:val="21"/>
          <w:szCs w:val="21"/>
          <w:lang w:val="sr-Latn-CS"/>
        </w:rPr>
        <w:t>kvintilni odnos potrošnje (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odnos potrošnje najbogatijeg i najsiromašnijeg </w:t>
      </w:r>
      <w:r w:rsidR="000417E2">
        <w:rPr>
          <w:rFonts w:ascii="Arial" w:hAnsi="Arial" w:cs="Arial"/>
          <w:sz w:val="21"/>
          <w:szCs w:val="21"/>
          <w:lang w:val="sr-Latn-CS"/>
        </w:rPr>
        <w:t>kvintila</w:t>
      </w:r>
      <w:r w:rsidR="000417E2" w:rsidRPr="00851819">
        <w:rPr>
          <w:rFonts w:ascii="Arial" w:hAnsi="Arial" w:cs="Arial"/>
          <w:sz w:val="21"/>
          <w:szCs w:val="21"/>
          <w:lang w:val="sr-Latn-CS"/>
        </w:rPr>
        <w:t xml:space="preserve"> </w:t>
      </w:r>
      <w:r w:rsidR="000417E2">
        <w:rPr>
          <w:rFonts w:ascii="Arial" w:hAnsi="Arial" w:cs="Arial"/>
          <w:sz w:val="21"/>
          <w:szCs w:val="21"/>
          <w:lang w:val="sr-Latn-CS"/>
        </w:rPr>
        <w:t xml:space="preserve">- 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20% stanovništva</w:t>
      </w:r>
      <w:r w:rsidRPr="00851819">
        <w:rPr>
          <w:rFonts w:ascii="Arial" w:hAnsi="Arial" w:cs="Arial"/>
          <w:sz w:val="21"/>
          <w:szCs w:val="21"/>
          <w:lang w:val="sr-Latn-CS"/>
        </w:rPr>
        <w:t>). Izvor podataka nam je i ovde Anketa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 xml:space="preserve"> o potrošnji domaćinstava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za 2014. godinu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148E9A15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</w:p>
    <w:p w14:paraId="3DB9C3C3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 xml:space="preserve">Đini koeficijent </w:t>
      </w:r>
      <w:r w:rsidR="00741A6D" w:rsidRPr="00851819">
        <w:rPr>
          <w:rFonts w:ascii="Arial" w:hAnsi="Arial" w:cs="Arial"/>
          <w:sz w:val="21"/>
          <w:szCs w:val="21"/>
          <w:lang w:val="sr-Latn-CS"/>
        </w:rPr>
        <w:t>može uzeti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vrednosti od 0 do 1, </w:t>
      </w:r>
      <w:r w:rsidR="00741A6D" w:rsidRPr="00851819">
        <w:rPr>
          <w:rFonts w:ascii="Arial" w:hAnsi="Arial" w:cs="Arial"/>
          <w:sz w:val="21"/>
          <w:szCs w:val="21"/>
          <w:lang w:val="sr-Latn-CS"/>
        </w:rPr>
        <w:t xml:space="preserve">gde </w:t>
      </w:r>
      <w:r w:rsidRPr="00851819">
        <w:rPr>
          <w:rFonts w:ascii="Arial" w:hAnsi="Arial" w:cs="Arial"/>
          <w:sz w:val="21"/>
          <w:szCs w:val="21"/>
          <w:lang w:val="sr-Latn-CS"/>
        </w:rPr>
        <w:t>0 označava potpunu jednakost potrošnje svih pojedinaca, a 1 potpunu koncentraciju potrošnje na samo jednog pojedinca</w:t>
      </w:r>
      <w:r w:rsidR="00741A6D" w:rsidRPr="00851819">
        <w:rPr>
          <w:rFonts w:ascii="Arial" w:hAnsi="Arial" w:cs="Arial"/>
          <w:sz w:val="21"/>
          <w:szCs w:val="21"/>
          <w:lang w:val="sr-Latn-CS"/>
        </w:rPr>
        <w:t>, dok ostali uopšte ne troše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. </w:t>
      </w:r>
    </w:p>
    <w:p w14:paraId="1A97E928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50D86ACA" w14:textId="77777777" w:rsidR="009A4B16" w:rsidRPr="00851819" w:rsidRDefault="00D30408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Tabela 11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19859742" w14:textId="77777777" w:rsidR="009A4B16" w:rsidRDefault="00D55A0D" w:rsidP="00516DE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Đini</w:t>
      </w:r>
      <w:r w:rsidR="00741A6D" w:rsidRPr="00851819">
        <w:rPr>
          <w:rFonts w:ascii="Arial" w:hAnsi="Arial" w:cs="Arial"/>
          <w:sz w:val="21"/>
          <w:szCs w:val="21"/>
          <w:lang w:val="sr-Latn-CS"/>
        </w:rPr>
        <w:t xml:space="preserve"> koeficijent u Srbiji, 2011-2014</w:t>
      </w:r>
      <w:r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35088A95" w14:textId="77777777" w:rsidR="00516DED" w:rsidRPr="00516DED" w:rsidRDefault="00516DED" w:rsidP="00516DE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8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0"/>
        <w:gridCol w:w="1512"/>
        <w:gridCol w:w="1562"/>
        <w:gridCol w:w="1846"/>
        <w:gridCol w:w="1846"/>
      </w:tblGrid>
      <w:tr w:rsidR="00937EC9" w:rsidRPr="00851819" w14:paraId="645AF928" w14:textId="77777777" w:rsidTr="00937EC9">
        <w:trPr>
          <w:trHeight w:val="397"/>
        </w:trPr>
        <w:tc>
          <w:tcPr>
            <w:tcW w:w="2180" w:type="dxa"/>
            <w:vMerge w:val="restart"/>
            <w:shd w:val="clear" w:color="auto" w:fill="95B3D7"/>
            <w:vAlign w:val="center"/>
          </w:tcPr>
          <w:p w14:paraId="23B9342C" w14:textId="77777777" w:rsidR="009A4B16" w:rsidRPr="00851819" w:rsidRDefault="009A4B1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6766" w:type="dxa"/>
            <w:gridSpan w:val="4"/>
            <w:shd w:val="clear" w:color="auto" w:fill="95B3D7"/>
            <w:vAlign w:val="center"/>
          </w:tcPr>
          <w:p w14:paraId="13133EC0" w14:textId="77777777" w:rsidR="009A4B16" w:rsidRPr="00937EC9" w:rsidRDefault="00FB5D36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Latn-CS"/>
              </w:rPr>
              <w:t>Đ</w:t>
            </w:r>
            <w:r w:rsidR="00D55A0D" w:rsidRPr="00937EC9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ini koeficijent</w:t>
            </w:r>
          </w:p>
        </w:tc>
      </w:tr>
      <w:tr w:rsidR="00937EC9" w:rsidRPr="00851819" w14:paraId="35EF9229" w14:textId="77777777" w:rsidTr="00937EC9">
        <w:trPr>
          <w:trHeight w:val="397"/>
        </w:trPr>
        <w:tc>
          <w:tcPr>
            <w:tcW w:w="2180" w:type="dxa"/>
            <w:vMerge/>
            <w:shd w:val="clear" w:color="auto" w:fill="95B3D7"/>
            <w:vAlign w:val="center"/>
          </w:tcPr>
          <w:p w14:paraId="11155039" w14:textId="77777777" w:rsidR="009A4B16" w:rsidRPr="00851819" w:rsidRDefault="009A4B1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512" w:type="dxa"/>
            <w:shd w:val="clear" w:color="auto" w:fill="95B3D7"/>
            <w:vAlign w:val="center"/>
          </w:tcPr>
          <w:p w14:paraId="79B34244" w14:textId="77777777" w:rsidR="009A4B16" w:rsidRPr="00937EC9" w:rsidRDefault="00D55A0D" w:rsidP="00937EC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37EC9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2011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562" w:type="dxa"/>
            <w:shd w:val="clear" w:color="auto" w:fill="95B3D7"/>
            <w:vAlign w:val="center"/>
          </w:tcPr>
          <w:p w14:paraId="6D02274E" w14:textId="77777777" w:rsidR="009A4B16" w:rsidRPr="00937EC9" w:rsidRDefault="00D55A0D" w:rsidP="00937EC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37EC9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2012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846" w:type="dxa"/>
            <w:shd w:val="clear" w:color="auto" w:fill="95B3D7"/>
            <w:vAlign w:val="center"/>
          </w:tcPr>
          <w:p w14:paraId="06AADE3D" w14:textId="77777777" w:rsidR="009A4B16" w:rsidRPr="00937EC9" w:rsidRDefault="00D55A0D" w:rsidP="00937EC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37EC9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2013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846" w:type="dxa"/>
            <w:shd w:val="clear" w:color="auto" w:fill="95B3D7"/>
            <w:vAlign w:val="center"/>
          </w:tcPr>
          <w:p w14:paraId="641C8A39" w14:textId="77777777" w:rsidR="009A4B16" w:rsidRPr="00937EC9" w:rsidRDefault="00D55A0D" w:rsidP="00937EC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937EC9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2014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</w:tr>
      <w:tr w:rsidR="00937EC9" w:rsidRPr="00851819" w14:paraId="09DB039A" w14:textId="77777777" w:rsidTr="00937EC9">
        <w:trPr>
          <w:trHeight w:val="397"/>
        </w:trPr>
        <w:tc>
          <w:tcPr>
            <w:tcW w:w="2180" w:type="dxa"/>
            <w:shd w:val="clear" w:color="auto" w:fill="B8CCE4"/>
            <w:vAlign w:val="center"/>
          </w:tcPr>
          <w:p w14:paraId="42C7067C" w14:textId="77777777" w:rsidR="009A4B16" w:rsidRPr="00851819" w:rsidRDefault="00D55A0D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1512" w:type="dxa"/>
            <w:shd w:val="clear" w:color="auto" w:fill="B8CCE4"/>
            <w:vAlign w:val="center"/>
          </w:tcPr>
          <w:p w14:paraId="6850A9D9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0,25</w:t>
            </w:r>
          </w:p>
        </w:tc>
        <w:tc>
          <w:tcPr>
            <w:tcW w:w="1562" w:type="dxa"/>
            <w:shd w:val="clear" w:color="auto" w:fill="B8CCE4"/>
            <w:vAlign w:val="center"/>
          </w:tcPr>
          <w:p w14:paraId="7990CBC3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0,26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42E5E130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07FCD744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</w:tr>
      <w:tr w:rsidR="00937EC9" w:rsidRPr="00851819" w14:paraId="188006BE" w14:textId="77777777" w:rsidTr="00937EC9">
        <w:trPr>
          <w:trHeight w:val="397"/>
        </w:trPr>
        <w:tc>
          <w:tcPr>
            <w:tcW w:w="2180" w:type="dxa"/>
            <w:vAlign w:val="center"/>
          </w:tcPr>
          <w:p w14:paraId="3225F1C1" w14:textId="77777777" w:rsidR="009A4B16" w:rsidRPr="00851819" w:rsidRDefault="00FB5D3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U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rbano</w:t>
            </w:r>
          </w:p>
        </w:tc>
        <w:tc>
          <w:tcPr>
            <w:tcW w:w="1512" w:type="dxa"/>
            <w:vAlign w:val="center"/>
          </w:tcPr>
          <w:p w14:paraId="74B8458A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0,25</w:t>
            </w:r>
          </w:p>
        </w:tc>
        <w:tc>
          <w:tcPr>
            <w:tcW w:w="1562" w:type="dxa"/>
            <w:vAlign w:val="center"/>
          </w:tcPr>
          <w:p w14:paraId="5C50A376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0,25</w:t>
            </w:r>
          </w:p>
        </w:tc>
        <w:tc>
          <w:tcPr>
            <w:tcW w:w="1846" w:type="dxa"/>
            <w:vAlign w:val="center"/>
          </w:tcPr>
          <w:p w14:paraId="1C9BC81A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  <w:tc>
          <w:tcPr>
            <w:tcW w:w="1846" w:type="dxa"/>
            <w:vAlign w:val="center"/>
          </w:tcPr>
          <w:p w14:paraId="1F5845F2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</w:tr>
      <w:tr w:rsidR="00937EC9" w:rsidRPr="00851819" w14:paraId="4DC1930C" w14:textId="77777777" w:rsidTr="00937EC9">
        <w:trPr>
          <w:trHeight w:val="397"/>
        </w:trPr>
        <w:tc>
          <w:tcPr>
            <w:tcW w:w="2180" w:type="dxa"/>
            <w:shd w:val="clear" w:color="auto" w:fill="B8CCE4"/>
            <w:vAlign w:val="center"/>
          </w:tcPr>
          <w:p w14:paraId="028F78D9" w14:textId="77777777" w:rsidR="009A4B16" w:rsidRPr="00851819" w:rsidRDefault="00FB5D3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O</w:t>
            </w:r>
            <w:r w:rsidR="00D55A0D" w:rsidRPr="00851819">
              <w:rPr>
                <w:rFonts w:ascii="Arial" w:hAnsi="Arial" w:cs="Arial"/>
                <w:sz w:val="21"/>
                <w:szCs w:val="21"/>
                <w:lang w:val="sr-Latn-CS"/>
              </w:rPr>
              <w:t>stalo</w:t>
            </w:r>
          </w:p>
        </w:tc>
        <w:tc>
          <w:tcPr>
            <w:tcW w:w="1512" w:type="dxa"/>
            <w:shd w:val="clear" w:color="auto" w:fill="B8CCE4"/>
            <w:vAlign w:val="center"/>
          </w:tcPr>
          <w:p w14:paraId="551BDDCB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0,25</w:t>
            </w:r>
          </w:p>
        </w:tc>
        <w:tc>
          <w:tcPr>
            <w:tcW w:w="1562" w:type="dxa"/>
            <w:shd w:val="clear" w:color="auto" w:fill="B8CCE4"/>
            <w:vAlign w:val="center"/>
          </w:tcPr>
          <w:p w14:paraId="2918A119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0,26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30E8F93A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74ADE1EF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</w:tr>
      <w:tr w:rsidR="00937EC9" w:rsidRPr="00851819" w14:paraId="2BFD6718" w14:textId="77777777" w:rsidTr="00937EC9">
        <w:trPr>
          <w:trHeight w:val="397"/>
        </w:trPr>
        <w:tc>
          <w:tcPr>
            <w:tcW w:w="2180" w:type="dxa"/>
            <w:vAlign w:val="center"/>
          </w:tcPr>
          <w:p w14:paraId="16330BB4" w14:textId="77777777" w:rsidR="009A4B16" w:rsidRPr="00851819" w:rsidRDefault="00D55A0D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Vojvodina</w:t>
            </w:r>
          </w:p>
        </w:tc>
        <w:tc>
          <w:tcPr>
            <w:tcW w:w="1512" w:type="dxa"/>
            <w:vAlign w:val="center"/>
          </w:tcPr>
          <w:p w14:paraId="3F54B1C9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0,25</w:t>
            </w:r>
          </w:p>
        </w:tc>
        <w:tc>
          <w:tcPr>
            <w:tcW w:w="1562" w:type="dxa"/>
            <w:vAlign w:val="center"/>
          </w:tcPr>
          <w:p w14:paraId="2F354B1B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0,27</w:t>
            </w:r>
          </w:p>
        </w:tc>
        <w:tc>
          <w:tcPr>
            <w:tcW w:w="1846" w:type="dxa"/>
            <w:vAlign w:val="center"/>
          </w:tcPr>
          <w:p w14:paraId="2A8F118B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0,25</w:t>
            </w:r>
          </w:p>
        </w:tc>
        <w:tc>
          <w:tcPr>
            <w:tcW w:w="1846" w:type="dxa"/>
            <w:vAlign w:val="center"/>
          </w:tcPr>
          <w:p w14:paraId="4DA0C6F4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</w:tr>
      <w:tr w:rsidR="00937EC9" w:rsidRPr="00851819" w14:paraId="0C29FA61" w14:textId="77777777" w:rsidTr="00937EC9">
        <w:trPr>
          <w:trHeight w:val="397"/>
        </w:trPr>
        <w:tc>
          <w:tcPr>
            <w:tcW w:w="2180" w:type="dxa"/>
            <w:shd w:val="clear" w:color="auto" w:fill="B8CCE4"/>
            <w:vAlign w:val="center"/>
          </w:tcPr>
          <w:p w14:paraId="3368BF23" w14:textId="77777777" w:rsidR="009A4B16" w:rsidRPr="00851819" w:rsidRDefault="00D55A0D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Beograd</w:t>
            </w:r>
          </w:p>
        </w:tc>
        <w:tc>
          <w:tcPr>
            <w:tcW w:w="1512" w:type="dxa"/>
            <w:shd w:val="clear" w:color="auto" w:fill="B8CCE4"/>
            <w:vAlign w:val="center"/>
          </w:tcPr>
          <w:p w14:paraId="54797D20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0,24</w:t>
            </w:r>
          </w:p>
        </w:tc>
        <w:tc>
          <w:tcPr>
            <w:tcW w:w="1562" w:type="dxa"/>
            <w:shd w:val="clear" w:color="auto" w:fill="B8CCE4"/>
            <w:vAlign w:val="center"/>
          </w:tcPr>
          <w:p w14:paraId="53C2258B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0,25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5A271512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0,27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286029A2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</w:tr>
      <w:tr w:rsidR="00937EC9" w:rsidRPr="00851819" w14:paraId="68450F35" w14:textId="77777777" w:rsidTr="00937EC9">
        <w:trPr>
          <w:trHeight w:val="397"/>
        </w:trPr>
        <w:tc>
          <w:tcPr>
            <w:tcW w:w="2180" w:type="dxa"/>
            <w:vAlign w:val="center"/>
          </w:tcPr>
          <w:p w14:paraId="41771C80" w14:textId="77777777" w:rsidR="009A4B16" w:rsidRPr="00851819" w:rsidRDefault="00D55A0D" w:rsidP="00FB5D36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 xml:space="preserve">Šumadija, 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 xml:space="preserve">zapadna </w:t>
            </w:r>
            <w:r w:rsidR="00FB5D36" w:rsidRPr="00851819">
              <w:rPr>
                <w:rFonts w:ascii="Arial" w:hAnsi="Arial" w:cs="Arial"/>
                <w:sz w:val="21"/>
                <w:szCs w:val="21"/>
                <w:lang w:val="sr-Latn-CS"/>
              </w:rPr>
              <w:t>S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rbija</w:t>
            </w:r>
          </w:p>
        </w:tc>
        <w:tc>
          <w:tcPr>
            <w:tcW w:w="1512" w:type="dxa"/>
            <w:vAlign w:val="center"/>
          </w:tcPr>
          <w:p w14:paraId="118D3C5C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0,23</w:t>
            </w:r>
          </w:p>
        </w:tc>
        <w:tc>
          <w:tcPr>
            <w:tcW w:w="1562" w:type="dxa"/>
            <w:vAlign w:val="center"/>
          </w:tcPr>
          <w:p w14:paraId="72515170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0,22</w:t>
            </w:r>
          </w:p>
        </w:tc>
        <w:tc>
          <w:tcPr>
            <w:tcW w:w="1846" w:type="dxa"/>
            <w:vAlign w:val="center"/>
          </w:tcPr>
          <w:p w14:paraId="34AE227C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0,24</w:t>
            </w:r>
          </w:p>
        </w:tc>
        <w:tc>
          <w:tcPr>
            <w:tcW w:w="1846" w:type="dxa"/>
            <w:vAlign w:val="center"/>
          </w:tcPr>
          <w:p w14:paraId="176DBF00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0,24</w:t>
            </w:r>
          </w:p>
        </w:tc>
      </w:tr>
      <w:tr w:rsidR="00937EC9" w:rsidRPr="00851819" w14:paraId="3F5A8B2D" w14:textId="77777777" w:rsidTr="00937EC9">
        <w:trPr>
          <w:trHeight w:val="397"/>
        </w:trPr>
        <w:tc>
          <w:tcPr>
            <w:tcW w:w="2180" w:type="dxa"/>
            <w:shd w:val="clear" w:color="auto" w:fill="B8CCE4"/>
            <w:vAlign w:val="center"/>
          </w:tcPr>
          <w:p w14:paraId="3C65448A" w14:textId="77777777" w:rsidR="009A4B16" w:rsidRPr="00851819" w:rsidRDefault="00D55A0D" w:rsidP="003C347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J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u</w:t>
            </w:r>
            <w:r w:rsidR="003C347E">
              <w:rPr>
                <w:rFonts w:ascii="Arial" w:hAnsi="Arial" w:cs="Arial"/>
                <w:sz w:val="21"/>
                <w:szCs w:val="21"/>
                <w:lang w:val="sr-Latn-CS"/>
              </w:rPr>
              <w:t>goistočna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</w:t>
            </w: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S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rbija</w:t>
            </w: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 xml:space="preserve">, 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 xml:space="preserve">istočna </w:t>
            </w: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S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rbija</w:t>
            </w:r>
          </w:p>
        </w:tc>
        <w:tc>
          <w:tcPr>
            <w:tcW w:w="1512" w:type="dxa"/>
            <w:shd w:val="clear" w:color="auto" w:fill="B8CCE4"/>
            <w:vAlign w:val="center"/>
          </w:tcPr>
          <w:p w14:paraId="14032546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0,24</w:t>
            </w:r>
          </w:p>
        </w:tc>
        <w:tc>
          <w:tcPr>
            <w:tcW w:w="1562" w:type="dxa"/>
            <w:shd w:val="clear" w:color="auto" w:fill="B8CCE4"/>
            <w:vAlign w:val="center"/>
          </w:tcPr>
          <w:p w14:paraId="57B99850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0,26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06152383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  <w:tc>
          <w:tcPr>
            <w:tcW w:w="1846" w:type="dxa"/>
            <w:shd w:val="clear" w:color="auto" w:fill="B8CCE4"/>
            <w:vAlign w:val="center"/>
          </w:tcPr>
          <w:p w14:paraId="74000206" w14:textId="77777777" w:rsidR="009A4B16" w:rsidRPr="00851819" w:rsidRDefault="00D55A0D" w:rsidP="00937EC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0,26</w:t>
            </w:r>
          </w:p>
        </w:tc>
      </w:tr>
    </w:tbl>
    <w:p w14:paraId="0F9A25E0" w14:textId="77777777" w:rsidR="009A4B16" w:rsidRPr="00516DED" w:rsidRDefault="00D55A0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516DED">
        <w:rPr>
          <w:rFonts w:ascii="Arial" w:hAnsi="Arial" w:cs="Arial"/>
          <w:sz w:val="18"/>
          <w:szCs w:val="18"/>
          <w:lang w:val="sr-Latn-CS"/>
        </w:rPr>
        <w:t>Izvor: obrada Ankete o potrošnji domaćinstava 2011, 2012. i 2013, RZS</w:t>
      </w:r>
      <w:r w:rsidR="00FB5D36">
        <w:rPr>
          <w:rFonts w:ascii="Arial" w:hAnsi="Arial" w:cs="Arial"/>
          <w:sz w:val="18"/>
          <w:szCs w:val="18"/>
          <w:lang w:val="sr-Latn-CS"/>
        </w:rPr>
        <w:t>.</w:t>
      </w:r>
    </w:p>
    <w:p w14:paraId="27ABC4C3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03A84423" w14:textId="77777777" w:rsidR="009A4B16" w:rsidRPr="00851819" w:rsidRDefault="00741A6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 prethodnoj tabeli se vidi da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Đini koeficijent za Srbiju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uzima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vrednosti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od 0,25 do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0,26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tokom poslednjih godin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što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je </w:t>
      </w:r>
      <w:r w:rsidR="00FB5D36">
        <w:rPr>
          <w:rFonts w:ascii="Arial" w:hAnsi="Arial" w:cs="Arial"/>
          <w:bCs/>
          <w:sz w:val="21"/>
          <w:szCs w:val="21"/>
          <w:lang w:val="sr-Latn-CS"/>
        </w:rPr>
        <w:t>prilično</w:t>
      </w:r>
      <w:r w:rsidR="00FB5D36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nisk</w:t>
      </w:r>
      <w:r w:rsidR="00FB5D36">
        <w:rPr>
          <w:rFonts w:ascii="Arial" w:hAnsi="Arial" w:cs="Arial"/>
          <w:bCs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FB5D36">
        <w:rPr>
          <w:rFonts w:ascii="Arial" w:hAnsi="Arial" w:cs="Arial"/>
          <w:bCs/>
          <w:sz w:val="21"/>
          <w:szCs w:val="21"/>
          <w:lang w:val="sr-Latn-CS"/>
        </w:rPr>
        <w:t xml:space="preserve">vrednost koja ukazuje na </w:t>
      </w:r>
      <w:r w:rsidR="00485247">
        <w:rPr>
          <w:rFonts w:ascii="Arial" w:hAnsi="Arial" w:cs="Arial"/>
          <w:bCs/>
          <w:sz w:val="21"/>
          <w:szCs w:val="21"/>
          <w:lang w:val="sr-Latn-CS"/>
        </w:rPr>
        <w:t xml:space="preserve">to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da je nejednakost potrošnje u Srbiji dosta umerena. </w:t>
      </w:r>
    </w:p>
    <w:p w14:paraId="694A9747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6D9A7135" w14:textId="77777777" w:rsidR="00741A6D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Slične vrednosti Đini koeficijenta pokazuju i dve klasifikacije iz prethodne tabele: urbano i ostalo stanovništvo, koje je na nivou proseka Srbije, kao i četiri navedena regiona, koji pokazuju vred</w:t>
      </w:r>
      <w:r w:rsidR="00741A6D" w:rsidRPr="00851819">
        <w:rPr>
          <w:rFonts w:ascii="Arial" w:hAnsi="Arial" w:cs="Arial"/>
          <w:bCs/>
          <w:sz w:val="21"/>
          <w:szCs w:val="21"/>
          <w:lang w:val="sr-Latn-CS"/>
        </w:rPr>
        <w:t xml:space="preserve">nosti oko proseka. Nešto veću ujednačenost potrošnje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od ostalih ima region Šumadije/zapadne Srbije</w:t>
      </w:r>
      <w:r w:rsidR="00741A6D" w:rsidRPr="00851819">
        <w:rPr>
          <w:rFonts w:ascii="Arial" w:hAnsi="Arial" w:cs="Arial"/>
          <w:bCs/>
          <w:sz w:val="21"/>
          <w:szCs w:val="21"/>
          <w:lang w:val="sr-Latn-CS"/>
        </w:rPr>
        <w:t>, što mu donosi nešto niže siromaštvo nego što bi se očekivalo prema nivou njegovog razvoja.</w:t>
      </w:r>
    </w:p>
    <w:p w14:paraId="58F5E61A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6C896A5B" w14:textId="77777777" w:rsidR="009A4B16" w:rsidRPr="00851819" w:rsidRDefault="00741A6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Komparativno posmatrano,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neke zemlje iz regiona istočne i jugoistočne Evrope imaju sličan stepen nejednakosti </w:t>
      </w:r>
      <w:r w:rsidR="00A36CD0" w:rsidRPr="00851819">
        <w:rPr>
          <w:rFonts w:ascii="Arial" w:hAnsi="Arial" w:cs="Arial"/>
          <w:bCs/>
          <w:sz w:val="21"/>
          <w:szCs w:val="21"/>
          <w:lang w:val="sr-Latn-CS"/>
        </w:rPr>
        <w:t xml:space="preserve">potrošnje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kao Srbija, dok druge imaju viši</w:t>
      </w:r>
      <w:r w:rsidR="00A36CD0" w:rsidRPr="00851819">
        <w:rPr>
          <w:rFonts w:ascii="Arial" w:hAnsi="Arial" w:cs="Arial"/>
          <w:bCs/>
          <w:sz w:val="21"/>
          <w:szCs w:val="21"/>
          <w:lang w:val="sr-Latn-CS"/>
        </w:rPr>
        <w:t xml:space="preserve">. Gotovo sve zemlje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u razvoju imaju znatno veću nejednakost nego Srbija.</w:t>
      </w:r>
      <w:r w:rsidR="00A36CD0"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18"/>
      </w:r>
    </w:p>
    <w:p w14:paraId="6EC20903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24E09DEB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lastRenderedPageBreak/>
        <w:t xml:space="preserve">Koeficijent 80/20 </w:t>
      </w:r>
      <w:r w:rsidR="00A36CD0" w:rsidRPr="00851819">
        <w:rPr>
          <w:rFonts w:ascii="Arial" w:hAnsi="Arial" w:cs="Arial"/>
          <w:sz w:val="21"/>
          <w:szCs w:val="21"/>
          <w:lang w:val="sr-Latn-CS"/>
        </w:rPr>
        <w:t xml:space="preserve">pokazuje samo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odnos najbogatijih i najsiromašnijih kvintila </w:t>
      </w:r>
      <w:r w:rsidR="00A36CD0" w:rsidRPr="00851819">
        <w:rPr>
          <w:rFonts w:ascii="Arial" w:hAnsi="Arial" w:cs="Arial"/>
          <w:sz w:val="21"/>
          <w:szCs w:val="21"/>
          <w:lang w:val="sr-Latn-CS"/>
        </w:rPr>
        <w:t xml:space="preserve">(20% stanovništva)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u društvu, </w:t>
      </w:r>
      <w:r w:rsidR="00A36CD0" w:rsidRPr="00851819">
        <w:rPr>
          <w:rFonts w:ascii="Arial" w:hAnsi="Arial" w:cs="Arial"/>
          <w:sz w:val="21"/>
          <w:szCs w:val="21"/>
          <w:lang w:val="sr-Latn-CS"/>
        </w:rPr>
        <w:t>a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 zanemaruje srednjih 60% kao nevažne, a koji mogu </w:t>
      </w:r>
      <w:r w:rsidR="00FB5D36" w:rsidRPr="00851819">
        <w:rPr>
          <w:rFonts w:ascii="Arial" w:hAnsi="Arial" w:cs="Arial"/>
          <w:sz w:val="21"/>
          <w:szCs w:val="21"/>
          <w:lang w:val="sr-Latn-CS"/>
        </w:rPr>
        <w:t xml:space="preserve">odlučujuće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da </w:t>
      </w:r>
      <w:r w:rsidR="00FB5D36" w:rsidRPr="00851819">
        <w:rPr>
          <w:rFonts w:ascii="Arial" w:hAnsi="Arial" w:cs="Arial"/>
          <w:sz w:val="21"/>
          <w:szCs w:val="21"/>
          <w:lang w:val="sr-Latn-CS"/>
        </w:rPr>
        <w:t xml:space="preserve">utiču na krajnji rezultat </w:t>
      </w:r>
      <w:r w:rsidRPr="00851819">
        <w:rPr>
          <w:rFonts w:ascii="Arial" w:hAnsi="Arial" w:cs="Arial"/>
          <w:sz w:val="21"/>
          <w:szCs w:val="21"/>
          <w:lang w:val="sr-Latn-CS"/>
        </w:rPr>
        <w:t xml:space="preserve">kod Đinija i sličnih mera. </w:t>
      </w:r>
    </w:p>
    <w:p w14:paraId="58171484" w14:textId="77777777" w:rsidR="002A2A33" w:rsidRPr="00851819" w:rsidRDefault="002A2A33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087AE51F" w14:textId="77777777" w:rsidR="009A4B16" w:rsidRPr="00851819" w:rsidRDefault="00A36CD0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Tabela 1</w:t>
      </w:r>
      <w:r w:rsidR="00D30408" w:rsidRPr="00851819">
        <w:rPr>
          <w:rFonts w:ascii="Arial" w:hAnsi="Arial" w:cs="Arial"/>
          <w:sz w:val="21"/>
          <w:szCs w:val="21"/>
          <w:lang w:val="sr-Latn-CS"/>
        </w:rPr>
        <w:t>2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6DB48F94" w14:textId="77777777" w:rsidR="009A4B16" w:rsidRDefault="00A36CD0" w:rsidP="00BE3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Odnos 80/20 u Srbiji, 2011-2014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42F51F3F" w14:textId="77777777" w:rsidR="00BE31FE" w:rsidRPr="00BB6A3D" w:rsidRDefault="00BE31FE" w:rsidP="00BE31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9"/>
        <w:gridCol w:w="1846"/>
        <w:gridCol w:w="1846"/>
        <w:gridCol w:w="1846"/>
      </w:tblGrid>
      <w:tr w:rsidR="00BB6A3D" w:rsidRPr="00851819" w14:paraId="12877CEA" w14:textId="77777777" w:rsidTr="00BB6A3D">
        <w:tc>
          <w:tcPr>
            <w:tcW w:w="1701" w:type="dxa"/>
            <w:shd w:val="clear" w:color="auto" w:fill="95B3D7"/>
          </w:tcPr>
          <w:p w14:paraId="50BC7EBD" w14:textId="77777777" w:rsidR="00B651A0" w:rsidRPr="00851819" w:rsidRDefault="00B651A0" w:rsidP="00F16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9" w:type="dxa"/>
            <w:shd w:val="clear" w:color="auto" w:fill="95B3D7"/>
          </w:tcPr>
          <w:p w14:paraId="6A57041B" w14:textId="77777777" w:rsidR="00B651A0" w:rsidRPr="00BB6A3D" w:rsidRDefault="00B651A0" w:rsidP="00F168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2011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846" w:type="dxa"/>
            <w:shd w:val="clear" w:color="auto" w:fill="95B3D7"/>
          </w:tcPr>
          <w:p w14:paraId="27456BC8" w14:textId="77777777" w:rsidR="00B651A0" w:rsidRPr="00BB6A3D" w:rsidRDefault="00B651A0" w:rsidP="00F168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2012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846" w:type="dxa"/>
            <w:shd w:val="clear" w:color="auto" w:fill="95B3D7"/>
          </w:tcPr>
          <w:p w14:paraId="2D44A7AE" w14:textId="77777777" w:rsidR="00B651A0" w:rsidRPr="00BB6A3D" w:rsidRDefault="00B651A0" w:rsidP="00F168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2013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846" w:type="dxa"/>
            <w:shd w:val="clear" w:color="auto" w:fill="95B3D7"/>
          </w:tcPr>
          <w:p w14:paraId="3DE197C0" w14:textId="77777777" w:rsidR="00B651A0" w:rsidRPr="00BB6A3D" w:rsidRDefault="00B651A0" w:rsidP="00F168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2014</w:t>
            </w:r>
            <w:r w:rsidR="00FB5D3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.</w:t>
            </w:r>
          </w:p>
        </w:tc>
      </w:tr>
      <w:tr w:rsidR="00BB6A3D" w:rsidRPr="00851819" w14:paraId="7A9EF5C7" w14:textId="77777777" w:rsidTr="00BB6A3D">
        <w:tc>
          <w:tcPr>
            <w:tcW w:w="1701" w:type="dxa"/>
            <w:shd w:val="clear" w:color="auto" w:fill="auto"/>
          </w:tcPr>
          <w:p w14:paraId="72CFE084" w14:textId="77777777" w:rsidR="00B651A0" w:rsidRPr="00851819" w:rsidRDefault="00B651A0" w:rsidP="00F16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80/20</w:t>
            </w:r>
          </w:p>
        </w:tc>
        <w:tc>
          <w:tcPr>
            <w:tcW w:w="1849" w:type="dxa"/>
            <w:shd w:val="clear" w:color="auto" w:fill="auto"/>
          </w:tcPr>
          <w:p w14:paraId="2BE51B0B" w14:textId="77777777" w:rsidR="00B651A0" w:rsidRPr="00851819" w:rsidRDefault="00B651A0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3,6</w:t>
            </w:r>
          </w:p>
        </w:tc>
        <w:tc>
          <w:tcPr>
            <w:tcW w:w="1846" w:type="dxa"/>
            <w:shd w:val="clear" w:color="auto" w:fill="auto"/>
          </w:tcPr>
          <w:p w14:paraId="0F4B4ED7" w14:textId="77777777" w:rsidR="00B651A0" w:rsidRPr="00851819" w:rsidRDefault="00B651A0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3,8</w:t>
            </w:r>
          </w:p>
        </w:tc>
        <w:tc>
          <w:tcPr>
            <w:tcW w:w="1846" w:type="dxa"/>
          </w:tcPr>
          <w:p w14:paraId="571C396A" w14:textId="77777777" w:rsidR="00B651A0" w:rsidRPr="00851819" w:rsidRDefault="00B651A0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3,9</w:t>
            </w:r>
          </w:p>
        </w:tc>
        <w:tc>
          <w:tcPr>
            <w:tcW w:w="1846" w:type="dxa"/>
          </w:tcPr>
          <w:p w14:paraId="70D370E5" w14:textId="77777777" w:rsidR="00B651A0" w:rsidRPr="00851819" w:rsidRDefault="00B651A0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3,9</w:t>
            </w:r>
          </w:p>
        </w:tc>
      </w:tr>
    </w:tbl>
    <w:p w14:paraId="3F47C569" w14:textId="77777777" w:rsidR="009A4B16" w:rsidRPr="00BB6A3D" w:rsidRDefault="00D55A0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r-Latn-CS"/>
        </w:rPr>
      </w:pPr>
      <w:r w:rsidRPr="00BB6A3D">
        <w:rPr>
          <w:rFonts w:ascii="Arial" w:hAnsi="Arial" w:cs="Arial"/>
          <w:sz w:val="18"/>
          <w:szCs w:val="18"/>
          <w:lang w:val="sr-Latn-CS"/>
        </w:rPr>
        <w:t>Izvor: obrada Anket</w:t>
      </w:r>
      <w:r w:rsidR="00B651A0" w:rsidRPr="00BB6A3D">
        <w:rPr>
          <w:rFonts w:ascii="Arial" w:hAnsi="Arial" w:cs="Arial"/>
          <w:sz w:val="18"/>
          <w:szCs w:val="18"/>
          <w:lang w:val="sr-Latn-CS"/>
        </w:rPr>
        <w:t>e o potrošnji domaćinstava 2011,</w:t>
      </w:r>
      <w:r w:rsidRPr="00BB6A3D">
        <w:rPr>
          <w:rFonts w:ascii="Arial" w:hAnsi="Arial" w:cs="Arial"/>
          <w:sz w:val="18"/>
          <w:szCs w:val="18"/>
          <w:lang w:val="sr-Latn-CS"/>
        </w:rPr>
        <w:t xml:space="preserve"> 2012</w:t>
      </w:r>
      <w:r w:rsidR="00B651A0" w:rsidRPr="00BB6A3D">
        <w:rPr>
          <w:rFonts w:ascii="Arial" w:hAnsi="Arial" w:cs="Arial"/>
          <w:sz w:val="18"/>
          <w:szCs w:val="18"/>
          <w:lang w:val="sr-Latn-CS"/>
        </w:rPr>
        <w:t>, 2013. i 2014</w:t>
      </w:r>
      <w:r w:rsidRPr="00BB6A3D">
        <w:rPr>
          <w:rFonts w:ascii="Arial" w:hAnsi="Arial" w:cs="Arial"/>
          <w:sz w:val="18"/>
          <w:szCs w:val="18"/>
          <w:lang w:val="sr-Latn-CS"/>
        </w:rPr>
        <w:t>, RZS</w:t>
      </w:r>
      <w:r w:rsidR="00FB5D36">
        <w:rPr>
          <w:rFonts w:ascii="Arial" w:hAnsi="Arial" w:cs="Arial"/>
          <w:sz w:val="18"/>
          <w:szCs w:val="18"/>
          <w:lang w:val="sr-Latn-CS"/>
        </w:rPr>
        <w:t>.</w:t>
      </w:r>
    </w:p>
    <w:p w14:paraId="3F6D1932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576C7B03" w14:textId="77777777" w:rsidR="009A4B16" w:rsidRPr="00851819" w:rsidRDefault="00B651A0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Podaci iz ove tabele ukazuju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FB5D36">
        <w:rPr>
          <w:rFonts w:ascii="Arial" w:hAnsi="Arial" w:cs="Arial"/>
          <w:bCs/>
          <w:sz w:val="21"/>
          <w:szCs w:val="21"/>
          <w:lang w:val="sr-Latn-CS"/>
        </w:rPr>
        <w:t xml:space="preserve">na to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da 20% stanovništva sa najvećom potrošnjom ima za oko 3,8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-3,9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puta veću potrošnju od 20% stanovnika sa najmanjom potrošnjom. 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I ovde Šumadija i zapadna Srbija donekle odskaču sa </w:t>
      </w:r>
      <w:r w:rsidR="00F775F0" w:rsidRPr="00DA1B9A">
        <w:rPr>
          <w:rFonts w:ascii="Arial" w:hAnsi="Arial" w:cs="Arial"/>
          <w:bCs/>
          <w:sz w:val="21"/>
          <w:szCs w:val="21"/>
          <w:lang w:val="sr-Latn-CS"/>
        </w:rPr>
        <w:t>odnosom 3,7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77B818D9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6C9E3936" w14:textId="77777777" w:rsidR="00EA16D6" w:rsidRPr="00851819" w:rsidRDefault="00EA16D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Obračuna</w:t>
      </w:r>
      <w:r w:rsidR="00FB5D36">
        <w:rPr>
          <w:rFonts w:ascii="Arial" w:hAnsi="Arial" w:cs="Arial"/>
          <w:bCs/>
          <w:sz w:val="21"/>
          <w:szCs w:val="21"/>
          <w:lang w:val="sr-Latn-CS"/>
        </w:rPr>
        <w:t xml:space="preserve">ti su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regionaln</w:t>
      </w:r>
      <w:r w:rsidR="00FB5D36">
        <w:rPr>
          <w:rFonts w:ascii="Arial" w:hAnsi="Arial" w:cs="Arial"/>
          <w:bCs/>
          <w:sz w:val="21"/>
          <w:szCs w:val="21"/>
          <w:lang w:val="sr-Latn-CS"/>
        </w:rPr>
        <w:t>i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odnos</w:t>
      </w:r>
      <w:r w:rsidR="00FB5D36">
        <w:rPr>
          <w:rFonts w:ascii="Arial" w:hAnsi="Arial" w:cs="Arial"/>
          <w:bCs/>
          <w:sz w:val="21"/>
          <w:szCs w:val="21"/>
          <w:lang w:val="sr-Latn-CS"/>
        </w:rPr>
        <w:t>i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80/20:</w:t>
      </w:r>
    </w:p>
    <w:p w14:paraId="0D05BA8A" w14:textId="77777777" w:rsidR="00EA16D6" w:rsidRPr="00851819" w:rsidRDefault="00EA16D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2FD20598" w14:textId="77777777" w:rsidR="00D30408" w:rsidRPr="00851819" w:rsidRDefault="00D30408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Tabela 13.</w:t>
      </w:r>
    </w:p>
    <w:p w14:paraId="272D5A4F" w14:textId="77777777" w:rsidR="00EA16D6" w:rsidRDefault="00D30408" w:rsidP="00F1683F">
      <w:pPr>
        <w:spacing w:line="276" w:lineRule="auto"/>
        <w:rPr>
          <w:rFonts w:ascii="Arial" w:hAnsi="Arial" w:cs="Arial"/>
          <w:sz w:val="21"/>
          <w:szCs w:val="21"/>
        </w:rPr>
      </w:pPr>
      <w:r w:rsidRPr="00851819">
        <w:rPr>
          <w:rFonts w:ascii="Arial" w:hAnsi="Arial" w:cs="Arial"/>
          <w:sz w:val="21"/>
          <w:szCs w:val="21"/>
        </w:rPr>
        <w:t xml:space="preserve">Odnos 80/20, </w:t>
      </w:r>
      <w:r w:rsidR="002144B1" w:rsidRPr="00851819">
        <w:rPr>
          <w:rFonts w:ascii="Arial" w:hAnsi="Arial" w:cs="Arial"/>
          <w:sz w:val="21"/>
          <w:szCs w:val="21"/>
        </w:rPr>
        <w:t xml:space="preserve">po regionima, </w:t>
      </w:r>
      <w:r w:rsidRPr="00851819">
        <w:rPr>
          <w:rFonts w:ascii="Arial" w:hAnsi="Arial" w:cs="Arial"/>
          <w:sz w:val="21"/>
          <w:szCs w:val="21"/>
        </w:rPr>
        <w:t>2014.</w:t>
      </w:r>
    </w:p>
    <w:p w14:paraId="11EE441F" w14:textId="77777777" w:rsidR="00BB6A3D" w:rsidRPr="00BB6A3D" w:rsidRDefault="00BB6A3D" w:rsidP="00F1683F">
      <w:pPr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W w:w="4872" w:type="pct"/>
        <w:jc w:val="center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1"/>
        <w:gridCol w:w="6431"/>
      </w:tblGrid>
      <w:tr w:rsidR="00BB6A3D" w:rsidRPr="00851819" w14:paraId="6187C60C" w14:textId="77777777" w:rsidTr="00BB6A3D">
        <w:trPr>
          <w:trHeight w:val="397"/>
          <w:jc w:val="center"/>
        </w:trPr>
        <w:tc>
          <w:tcPr>
            <w:tcW w:w="1444" w:type="pct"/>
            <w:shd w:val="clear" w:color="auto" w:fill="95B3D7"/>
            <w:vAlign w:val="center"/>
          </w:tcPr>
          <w:p w14:paraId="7CB80E4F" w14:textId="77777777" w:rsidR="00EA16D6" w:rsidRPr="00851819" w:rsidRDefault="00EA16D6" w:rsidP="00BB6A3D">
            <w:pPr>
              <w:spacing w:line="276" w:lineRule="auto"/>
              <w:ind w:left="-1871" w:right="1392" w:firstLine="187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56" w:type="pct"/>
            <w:shd w:val="clear" w:color="auto" w:fill="95B3D7"/>
            <w:vAlign w:val="center"/>
          </w:tcPr>
          <w:p w14:paraId="3C09DD9E" w14:textId="77777777" w:rsidR="00EA16D6" w:rsidRPr="00851819" w:rsidRDefault="00FB5D36" w:rsidP="00F1683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="00EA16D6" w:rsidRPr="00851819">
              <w:rPr>
                <w:rFonts w:ascii="Arial" w:hAnsi="Arial" w:cs="Arial"/>
                <w:b/>
                <w:sz w:val="21"/>
                <w:szCs w:val="21"/>
                <w:lang w:val="uz-Cyrl-UZ"/>
              </w:rPr>
              <w:t xml:space="preserve">dnos </w:t>
            </w:r>
            <w:r w:rsidR="00EA16D6" w:rsidRPr="00851819">
              <w:rPr>
                <w:rFonts w:ascii="Arial" w:hAnsi="Arial" w:cs="Arial"/>
                <w:b/>
                <w:sz w:val="21"/>
                <w:szCs w:val="21"/>
                <w:lang w:val="sr-Cyrl-CS"/>
              </w:rPr>
              <w:t>80/20</w:t>
            </w:r>
          </w:p>
        </w:tc>
      </w:tr>
      <w:tr w:rsidR="00BB6A3D" w:rsidRPr="00851819" w14:paraId="16405938" w14:textId="77777777" w:rsidTr="00BB6A3D">
        <w:trPr>
          <w:trHeight w:val="397"/>
          <w:jc w:val="center"/>
        </w:trPr>
        <w:tc>
          <w:tcPr>
            <w:tcW w:w="1444" w:type="pct"/>
            <w:shd w:val="clear" w:color="auto" w:fill="B8CCE4"/>
            <w:vAlign w:val="center"/>
          </w:tcPr>
          <w:p w14:paraId="30C5976C" w14:textId="77777777" w:rsidR="00EA16D6" w:rsidRPr="00851819" w:rsidRDefault="00EA16D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Srbija</w:t>
            </w:r>
          </w:p>
        </w:tc>
        <w:tc>
          <w:tcPr>
            <w:tcW w:w="3556" w:type="pct"/>
            <w:shd w:val="clear" w:color="auto" w:fill="B8CCE4"/>
            <w:vAlign w:val="center"/>
          </w:tcPr>
          <w:p w14:paraId="274ED4A4" w14:textId="77777777" w:rsidR="00EA16D6" w:rsidRPr="00851819" w:rsidRDefault="00EA16D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3,9</w:t>
            </w:r>
          </w:p>
        </w:tc>
      </w:tr>
      <w:tr w:rsidR="00BB6A3D" w:rsidRPr="00851819" w14:paraId="73F2D932" w14:textId="77777777" w:rsidTr="00BB6A3D">
        <w:trPr>
          <w:trHeight w:val="397"/>
          <w:jc w:val="center"/>
        </w:trPr>
        <w:tc>
          <w:tcPr>
            <w:tcW w:w="1444" w:type="pct"/>
            <w:vAlign w:val="center"/>
          </w:tcPr>
          <w:p w14:paraId="3DAB7151" w14:textId="77777777" w:rsidR="00EA16D6" w:rsidRPr="00851819" w:rsidRDefault="00FB5D3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U</w:t>
            </w:r>
            <w:r w:rsidR="00EA16D6" w:rsidRPr="00851819">
              <w:rPr>
                <w:rFonts w:ascii="Arial" w:hAnsi="Arial" w:cs="Arial"/>
                <w:sz w:val="21"/>
                <w:szCs w:val="21"/>
                <w:lang w:val="sr-Latn-CS"/>
              </w:rPr>
              <w:t>rbano</w:t>
            </w:r>
          </w:p>
        </w:tc>
        <w:tc>
          <w:tcPr>
            <w:tcW w:w="3556" w:type="pct"/>
            <w:vAlign w:val="center"/>
          </w:tcPr>
          <w:p w14:paraId="7526FE33" w14:textId="77777777" w:rsidR="00EA16D6" w:rsidRPr="00851819" w:rsidRDefault="00EA16D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3,9</w:t>
            </w:r>
          </w:p>
        </w:tc>
      </w:tr>
      <w:tr w:rsidR="00BB6A3D" w:rsidRPr="00851819" w14:paraId="07F6E392" w14:textId="77777777" w:rsidTr="00BB6A3D">
        <w:trPr>
          <w:trHeight w:val="397"/>
          <w:jc w:val="center"/>
        </w:trPr>
        <w:tc>
          <w:tcPr>
            <w:tcW w:w="1444" w:type="pct"/>
            <w:shd w:val="clear" w:color="auto" w:fill="B8CCE4"/>
            <w:vAlign w:val="center"/>
          </w:tcPr>
          <w:p w14:paraId="468337F1" w14:textId="77777777" w:rsidR="00EA16D6" w:rsidRPr="00851819" w:rsidRDefault="00FB5D3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sz w:val="21"/>
                <w:szCs w:val="21"/>
                <w:lang w:val="sr-Latn-CS"/>
              </w:rPr>
              <w:t>O</w:t>
            </w:r>
            <w:r w:rsidR="00EA16D6" w:rsidRPr="00851819">
              <w:rPr>
                <w:rFonts w:ascii="Arial" w:hAnsi="Arial" w:cs="Arial"/>
                <w:sz w:val="21"/>
                <w:szCs w:val="21"/>
                <w:lang w:val="sr-Latn-CS"/>
              </w:rPr>
              <w:t>stalo</w:t>
            </w:r>
          </w:p>
        </w:tc>
        <w:tc>
          <w:tcPr>
            <w:tcW w:w="3556" w:type="pct"/>
            <w:shd w:val="clear" w:color="auto" w:fill="B8CCE4"/>
            <w:vAlign w:val="center"/>
          </w:tcPr>
          <w:p w14:paraId="3305FE3B" w14:textId="77777777" w:rsidR="00EA16D6" w:rsidRPr="00851819" w:rsidRDefault="00EA16D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3,8</w:t>
            </w:r>
          </w:p>
        </w:tc>
      </w:tr>
      <w:tr w:rsidR="00BB6A3D" w:rsidRPr="00851819" w14:paraId="227A5AA4" w14:textId="77777777" w:rsidTr="00BB6A3D">
        <w:trPr>
          <w:trHeight w:val="397"/>
          <w:jc w:val="center"/>
        </w:trPr>
        <w:tc>
          <w:tcPr>
            <w:tcW w:w="1444" w:type="pct"/>
            <w:vAlign w:val="center"/>
          </w:tcPr>
          <w:p w14:paraId="25850C1E" w14:textId="77777777" w:rsidR="00EA16D6" w:rsidRPr="00851819" w:rsidRDefault="00EA16D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Vojvodina</w:t>
            </w:r>
          </w:p>
        </w:tc>
        <w:tc>
          <w:tcPr>
            <w:tcW w:w="3556" w:type="pct"/>
            <w:vAlign w:val="center"/>
          </w:tcPr>
          <w:p w14:paraId="7C2E9796" w14:textId="77777777" w:rsidR="00EA16D6" w:rsidRPr="00851819" w:rsidRDefault="00EA16D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3,8</w:t>
            </w:r>
          </w:p>
        </w:tc>
      </w:tr>
      <w:tr w:rsidR="00BB6A3D" w:rsidRPr="00851819" w14:paraId="572D0F59" w14:textId="77777777" w:rsidTr="00BB6A3D">
        <w:trPr>
          <w:trHeight w:val="397"/>
          <w:jc w:val="center"/>
        </w:trPr>
        <w:tc>
          <w:tcPr>
            <w:tcW w:w="1444" w:type="pct"/>
            <w:shd w:val="clear" w:color="auto" w:fill="B8CCE4"/>
            <w:vAlign w:val="center"/>
          </w:tcPr>
          <w:p w14:paraId="4AF416E0" w14:textId="77777777" w:rsidR="00EA16D6" w:rsidRPr="00851819" w:rsidRDefault="00EA16D6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Beograd</w:t>
            </w:r>
          </w:p>
        </w:tc>
        <w:tc>
          <w:tcPr>
            <w:tcW w:w="3556" w:type="pct"/>
            <w:shd w:val="clear" w:color="auto" w:fill="B8CCE4"/>
            <w:vAlign w:val="center"/>
          </w:tcPr>
          <w:p w14:paraId="111E6C4A" w14:textId="77777777" w:rsidR="00EA16D6" w:rsidRPr="00851819" w:rsidRDefault="00EA16D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4,0</w:t>
            </w:r>
          </w:p>
        </w:tc>
      </w:tr>
      <w:tr w:rsidR="00BB6A3D" w:rsidRPr="00851819" w14:paraId="509FD3CE" w14:textId="77777777" w:rsidTr="00BB6A3D">
        <w:trPr>
          <w:trHeight w:val="397"/>
          <w:jc w:val="center"/>
        </w:trPr>
        <w:tc>
          <w:tcPr>
            <w:tcW w:w="1444" w:type="pct"/>
            <w:vAlign w:val="center"/>
          </w:tcPr>
          <w:p w14:paraId="76B2B992" w14:textId="77777777" w:rsidR="00EA16D6" w:rsidRPr="00851819" w:rsidRDefault="00EA16D6" w:rsidP="00FB5D36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 xml:space="preserve">Šumadija, 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zapadna Srbija</w:t>
            </w:r>
          </w:p>
        </w:tc>
        <w:tc>
          <w:tcPr>
            <w:tcW w:w="3556" w:type="pct"/>
            <w:vAlign w:val="center"/>
          </w:tcPr>
          <w:p w14:paraId="418619FD" w14:textId="77777777" w:rsidR="00EA16D6" w:rsidRPr="00851819" w:rsidRDefault="00EA16D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3,7</w:t>
            </w:r>
          </w:p>
        </w:tc>
      </w:tr>
      <w:tr w:rsidR="00BB6A3D" w:rsidRPr="00851819" w14:paraId="1735C9F8" w14:textId="77777777" w:rsidTr="00BB6A3D">
        <w:trPr>
          <w:trHeight w:val="397"/>
          <w:jc w:val="center"/>
        </w:trPr>
        <w:tc>
          <w:tcPr>
            <w:tcW w:w="1444" w:type="pct"/>
            <w:shd w:val="clear" w:color="auto" w:fill="B8CCE4"/>
            <w:vAlign w:val="center"/>
          </w:tcPr>
          <w:p w14:paraId="1E8D57F6" w14:textId="77777777" w:rsidR="00EA16D6" w:rsidRPr="00851819" w:rsidRDefault="00EA16D6" w:rsidP="003C347E">
            <w:pPr>
              <w:spacing w:line="276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J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u</w:t>
            </w:r>
            <w:r w:rsidR="003C347E">
              <w:rPr>
                <w:rFonts w:ascii="Arial" w:hAnsi="Arial" w:cs="Arial"/>
                <w:sz w:val="21"/>
                <w:szCs w:val="21"/>
                <w:lang w:val="sr-Latn-CS"/>
              </w:rPr>
              <w:t>goistočna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</w:t>
            </w: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>S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rbija</w:t>
            </w:r>
            <w:r w:rsidRPr="00851819">
              <w:rPr>
                <w:rFonts w:ascii="Arial" w:hAnsi="Arial" w:cs="Arial"/>
                <w:sz w:val="21"/>
                <w:szCs w:val="21"/>
                <w:lang w:val="sr-Latn-CS"/>
              </w:rPr>
              <w:t xml:space="preserve">, </w:t>
            </w:r>
            <w:r w:rsidR="00FB5D36">
              <w:rPr>
                <w:rFonts w:ascii="Arial" w:hAnsi="Arial" w:cs="Arial"/>
                <w:sz w:val="21"/>
                <w:szCs w:val="21"/>
                <w:lang w:val="sr-Latn-CS"/>
              </w:rPr>
              <w:t>istočna Srbija</w:t>
            </w:r>
          </w:p>
        </w:tc>
        <w:tc>
          <w:tcPr>
            <w:tcW w:w="3556" w:type="pct"/>
            <w:shd w:val="clear" w:color="auto" w:fill="B8CCE4"/>
            <w:vAlign w:val="center"/>
          </w:tcPr>
          <w:p w14:paraId="2F742ED7" w14:textId="77777777" w:rsidR="00EA16D6" w:rsidRPr="00851819" w:rsidRDefault="00EA16D6" w:rsidP="00F1683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851819">
              <w:rPr>
                <w:rFonts w:ascii="Arial" w:hAnsi="Arial" w:cs="Arial"/>
                <w:sz w:val="21"/>
                <w:szCs w:val="21"/>
              </w:rPr>
              <w:t>3,8</w:t>
            </w:r>
          </w:p>
        </w:tc>
      </w:tr>
    </w:tbl>
    <w:p w14:paraId="0591FD19" w14:textId="77777777" w:rsidR="00EA16D6" w:rsidRPr="00BB6A3D" w:rsidRDefault="00EA16D6" w:rsidP="00F1683F">
      <w:pPr>
        <w:spacing w:line="276" w:lineRule="auto"/>
        <w:rPr>
          <w:rFonts w:ascii="Arial" w:hAnsi="Arial" w:cs="Arial"/>
          <w:sz w:val="18"/>
          <w:szCs w:val="18"/>
          <w:lang w:val="uz-Cyrl-UZ"/>
        </w:rPr>
      </w:pPr>
      <w:r w:rsidRPr="00BB6A3D">
        <w:rPr>
          <w:rFonts w:ascii="Arial" w:hAnsi="Arial" w:cs="Arial"/>
          <w:sz w:val="18"/>
          <w:szCs w:val="18"/>
          <w:lang w:val="sr-Latn-CS"/>
        </w:rPr>
        <w:t>Izvor: obrada Ankete o potrošnji domaćinstava 2014, RZS</w:t>
      </w:r>
      <w:r w:rsidR="00FB5D36">
        <w:rPr>
          <w:rFonts w:ascii="Arial" w:hAnsi="Arial" w:cs="Arial"/>
          <w:sz w:val="18"/>
          <w:szCs w:val="18"/>
          <w:lang w:val="sr-Latn-CS"/>
        </w:rPr>
        <w:t>.</w:t>
      </w:r>
    </w:p>
    <w:p w14:paraId="4CA75EEE" w14:textId="77777777" w:rsidR="00EA16D6" w:rsidRPr="00851819" w:rsidRDefault="00EA16D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4BF1A8CD" w14:textId="77777777" w:rsidR="00EA16D6" w:rsidRPr="00851819" w:rsidRDefault="00EA16D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Razlike u nejednakosti među regionima i po tipu područja (urbano, ostalo)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su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vrlo male tako da lokacija stanovanja ne predstavlja generator nejednakosti u Srbiji.</w:t>
      </w:r>
    </w:p>
    <w:p w14:paraId="10E5A03C" w14:textId="77777777" w:rsidR="00EA16D6" w:rsidRPr="00851819" w:rsidRDefault="00EA16D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5440D684" w14:textId="77777777" w:rsidR="009A4B16" w:rsidRPr="00851819" w:rsidRDefault="00B651A0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D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osta niske vrednosti i Đini koeficijenta i odnosa 80/20 ukazuju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na to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da nejednakost potrošnje u Srbiji nije posebno izražena, odnosno da je umerena po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međunarodnim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merilima. </w:t>
      </w:r>
    </w:p>
    <w:p w14:paraId="5672730C" w14:textId="77777777" w:rsidR="00B651A0" w:rsidRPr="00851819" w:rsidRDefault="00B651A0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7FB47F2D" w14:textId="77777777" w:rsidR="00A6536B" w:rsidRPr="00851819" w:rsidRDefault="00A6536B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Interesantno je uporediti mere nejednakosti potrošnje sa nejednako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>šću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dohotka u Srbiji: </w:t>
      </w:r>
      <w:r w:rsidR="00B651A0" w:rsidRPr="00851819">
        <w:rPr>
          <w:rFonts w:ascii="Arial" w:hAnsi="Arial" w:cs="Arial"/>
          <w:bCs/>
          <w:sz w:val="21"/>
          <w:szCs w:val="21"/>
          <w:lang w:val="sr-Latn-CS"/>
        </w:rPr>
        <w:t xml:space="preserve">nejednakost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dohotka 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 xml:space="preserve">u Srbiji znatno 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veća nego nejednakost potrošnje. 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 xml:space="preserve">Đini koeficijent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za prihode 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>iznosi 0,3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8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 xml:space="preserve">, a odnos 80/20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je 8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8, pa je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 xml:space="preserve"> nejednakost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dohotka 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>u Srbiji najveća među zemljama u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>kojima se obavlja SILC istraživanje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(32</w:t>
      </w:r>
      <w:r w:rsidR="005B1329" w:rsidRPr="00851819">
        <w:rPr>
          <w:rFonts w:ascii="Arial" w:hAnsi="Arial" w:cs="Arial"/>
          <w:bCs/>
          <w:sz w:val="21"/>
          <w:szCs w:val="21"/>
          <w:lang w:val="sr-Latn-CS"/>
        </w:rPr>
        <w:t xml:space="preserve"> zem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lje).</w:t>
      </w:r>
      <w:r w:rsidR="002A2A33" w:rsidRPr="00851819">
        <w:rPr>
          <w:rStyle w:val="FootnoteReference"/>
          <w:rFonts w:ascii="Arial" w:hAnsi="Arial" w:cs="Arial"/>
          <w:bCs/>
          <w:sz w:val="21"/>
          <w:szCs w:val="21"/>
          <w:lang w:val="sr-Latn-CS"/>
        </w:rPr>
        <w:footnoteReference w:id="19"/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124DE0">
        <w:rPr>
          <w:rFonts w:ascii="Arial" w:hAnsi="Arial" w:cs="Arial"/>
          <w:bCs/>
          <w:sz w:val="21"/>
          <w:szCs w:val="21"/>
          <w:lang w:val="sr-Latn-CS"/>
        </w:rPr>
        <w:t>Uobičajeno je d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a je Đini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koeficijent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viši </w:t>
      </w:r>
      <w:r w:rsidR="00124DE0">
        <w:rPr>
          <w:rFonts w:ascii="Arial" w:hAnsi="Arial" w:cs="Arial"/>
          <w:bCs/>
          <w:sz w:val="21"/>
          <w:szCs w:val="21"/>
          <w:lang w:val="sr-Latn-CS"/>
        </w:rPr>
        <w:t>kada se nejednakost računa merenjem d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ohotka</w:t>
      </w:r>
      <w:r w:rsidR="00124DE0">
        <w:rPr>
          <w:rFonts w:ascii="Arial" w:hAnsi="Arial" w:cs="Arial"/>
          <w:bCs/>
          <w:sz w:val="21"/>
          <w:szCs w:val="21"/>
          <w:lang w:val="sr-Latn-CS"/>
        </w:rPr>
        <w:t xml:space="preserve"> umesto merenjem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potrošnje</w:t>
      </w:r>
      <w:r w:rsidR="00124DE0">
        <w:rPr>
          <w:rFonts w:ascii="Arial" w:hAnsi="Arial" w:cs="Arial"/>
          <w:bCs/>
          <w:sz w:val="21"/>
          <w:szCs w:val="21"/>
          <w:lang w:val="sr-Latn-CS"/>
        </w:rPr>
        <w:t>. U</w:t>
      </w:r>
      <w:r w:rsidR="00604BEE" w:rsidRPr="00851819">
        <w:rPr>
          <w:rFonts w:ascii="Arial" w:hAnsi="Arial" w:cs="Arial"/>
          <w:bCs/>
          <w:sz w:val="21"/>
          <w:szCs w:val="21"/>
          <w:lang w:val="sr-Latn-CS"/>
        </w:rPr>
        <w:t xml:space="preserve"> Srbiji </w:t>
      </w:r>
      <w:r w:rsidR="00124DE0">
        <w:rPr>
          <w:rFonts w:ascii="Arial" w:hAnsi="Arial" w:cs="Arial"/>
          <w:bCs/>
          <w:sz w:val="21"/>
          <w:szCs w:val="21"/>
          <w:lang w:val="sr-Latn-CS"/>
        </w:rPr>
        <w:t xml:space="preserve">je </w:t>
      </w:r>
      <w:r w:rsidR="002A2A33" w:rsidRPr="00851819">
        <w:rPr>
          <w:rFonts w:ascii="Arial" w:hAnsi="Arial" w:cs="Arial"/>
          <w:bCs/>
          <w:sz w:val="21"/>
          <w:szCs w:val="21"/>
          <w:lang w:val="sr-Latn-CS"/>
        </w:rPr>
        <w:t xml:space="preserve">ova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razlika vrlo izražena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. Nekoliko činilaca svakako utiče na ovakve relacije – solidarnost šire familije i prijatelja, naturalna potrošnja </w:t>
      </w:r>
      <w:r w:rsidR="002A2A33" w:rsidRPr="00851819">
        <w:rPr>
          <w:rFonts w:ascii="Arial" w:hAnsi="Arial" w:cs="Arial"/>
          <w:bCs/>
          <w:sz w:val="21"/>
          <w:szCs w:val="21"/>
          <w:lang w:val="sr-Latn-CS"/>
        </w:rPr>
        <w:t xml:space="preserve">(sopstvena proizvodnja hrane i pića) 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>i regionalne razlike u cenama koje SILC ne uzima u obzir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>;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 ali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>,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bilo 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bi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zanimljivo 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bliže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ustanoviti </w:t>
      </w:r>
      <w:r w:rsidR="00604BEE" w:rsidRPr="00851819">
        <w:rPr>
          <w:rFonts w:ascii="Arial" w:hAnsi="Arial" w:cs="Arial"/>
          <w:bCs/>
          <w:sz w:val="21"/>
          <w:szCs w:val="21"/>
          <w:lang w:val="sr-Latn-CS"/>
        </w:rPr>
        <w:t>razloge za to.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</w:p>
    <w:p w14:paraId="4A7FF029" w14:textId="77777777" w:rsidR="009F3123" w:rsidRPr="00851819" w:rsidRDefault="009F3123" w:rsidP="00F1683F">
      <w:pPr>
        <w:spacing w:line="276" w:lineRule="auto"/>
        <w:jc w:val="center"/>
        <w:rPr>
          <w:rFonts w:ascii="Arial" w:hAnsi="Arial" w:cs="Arial"/>
          <w:bCs/>
          <w:sz w:val="21"/>
          <w:szCs w:val="21"/>
          <w:lang w:val="sr-Latn-CS"/>
        </w:rPr>
      </w:pPr>
    </w:p>
    <w:p w14:paraId="292D36D4" w14:textId="77777777" w:rsidR="009A4B16" w:rsidRPr="00BB6A3D" w:rsidRDefault="00D55A0D" w:rsidP="00B03F77">
      <w:pPr>
        <w:pStyle w:val="Heading1"/>
        <w:rPr>
          <w:lang w:val="sr-Latn-CS"/>
        </w:rPr>
      </w:pPr>
      <w:bookmarkStart w:id="11" w:name="_SIROMAŠTVO_U_PERIODU"/>
      <w:bookmarkEnd w:id="11"/>
      <w:r w:rsidRPr="00BB6A3D">
        <w:rPr>
          <w:lang w:val="sr-Latn-CS"/>
        </w:rPr>
        <w:lastRenderedPageBreak/>
        <w:t>SIROMAŠTVO U PERI</w:t>
      </w:r>
      <w:r w:rsidR="00E05A88" w:rsidRPr="00BB6A3D">
        <w:rPr>
          <w:lang w:val="sr-Latn-CS"/>
        </w:rPr>
        <w:t>ODU 2008-2014</w:t>
      </w:r>
      <w:r w:rsidRPr="00BB6A3D">
        <w:rPr>
          <w:lang w:val="sr-Latn-CS"/>
        </w:rPr>
        <w:t>.</w:t>
      </w:r>
    </w:p>
    <w:p w14:paraId="469D2600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15C7B6AD" w14:textId="77777777" w:rsidR="009A4B16" w:rsidRPr="00851819" w:rsidRDefault="00604BEE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K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retanje siromaš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tva u Srbiji u periodu 2008-2014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prikazano je u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>T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abeli 1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>4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Prva godina posmatranog razdoblja je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2008.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zato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što se od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t</w:t>
      </w:r>
      <w:r w:rsidR="007E37BF" w:rsidRPr="00851819">
        <w:rPr>
          <w:rFonts w:ascii="Arial" w:hAnsi="Arial" w:cs="Arial"/>
          <w:bCs/>
          <w:sz w:val="21"/>
          <w:szCs w:val="21"/>
          <w:lang w:val="sr-Latn-CS"/>
        </w:rPr>
        <w:t>ada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ankete o potrošnji domaćinstava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sprovode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po istom upitniku i metodološkom postupku,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pa su i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rezultati uporedivi.</w:t>
      </w:r>
    </w:p>
    <w:p w14:paraId="29B7DB2C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0D5FF60A" w14:textId="77777777" w:rsidR="009A4B16" w:rsidRPr="00851819" w:rsidRDefault="00D55A0D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Tabela </w:t>
      </w:r>
      <w:r w:rsidR="002144B1" w:rsidRPr="00851819">
        <w:rPr>
          <w:rFonts w:ascii="Arial" w:hAnsi="Arial" w:cs="Arial"/>
          <w:bCs/>
          <w:sz w:val="21"/>
          <w:szCs w:val="21"/>
          <w:lang w:val="sr-Latn-CS"/>
        </w:rPr>
        <w:t>14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356E82F3" w14:textId="77777777" w:rsidR="009A4B16" w:rsidRDefault="00D55A0D" w:rsidP="00BB6A3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Siromaštvo u Srbiji, 2008-2014.</w:t>
      </w:r>
    </w:p>
    <w:p w14:paraId="6BA26949" w14:textId="77777777" w:rsidR="00BB6A3D" w:rsidRPr="00BB6A3D" w:rsidRDefault="00BB6A3D" w:rsidP="00BB6A3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6"/>
          <w:szCs w:val="6"/>
          <w:lang w:val="sr-Latn-CS"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852"/>
        <w:gridCol w:w="1003"/>
        <w:gridCol w:w="1003"/>
        <w:gridCol w:w="1003"/>
        <w:gridCol w:w="1003"/>
        <w:gridCol w:w="1003"/>
        <w:gridCol w:w="1091"/>
      </w:tblGrid>
      <w:tr w:rsidR="009A4B16" w:rsidRPr="00851819" w14:paraId="76776CE6" w14:textId="77777777" w:rsidTr="00BB6A3D">
        <w:trPr>
          <w:trHeight w:val="397"/>
        </w:trPr>
        <w:tc>
          <w:tcPr>
            <w:tcW w:w="2130" w:type="dxa"/>
            <w:shd w:val="clear" w:color="auto" w:fill="95B3D7"/>
            <w:vAlign w:val="center"/>
          </w:tcPr>
          <w:p w14:paraId="50ADFA86" w14:textId="77777777" w:rsidR="009A4B16" w:rsidRPr="00851819" w:rsidRDefault="009A4B16" w:rsidP="00F16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2" w:type="dxa"/>
            <w:shd w:val="clear" w:color="auto" w:fill="95B3D7"/>
            <w:vAlign w:val="center"/>
          </w:tcPr>
          <w:p w14:paraId="3D70BAD3" w14:textId="77777777" w:rsidR="009A4B16" w:rsidRPr="00BB6A3D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2008</w:t>
            </w:r>
            <w:r w:rsidR="00DE3DB4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003" w:type="dxa"/>
            <w:shd w:val="clear" w:color="auto" w:fill="95B3D7"/>
            <w:vAlign w:val="center"/>
          </w:tcPr>
          <w:p w14:paraId="28BC09D2" w14:textId="77777777" w:rsidR="009A4B16" w:rsidRPr="00BB6A3D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2009</w:t>
            </w:r>
            <w:r w:rsidR="00DE3DB4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003" w:type="dxa"/>
            <w:shd w:val="clear" w:color="auto" w:fill="95B3D7"/>
            <w:vAlign w:val="center"/>
          </w:tcPr>
          <w:p w14:paraId="50D1769C" w14:textId="77777777" w:rsidR="009A4B16" w:rsidRPr="00BB6A3D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2010</w:t>
            </w:r>
            <w:r w:rsidR="00DE3DB4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003" w:type="dxa"/>
            <w:shd w:val="clear" w:color="auto" w:fill="95B3D7"/>
            <w:vAlign w:val="center"/>
          </w:tcPr>
          <w:p w14:paraId="0EC016CA" w14:textId="77777777" w:rsidR="009A4B16" w:rsidRPr="00BB6A3D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2011</w:t>
            </w:r>
            <w:r w:rsidR="00DE3DB4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003" w:type="dxa"/>
            <w:shd w:val="clear" w:color="auto" w:fill="95B3D7"/>
            <w:vAlign w:val="center"/>
          </w:tcPr>
          <w:p w14:paraId="7A370E3C" w14:textId="77777777" w:rsidR="009A4B16" w:rsidRPr="00BB6A3D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2012</w:t>
            </w:r>
            <w:r w:rsidR="00DE3DB4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003" w:type="dxa"/>
            <w:shd w:val="clear" w:color="auto" w:fill="95B3D7"/>
            <w:vAlign w:val="center"/>
          </w:tcPr>
          <w:p w14:paraId="2D29FF3F" w14:textId="77777777" w:rsidR="009A4B16" w:rsidRPr="00BB6A3D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2013</w:t>
            </w:r>
            <w:r w:rsidR="00DE3DB4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1091" w:type="dxa"/>
            <w:shd w:val="clear" w:color="auto" w:fill="95B3D7"/>
            <w:vAlign w:val="center"/>
          </w:tcPr>
          <w:p w14:paraId="3F31D9A5" w14:textId="77777777" w:rsidR="009A4B16" w:rsidRPr="00BB6A3D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 w:rsidRPr="00BB6A3D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2014</w:t>
            </w:r>
            <w:r w:rsidR="00DE3DB4"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.</w:t>
            </w:r>
          </w:p>
        </w:tc>
      </w:tr>
      <w:tr w:rsidR="009A4B16" w:rsidRPr="00851819" w14:paraId="111C79D0" w14:textId="77777777" w:rsidTr="00BB6A3D">
        <w:trPr>
          <w:trHeight w:val="397"/>
        </w:trPr>
        <w:tc>
          <w:tcPr>
            <w:tcW w:w="2130" w:type="dxa"/>
            <w:shd w:val="clear" w:color="auto" w:fill="B8CCE4"/>
            <w:vAlign w:val="center"/>
          </w:tcPr>
          <w:p w14:paraId="5E99AB37" w14:textId="77777777" w:rsidR="009A4B16" w:rsidRPr="00851819" w:rsidRDefault="00DE3DB4" w:rsidP="00F16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>
              <w:rPr>
                <w:rFonts w:ascii="Arial" w:eastAsia="ArialMT" w:hAnsi="Arial" w:cs="Arial"/>
                <w:sz w:val="21"/>
                <w:szCs w:val="21"/>
                <w:lang w:val="sr-Latn-CS"/>
              </w:rPr>
              <w:t>L</w:t>
            </w:r>
            <w:r w:rsidR="00D55A0D" w:rsidRPr="00851819">
              <w:rPr>
                <w:rFonts w:ascii="Arial" w:eastAsia="ArialMT" w:hAnsi="Arial" w:cs="Arial"/>
                <w:sz w:val="21"/>
                <w:szCs w:val="21"/>
                <w:lang w:val="sr-Latn-CS"/>
              </w:rPr>
              <w:t>inija siromaštva po ekviv. odraslom, din. mesečno</w:t>
            </w:r>
          </w:p>
        </w:tc>
        <w:tc>
          <w:tcPr>
            <w:tcW w:w="852" w:type="dxa"/>
            <w:shd w:val="clear" w:color="auto" w:fill="B8CCE4"/>
            <w:vAlign w:val="center"/>
          </w:tcPr>
          <w:p w14:paraId="484A39F7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7.401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629EA287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8.022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7ACE0129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8.544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4C0F8638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9.483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0A9CE3CB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10.223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3FDBA73B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11.020</w:t>
            </w:r>
          </w:p>
        </w:tc>
        <w:tc>
          <w:tcPr>
            <w:tcW w:w="1091" w:type="dxa"/>
            <w:shd w:val="clear" w:color="auto" w:fill="B8CCE4"/>
            <w:vAlign w:val="center"/>
          </w:tcPr>
          <w:p w14:paraId="68AB5D05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11.340</w:t>
            </w:r>
          </w:p>
        </w:tc>
      </w:tr>
      <w:tr w:rsidR="009A4B16" w:rsidRPr="00851819" w14:paraId="52605FD0" w14:textId="77777777" w:rsidTr="00BB6A3D">
        <w:trPr>
          <w:trHeight w:val="397"/>
        </w:trPr>
        <w:tc>
          <w:tcPr>
            <w:tcW w:w="2130" w:type="dxa"/>
            <w:shd w:val="clear" w:color="auto" w:fill="auto"/>
            <w:vAlign w:val="center"/>
          </w:tcPr>
          <w:p w14:paraId="0C79D0BF" w14:textId="77777777" w:rsidR="009A4B16" w:rsidRPr="00851819" w:rsidRDefault="00DE3DB4" w:rsidP="00F16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S</w:t>
            </w:r>
            <w:r w:rsidR="00D55A0D"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 xml:space="preserve">topa siromaštva (procenat siromašnih)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49DAFF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6,1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463378A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6,9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D5666DF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9,2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6B56CA1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6,8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9151A75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8,8</w:t>
            </w:r>
          </w:p>
        </w:tc>
        <w:tc>
          <w:tcPr>
            <w:tcW w:w="1003" w:type="dxa"/>
            <w:vAlign w:val="center"/>
          </w:tcPr>
          <w:p w14:paraId="59A4B64C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8,6</w:t>
            </w:r>
          </w:p>
        </w:tc>
        <w:tc>
          <w:tcPr>
            <w:tcW w:w="1091" w:type="dxa"/>
            <w:vAlign w:val="center"/>
          </w:tcPr>
          <w:p w14:paraId="1EF25981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8,9</w:t>
            </w:r>
          </w:p>
        </w:tc>
      </w:tr>
      <w:tr w:rsidR="009A4B16" w:rsidRPr="00851819" w14:paraId="24363C0D" w14:textId="77777777" w:rsidTr="00BB6A3D">
        <w:trPr>
          <w:trHeight w:val="397"/>
        </w:trPr>
        <w:tc>
          <w:tcPr>
            <w:tcW w:w="2130" w:type="dxa"/>
            <w:shd w:val="clear" w:color="auto" w:fill="B8CCE4"/>
            <w:vAlign w:val="center"/>
          </w:tcPr>
          <w:p w14:paraId="56488002" w14:textId="77777777" w:rsidR="009A4B16" w:rsidRPr="00851819" w:rsidRDefault="00DE3DB4" w:rsidP="00F168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B</w:t>
            </w:r>
            <w:r w:rsidR="00D55A0D"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roj siromašnih u 000</w:t>
            </w:r>
          </w:p>
        </w:tc>
        <w:tc>
          <w:tcPr>
            <w:tcW w:w="852" w:type="dxa"/>
            <w:shd w:val="clear" w:color="auto" w:fill="B8CCE4"/>
            <w:vAlign w:val="center"/>
          </w:tcPr>
          <w:p w14:paraId="3663B793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470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2A865CFE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525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7FAA46E6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686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426EE276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499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32F29AEA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642</w:t>
            </w:r>
          </w:p>
        </w:tc>
        <w:tc>
          <w:tcPr>
            <w:tcW w:w="1003" w:type="dxa"/>
            <w:shd w:val="clear" w:color="auto" w:fill="B8CCE4"/>
            <w:vAlign w:val="center"/>
          </w:tcPr>
          <w:p w14:paraId="202DD8E1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610</w:t>
            </w:r>
          </w:p>
        </w:tc>
        <w:tc>
          <w:tcPr>
            <w:tcW w:w="1091" w:type="dxa"/>
            <w:shd w:val="clear" w:color="auto" w:fill="B8CCE4"/>
            <w:vAlign w:val="center"/>
          </w:tcPr>
          <w:p w14:paraId="19E5E95C" w14:textId="77777777" w:rsidR="009A4B16" w:rsidRPr="00851819" w:rsidRDefault="00D55A0D" w:rsidP="00BB6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sr-Latn-CS"/>
              </w:rPr>
            </w:pPr>
            <w:r w:rsidRPr="00851819">
              <w:rPr>
                <w:rFonts w:ascii="Arial" w:hAnsi="Arial" w:cs="Arial"/>
                <w:bCs/>
                <w:sz w:val="21"/>
                <w:szCs w:val="21"/>
                <w:lang w:val="sr-Latn-CS"/>
              </w:rPr>
              <w:t>627</w:t>
            </w:r>
          </w:p>
        </w:tc>
      </w:tr>
    </w:tbl>
    <w:p w14:paraId="4FAA7917" w14:textId="77777777" w:rsidR="009A4B16" w:rsidRPr="00BB6A3D" w:rsidRDefault="00D55A0D" w:rsidP="00BB6A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BB6A3D">
        <w:rPr>
          <w:rFonts w:ascii="Arial" w:hAnsi="Arial" w:cs="Arial"/>
          <w:bCs/>
          <w:sz w:val="18"/>
          <w:szCs w:val="18"/>
          <w:lang w:val="sr-Latn-CS"/>
        </w:rPr>
        <w:t>Izvor: Siromaštvo u Republici Srbiji 2008-2010, LP20, 29.4.2011, RZS, obrade Anketa o potrošnji domaćinstava 2011, 2012,  2013. i 2014, RZS.</w:t>
      </w:r>
    </w:p>
    <w:p w14:paraId="59F4544D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0D52EBDC" w14:textId="77777777" w:rsidR="0029082B" w:rsidRPr="00851819" w:rsidRDefault="007E37BF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Relativno brz e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konomski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rast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Srbije od 2000. do 2008. godine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doneo je smanjenje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siromaštva, tako da 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stopa siromaštva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smanjena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na 6,1% u 2008. godini.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Ali, još te 2008.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počinje ekonomska kriza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, te se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životni standard stanovništva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postepeno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smanjuje.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Kao naličje ovog procesa povećava se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stopa siromaštva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tokom </w:t>
      </w:r>
      <w:r w:rsidR="0095203A">
        <w:rPr>
          <w:rFonts w:ascii="Arial" w:hAnsi="Arial" w:cs="Arial"/>
          <w:bCs/>
          <w:sz w:val="21"/>
          <w:szCs w:val="21"/>
          <w:lang w:val="sr-Latn-CS"/>
        </w:rPr>
        <w:t>narednih</w:t>
      </w:r>
      <w:r w:rsidR="0095203A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godina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–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na 6,9% u 2009.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i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9,2% u 2010. godini.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>Godina</w:t>
      </w:r>
      <w:r w:rsidR="00DE3DB4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2011.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donosi predah i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stopa siromaštva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o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pada na 6,8%,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ali je veliki </w:t>
      </w:r>
      <w:r w:rsidRPr="00124DE0">
        <w:rPr>
          <w:rFonts w:ascii="Arial" w:hAnsi="Arial" w:cs="Arial"/>
          <w:bCs/>
          <w:sz w:val="21"/>
          <w:szCs w:val="21"/>
          <w:lang w:val="sr-Latn-CS"/>
        </w:rPr>
        <w:t>podbačaj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žetve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u 2012. godini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doneo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povećanje stope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na 8,8%. Tokom 2013.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i 2014.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siromaštvo je ostalo nepromenjeno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.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 </w:t>
      </w:r>
      <w:r w:rsidR="001118AB" w:rsidRPr="00851819">
        <w:rPr>
          <w:rFonts w:ascii="Arial" w:hAnsi="Arial" w:cs="Arial"/>
          <w:bCs/>
          <w:sz w:val="21"/>
          <w:szCs w:val="21"/>
          <w:lang w:val="sr-Latn-CS"/>
        </w:rPr>
        <w:t xml:space="preserve">Broj siromašnih kretao se tokom ovih godina između 470 i 686 hiljada.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Globalno posmatrano, </w:t>
      </w:r>
      <w:r w:rsidR="0029082B" w:rsidRPr="00851819">
        <w:rPr>
          <w:rFonts w:ascii="Arial" w:hAnsi="Arial" w:cs="Arial"/>
          <w:bCs/>
          <w:sz w:val="21"/>
          <w:szCs w:val="21"/>
          <w:lang w:val="sr-Latn-CS"/>
        </w:rPr>
        <w:t xml:space="preserve">poslednja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ekonomska kriza donela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je </w:t>
      </w:r>
      <w:r w:rsidR="0029082B" w:rsidRPr="00851819">
        <w:rPr>
          <w:rFonts w:ascii="Arial" w:hAnsi="Arial" w:cs="Arial"/>
          <w:bCs/>
          <w:sz w:val="21"/>
          <w:szCs w:val="21"/>
          <w:lang w:val="sr-Latn-CS"/>
        </w:rPr>
        <w:t xml:space="preserve">vidljiv, ali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 xml:space="preserve">ne i </w:t>
      </w:r>
      <w:r w:rsidR="0029082B" w:rsidRPr="00851819">
        <w:rPr>
          <w:rFonts w:ascii="Arial" w:hAnsi="Arial" w:cs="Arial"/>
          <w:bCs/>
          <w:sz w:val="21"/>
          <w:szCs w:val="21"/>
          <w:lang w:val="sr-Latn-CS"/>
        </w:rPr>
        <w:t xml:space="preserve">veliki </w:t>
      </w:r>
      <w:r w:rsidR="00D55A0D" w:rsidRPr="00851819">
        <w:rPr>
          <w:rFonts w:ascii="Arial" w:hAnsi="Arial" w:cs="Arial"/>
          <w:bCs/>
          <w:sz w:val="21"/>
          <w:szCs w:val="21"/>
          <w:lang w:val="sr-Latn-CS"/>
        </w:rPr>
        <w:t>rast siromaštva</w:t>
      </w:r>
      <w:r w:rsidR="0029082B" w:rsidRPr="00851819">
        <w:rPr>
          <w:rFonts w:ascii="Arial" w:hAnsi="Arial" w:cs="Arial"/>
          <w:bCs/>
          <w:sz w:val="21"/>
          <w:szCs w:val="21"/>
          <w:lang w:val="sr-Latn-CS"/>
        </w:rPr>
        <w:t xml:space="preserve"> u Srbiji</w:t>
      </w:r>
      <w:r w:rsidR="001118AB" w:rsidRPr="00851819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</w:p>
    <w:p w14:paraId="412F2140" w14:textId="77777777" w:rsidR="0029082B" w:rsidRPr="00851819" w:rsidRDefault="0029082B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481B7548" w14:textId="77777777" w:rsidR="009A4B16" w:rsidRPr="00851819" w:rsidRDefault="0029082B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Nepovoljno je, međutim, što Srbija i dalje ne uspeva da izađe iz višegodišnje ekonomske stagnacije </w:t>
      </w:r>
      <w:r w:rsidRPr="00124DE0">
        <w:rPr>
          <w:rFonts w:ascii="Arial" w:hAnsi="Arial" w:cs="Arial"/>
          <w:bCs/>
          <w:sz w:val="21"/>
          <w:szCs w:val="21"/>
          <w:lang w:val="sr-Latn-CS"/>
        </w:rPr>
        <w:t>i da na toj osnovi dođe do smanjenja siromaštva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. Štaviše, zbog verovatnog zaostajanja lične potrošnje u doglednoj budućnosti</w:t>
      </w:r>
      <w:r w:rsidRPr="002828A1">
        <w:rPr>
          <w:rFonts w:ascii="Arial" w:hAnsi="Arial" w:cs="Arial"/>
          <w:bCs/>
          <w:sz w:val="21"/>
          <w:szCs w:val="21"/>
          <w:lang w:val="sr-Latn-CS"/>
        </w:rPr>
        <w:t xml:space="preserve"> (deo toga 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smanjenje plata u javnom sektoru i penzija</w:t>
      </w:r>
      <w:r w:rsidRPr="002828A1">
        <w:rPr>
          <w:rFonts w:ascii="Arial" w:hAnsi="Arial" w:cs="Arial"/>
          <w:bCs/>
          <w:sz w:val="21"/>
          <w:szCs w:val="21"/>
          <w:lang w:val="sr-Latn-CS"/>
        </w:rPr>
        <w:t>)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, može se očekivati određeno povećanje siromaštva čak i ukoliko dođe do umerenog privrednog rasta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 ‒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Srbija je dugo podsticala ličnu potrošnju i živela iznad svojih mogućnosti, što je dovelo do povećanja spoljne zaduženosti. Da i Srbija ne bi došla u opasnost kao Grčka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>,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 potrebno je promeniti orijentaciju i obuzdavati rast lične potrošnje preko realnih ekonomskih mogućnosti zemlje.</w:t>
      </w:r>
    </w:p>
    <w:p w14:paraId="606F2D9C" w14:textId="77777777" w:rsidR="0029082B" w:rsidRPr="00851819" w:rsidRDefault="0029082B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2435AD70" w14:textId="77777777" w:rsidR="00F775F0" w:rsidRPr="00851819" w:rsidRDefault="00D55A0D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  <w:r w:rsidRPr="00851819">
        <w:rPr>
          <w:rFonts w:ascii="Arial" w:hAnsi="Arial" w:cs="Arial"/>
          <w:bCs/>
          <w:sz w:val="21"/>
          <w:szCs w:val="21"/>
          <w:lang w:val="sr-Latn-CS"/>
        </w:rPr>
        <w:t>Važan faktor relativno umerenog siromaštva u Srbiji je ujednačenost potrošnje stanovništva: kako smo videti, Đini koeficijent, koji meri nejednakost, vrlo je nizak (0,25 do 0,26)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.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Uz 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postojeći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bruto društveni proizvod i 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 xml:space="preserve">postojeću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 xml:space="preserve">liniju siromaštva, </w:t>
      </w:r>
      <w:r w:rsidR="00DE3DB4">
        <w:rPr>
          <w:rFonts w:ascii="Arial" w:hAnsi="Arial" w:cs="Arial"/>
          <w:bCs/>
          <w:sz w:val="21"/>
          <w:szCs w:val="21"/>
          <w:lang w:val="sr-Latn-CS"/>
        </w:rPr>
        <w:t xml:space="preserve">nejednakost je manja ukoliko je </w:t>
      </w:r>
      <w:r w:rsidRPr="00851819">
        <w:rPr>
          <w:rFonts w:ascii="Arial" w:hAnsi="Arial" w:cs="Arial"/>
          <w:bCs/>
          <w:sz w:val="21"/>
          <w:szCs w:val="21"/>
          <w:lang w:val="sr-Latn-CS"/>
        </w:rPr>
        <w:t>siromaštvo niže</w:t>
      </w:r>
      <w:r w:rsidR="00F775F0" w:rsidRPr="00851819">
        <w:rPr>
          <w:rFonts w:ascii="Arial" w:hAnsi="Arial" w:cs="Arial"/>
          <w:bCs/>
          <w:sz w:val="21"/>
          <w:szCs w:val="21"/>
          <w:lang w:val="sr-Latn-CS"/>
        </w:rPr>
        <w:t>.</w:t>
      </w:r>
    </w:p>
    <w:p w14:paraId="3A4B6D84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  <w:lang w:val="sr-Latn-CS"/>
        </w:rPr>
      </w:pPr>
    </w:p>
    <w:p w14:paraId="7AB533E5" w14:textId="77777777" w:rsidR="009A4B16" w:rsidRPr="002828A1" w:rsidRDefault="00F775F0" w:rsidP="00F168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2828A1">
        <w:rPr>
          <w:rFonts w:ascii="Arial" w:hAnsi="Arial" w:cs="Arial"/>
          <w:sz w:val="21"/>
          <w:szCs w:val="21"/>
          <w:lang w:val="sr-Latn-CS"/>
        </w:rPr>
        <w:t xml:space="preserve">U </w:t>
      </w:r>
      <w:r w:rsidR="00DE3DB4">
        <w:rPr>
          <w:rFonts w:ascii="Arial" w:hAnsi="Arial" w:cs="Arial"/>
          <w:sz w:val="21"/>
          <w:szCs w:val="21"/>
          <w:lang w:val="sr-Latn-CS"/>
        </w:rPr>
        <w:t xml:space="preserve">Tabeli 15. </w:t>
      </w:r>
      <w:r w:rsidR="00D55A0D" w:rsidRPr="002828A1">
        <w:rPr>
          <w:rFonts w:ascii="Arial" w:hAnsi="Arial" w:cs="Arial"/>
          <w:sz w:val="21"/>
          <w:szCs w:val="21"/>
          <w:lang w:val="sr-Latn-CS"/>
        </w:rPr>
        <w:t xml:space="preserve">prikazane </w:t>
      </w:r>
      <w:r w:rsidRPr="002828A1">
        <w:rPr>
          <w:rFonts w:ascii="Arial" w:hAnsi="Arial" w:cs="Arial"/>
          <w:sz w:val="21"/>
          <w:szCs w:val="21"/>
          <w:lang w:val="sr-Latn-CS"/>
        </w:rPr>
        <w:t xml:space="preserve">su </w:t>
      </w:r>
      <w:r w:rsidR="00D55A0D" w:rsidRPr="002828A1">
        <w:rPr>
          <w:rFonts w:ascii="Arial" w:hAnsi="Arial" w:cs="Arial"/>
          <w:sz w:val="21"/>
          <w:szCs w:val="21"/>
          <w:lang w:val="sr-Latn-CS"/>
        </w:rPr>
        <w:t>socioekonomske i demografske kategorije stanovništva sa najvećom stopom siromaštva u posmatranom periodu</w:t>
      </w:r>
      <w:r w:rsidRPr="002828A1">
        <w:rPr>
          <w:rFonts w:ascii="Arial" w:hAnsi="Arial" w:cs="Arial"/>
          <w:sz w:val="21"/>
          <w:szCs w:val="21"/>
          <w:lang w:val="sr-Latn-CS"/>
        </w:rPr>
        <w:t>, odnosno sa najvećim rizikom siromaštva</w:t>
      </w:r>
      <w:r w:rsidR="00D55A0D" w:rsidRPr="002828A1">
        <w:rPr>
          <w:rFonts w:ascii="Arial" w:hAnsi="Arial" w:cs="Arial"/>
          <w:sz w:val="21"/>
          <w:szCs w:val="21"/>
          <w:lang w:val="sr-Latn-CS"/>
        </w:rPr>
        <w:t>:</w:t>
      </w:r>
    </w:p>
    <w:p w14:paraId="1494DB52" w14:textId="77777777" w:rsidR="009A4B16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2DAE8779" w14:textId="77777777" w:rsidR="00E14C39" w:rsidRPr="00851819" w:rsidRDefault="00E14C39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1B8FE6A8" w14:textId="77777777" w:rsidR="00B03F77" w:rsidRDefault="00B03F77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</w:p>
    <w:p w14:paraId="7A906942" w14:textId="77777777" w:rsidR="009A4B16" w:rsidRPr="00851819" w:rsidRDefault="002144B1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lastRenderedPageBreak/>
        <w:t>Tabela 15</w:t>
      </w:r>
      <w:r w:rsidR="00D55A0D" w:rsidRPr="00851819">
        <w:rPr>
          <w:rFonts w:ascii="Arial" w:hAnsi="Arial" w:cs="Arial"/>
          <w:sz w:val="21"/>
          <w:szCs w:val="21"/>
          <w:lang w:val="sr-Latn-CS"/>
        </w:rPr>
        <w:t>.</w:t>
      </w:r>
    </w:p>
    <w:p w14:paraId="11230BF4" w14:textId="77777777" w:rsidR="009A4B16" w:rsidRDefault="00D55A0D" w:rsidP="00BB6A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 w:rsidRPr="00851819">
        <w:rPr>
          <w:rFonts w:ascii="Arial" w:hAnsi="Arial" w:cs="Arial"/>
          <w:sz w:val="21"/>
          <w:szCs w:val="21"/>
          <w:lang w:val="sr-Latn-CS"/>
        </w:rPr>
        <w:t>Stope siromaštva najrizičnijih grupa, 2008-201</w:t>
      </w:r>
      <w:r w:rsidR="00F775F0" w:rsidRPr="00851819">
        <w:rPr>
          <w:rFonts w:ascii="Arial" w:hAnsi="Arial" w:cs="Arial"/>
          <w:sz w:val="21"/>
          <w:szCs w:val="21"/>
          <w:lang w:val="sr-Latn-CS"/>
        </w:rPr>
        <w:t>4</w:t>
      </w:r>
      <w:r w:rsidRPr="00851819">
        <w:rPr>
          <w:rFonts w:ascii="Arial" w:hAnsi="Arial" w:cs="Arial"/>
          <w:sz w:val="21"/>
          <w:szCs w:val="21"/>
          <w:lang w:val="sr-Latn-CS"/>
        </w:rPr>
        <w:t>, u %</w:t>
      </w:r>
    </w:p>
    <w:p w14:paraId="088E569A" w14:textId="77777777" w:rsidR="00BB6A3D" w:rsidRPr="00BB6A3D" w:rsidRDefault="00BB6A3D" w:rsidP="00BB6A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6"/>
          <w:szCs w:val="6"/>
          <w:lang w:val="sr-Latn-C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880"/>
        <w:gridCol w:w="880"/>
        <w:gridCol w:w="1016"/>
        <w:gridCol w:w="899"/>
        <w:gridCol w:w="860"/>
        <w:gridCol w:w="841"/>
        <w:gridCol w:w="904"/>
      </w:tblGrid>
      <w:tr w:rsidR="00E05A88" w:rsidRPr="00851819" w14:paraId="257495EF" w14:textId="77777777" w:rsidTr="00BB6A3D">
        <w:trPr>
          <w:trHeight w:val="397"/>
        </w:trPr>
        <w:tc>
          <w:tcPr>
            <w:tcW w:w="2810" w:type="dxa"/>
            <w:shd w:val="clear" w:color="auto" w:fill="95B3D7"/>
            <w:noWrap/>
            <w:vAlign w:val="center"/>
            <w:hideMark/>
          </w:tcPr>
          <w:p w14:paraId="579D05F2" w14:textId="77777777" w:rsidR="00E05A88" w:rsidRPr="002828A1" w:rsidRDefault="00E05A88" w:rsidP="00F1683F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Latn-CS"/>
              </w:rPr>
            </w:pPr>
            <w:r w:rsidRPr="002828A1">
              <w:rPr>
                <w:rFonts w:ascii="Arial" w:eastAsia="Times New Roman" w:hAnsi="Arial" w:cs="Arial"/>
                <w:sz w:val="21"/>
                <w:szCs w:val="21"/>
                <w:lang w:val="sr-Latn-CS"/>
              </w:rPr>
              <w:t> </w:t>
            </w:r>
          </w:p>
        </w:tc>
        <w:tc>
          <w:tcPr>
            <w:tcW w:w="880" w:type="dxa"/>
            <w:shd w:val="clear" w:color="auto" w:fill="95B3D7"/>
            <w:noWrap/>
            <w:vAlign w:val="center"/>
            <w:hideMark/>
          </w:tcPr>
          <w:p w14:paraId="3DF9F100" w14:textId="77777777" w:rsidR="00E05A88" w:rsidRPr="00BB6A3D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B6A3D">
              <w:rPr>
                <w:rFonts w:ascii="Arial" w:eastAsia="Times New Roman" w:hAnsi="Arial" w:cs="Arial"/>
                <w:b/>
                <w:sz w:val="21"/>
                <w:szCs w:val="21"/>
              </w:rPr>
              <w:t>2008</w:t>
            </w:r>
            <w:r w:rsidR="00DE3DB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80" w:type="dxa"/>
            <w:shd w:val="clear" w:color="auto" w:fill="95B3D7"/>
            <w:noWrap/>
            <w:vAlign w:val="center"/>
            <w:hideMark/>
          </w:tcPr>
          <w:p w14:paraId="389F6FE8" w14:textId="77777777" w:rsidR="00E05A88" w:rsidRPr="00BB6A3D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B6A3D">
              <w:rPr>
                <w:rFonts w:ascii="Arial" w:eastAsia="Times New Roman" w:hAnsi="Arial" w:cs="Arial"/>
                <w:b/>
                <w:sz w:val="21"/>
                <w:szCs w:val="21"/>
              </w:rPr>
              <w:t>2009</w:t>
            </w:r>
            <w:r w:rsidR="00DE3DB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016" w:type="dxa"/>
            <w:shd w:val="clear" w:color="auto" w:fill="95B3D7"/>
            <w:noWrap/>
            <w:vAlign w:val="center"/>
            <w:hideMark/>
          </w:tcPr>
          <w:p w14:paraId="5794E821" w14:textId="77777777" w:rsidR="00E05A88" w:rsidRPr="00BB6A3D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B6A3D">
              <w:rPr>
                <w:rFonts w:ascii="Arial" w:eastAsia="Times New Roman" w:hAnsi="Arial" w:cs="Arial"/>
                <w:b/>
                <w:sz w:val="21"/>
                <w:szCs w:val="21"/>
              </w:rPr>
              <w:t>2010</w:t>
            </w:r>
            <w:r w:rsidR="00DE3DB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99" w:type="dxa"/>
            <w:shd w:val="clear" w:color="auto" w:fill="95B3D7"/>
            <w:noWrap/>
            <w:vAlign w:val="center"/>
            <w:hideMark/>
          </w:tcPr>
          <w:p w14:paraId="069A1375" w14:textId="77777777" w:rsidR="00E05A88" w:rsidRPr="00BB6A3D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B6A3D">
              <w:rPr>
                <w:rFonts w:ascii="Arial" w:eastAsia="Times New Roman" w:hAnsi="Arial" w:cs="Arial"/>
                <w:b/>
                <w:sz w:val="21"/>
                <w:szCs w:val="21"/>
              </w:rPr>
              <w:t>2011</w:t>
            </w:r>
            <w:r w:rsidR="00DE3DB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60" w:type="dxa"/>
            <w:shd w:val="clear" w:color="auto" w:fill="95B3D7"/>
            <w:noWrap/>
            <w:vAlign w:val="center"/>
            <w:hideMark/>
          </w:tcPr>
          <w:p w14:paraId="5FE91E55" w14:textId="77777777" w:rsidR="00E05A88" w:rsidRPr="00BB6A3D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B6A3D">
              <w:rPr>
                <w:rFonts w:ascii="Arial" w:eastAsia="Times New Roman" w:hAnsi="Arial" w:cs="Arial"/>
                <w:b/>
                <w:sz w:val="21"/>
                <w:szCs w:val="21"/>
              </w:rPr>
              <w:t>2012</w:t>
            </w:r>
            <w:r w:rsidR="00DE3DB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41" w:type="dxa"/>
            <w:shd w:val="clear" w:color="auto" w:fill="95B3D7"/>
            <w:noWrap/>
            <w:vAlign w:val="center"/>
            <w:hideMark/>
          </w:tcPr>
          <w:p w14:paraId="0D3D90E1" w14:textId="77777777" w:rsidR="00E05A88" w:rsidRPr="00BB6A3D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B6A3D">
              <w:rPr>
                <w:rFonts w:ascii="Arial" w:eastAsia="Times New Roman" w:hAnsi="Arial" w:cs="Arial"/>
                <w:b/>
                <w:sz w:val="21"/>
                <w:szCs w:val="21"/>
              </w:rPr>
              <w:t>2013</w:t>
            </w:r>
            <w:r w:rsidR="00DE3DB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904" w:type="dxa"/>
            <w:shd w:val="clear" w:color="auto" w:fill="95B3D7"/>
            <w:vAlign w:val="center"/>
          </w:tcPr>
          <w:p w14:paraId="0DEBADBB" w14:textId="77777777" w:rsidR="00E05A88" w:rsidRPr="00BB6A3D" w:rsidRDefault="00720B45" w:rsidP="00BB6A3D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BB6A3D">
              <w:rPr>
                <w:rFonts w:ascii="Arial" w:eastAsia="Times New Roman" w:hAnsi="Arial" w:cs="Arial"/>
                <w:b/>
                <w:sz w:val="21"/>
                <w:szCs w:val="21"/>
              </w:rPr>
              <w:t>2014</w:t>
            </w:r>
            <w:r w:rsidR="00DE3DB4">
              <w:rPr>
                <w:rFonts w:ascii="Arial" w:eastAsia="Times New Roman" w:hAnsi="Arial" w:cs="Arial"/>
                <w:b/>
                <w:sz w:val="21"/>
                <w:szCs w:val="21"/>
              </w:rPr>
              <w:t>.</w:t>
            </w:r>
          </w:p>
        </w:tc>
      </w:tr>
      <w:tr w:rsidR="00E05A88" w:rsidRPr="00851819" w14:paraId="3E95B44A" w14:textId="77777777" w:rsidTr="00BB6A3D">
        <w:trPr>
          <w:trHeight w:val="397"/>
        </w:trPr>
        <w:tc>
          <w:tcPr>
            <w:tcW w:w="2810" w:type="dxa"/>
            <w:shd w:val="clear" w:color="auto" w:fill="B8CCE4"/>
            <w:noWrap/>
            <w:vAlign w:val="center"/>
            <w:hideMark/>
          </w:tcPr>
          <w:p w14:paraId="04A8B1BE" w14:textId="77777777" w:rsidR="00E05A88" w:rsidRPr="00851819" w:rsidRDefault="00DE3DB4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V</w:t>
            </w:r>
            <w:r w:rsidR="00E05A88" w:rsidRPr="00851819">
              <w:rPr>
                <w:rFonts w:ascii="Arial" w:eastAsia="Times New Roman" w:hAnsi="Arial" w:cs="Arial"/>
                <w:sz w:val="21"/>
                <w:szCs w:val="21"/>
              </w:rPr>
              <w:t>angradsko područje</w:t>
            </w:r>
          </w:p>
        </w:tc>
        <w:tc>
          <w:tcPr>
            <w:tcW w:w="880" w:type="dxa"/>
            <w:shd w:val="clear" w:color="auto" w:fill="B8CCE4"/>
            <w:noWrap/>
            <w:vAlign w:val="center"/>
            <w:hideMark/>
          </w:tcPr>
          <w:p w14:paraId="56B7772D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7,5</w:t>
            </w:r>
          </w:p>
        </w:tc>
        <w:tc>
          <w:tcPr>
            <w:tcW w:w="880" w:type="dxa"/>
            <w:shd w:val="clear" w:color="auto" w:fill="B8CCE4"/>
            <w:noWrap/>
            <w:vAlign w:val="center"/>
            <w:hideMark/>
          </w:tcPr>
          <w:p w14:paraId="5763D92E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9,6</w:t>
            </w:r>
          </w:p>
        </w:tc>
        <w:tc>
          <w:tcPr>
            <w:tcW w:w="1016" w:type="dxa"/>
            <w:shd w:val="clear" w:color="auto" w:fill="B8CCE4"/>
            <w:noWrap/>
            <w:vAlign w:val="center"/>
            <w:hideMark/>
          </w:tcPr>
          <w:p w14:paraId="2C8F9FC4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13,6</w:t>
            </w:r>
          </w:p>
        </w:tc>
        <w:tc>
          <w:tcPr>
            <w:tcW w:w="899" w:type="dxa"/>
            <w:shd w:val="clear" w:color="auto" w:fill="B8CCE4"/>
            <w:noWrap/>
            <w:vAlign w:val="center"/>
            <w:hideMark/>
          </w:tcPr>
          <w:p w14:paraId="1CF0E4D1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9,4</w:t>
            </w:r>
          </w:p>
        </w:tc>
        <w:tc>
          <w:tcPr>
            <w:tcW w:w="860" w:type="dxa"/>
            <w:shd w:val="clear" w:color="auto" w:fill="B8CCE4"/>
            <w:noWrap/>
            <w:vAlign w:val="center"/>
            <w:hideMark/>
          </w:tcPr>
          <w:p w14:paraId="6086EBC2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12,3</w:t>
            </w:r>
          </w:p>
        </w:tc>
        <w:tc>
          <w:tcPr>
            <w:tcW w:w="841" w:type="dxa"/>
            <w:shd w:val="clear" w:color="auto" w:fill="B8CCE4"/>
            <w:noWrap/>
            <w:vAlign w:val="center"/>
            <w:hideMark/>
          </w:tcPr>
          <w:p w14:paraId="330F5668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12,8</w:t>
            </w:r>
          </w:p>
        </w:tc>
        <w:tc>
          <w:tcPr>
            <w:tcW w:w="904" w:type="dxa"/>
            <w:shd w:val="clear" w:color="auto" w:fill="B8CCE4"/>
            <w:vAlign w:val="center"/>
          </w:tcPr>
          <w:p w14:paraId="6E72A0F4" w14:textId="77777777" w:rsidR="00720B45" w:rsidRPr="00851819" w:rsidRDefault="00720B45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12,2</w:t>
            </w:r>
          </w:p>
        </w:tc>
      </w:tr>
      <w:tr w:rsidR="00E05A88" w:rsidRPr="00851819" w14:paraId="4A58751F" w14:textId="77777777" w:rsidTr="00BB6A3D">
        <w:trPr>
          <w:trHeight w:val="397"/>
        </w:trPr>
        <w:tc>
          <w:tcPr>
            <w:tcW w:w="2810" w:type="dxa"/>
            <w:shd w:val="clear" w:color="auto" w:fill="auto"/>
            <w:noWrap/>
            <w:vAlign w:val="center"/>
            <w:hideMark/>
          </w:tcPr>
          <w:p w14:paraId="10325A45" w14:textId="77777777" w:rsidR="00E05A88" w:rsidRPr="00851819" w:rsidRDefault="00DE3DB4" w:rsidP="00F1683F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  <w:r w:rsidR="00E05A88" w:rsidRPr="00851819">
              <w:rPr>
                <w:rFonts w:ascii="Arial" w:eastAsia="Times New Roman" w:hAnsi="Arial" w:cs="Arial"/>
                <w:sz w:val="21"/>
                <w:szCs w:val="21"/>
              </w:rPr>
              <w:t>stočna-jugoistočna Srbija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BDC54E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474309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DE39A4A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4FA309E9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11,7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C00164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17,7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D0239B0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18,0</w:t>
            </w:r>
          </w:p>
        </w:tc>
        <w:tc>
          <w:tcPr>
            <w:tcW w:w="904" w:type="dxa"/>
            <w:vAlign w:val="center"/>
          </w:tcPr>
          <w:p w14:paraId="496BDF0B" w14:textId="77777777" w:rsidR="00720B45" w:rsidRPr="00851819" w:rsidRDefault="00720B45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16,4</w:t>
            </w:r>
          </w:p>
        </w:tc>
      </w:tr>
      <w:tr w:rsidR="00E05A88" w:rsidRPr="00851819" w14:paraId="4C981C2B" w14:textId="77777777" w:rsidTr="00BB6A3D">
        <w:trPr>
          <w:trHeight w:val="397"/>
        </w:trPr>
        <w:tc>
          <w:tcPr>
            <w:tcW w:w="2810" w:type="dxa"/>
            <w:shd w:val="clear" w:color="auto" w:fill="B8CCE4"/>
            <w:vAlign w:val="center"/>
            <w:hideMark/>
          </w:tcPr>
          <w:p w14:paraId="3E921515" w14:textId="77777777" w:rsidR="00E05A88" w:rsidRPr="00851819" w:rsidRDefault="00DE3DB4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N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ezaposlen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nosilac</w:t>
            </w:r>
          </w:p>
        </w:tc>
        <w:tc>
          <w:tcPr>
            <w:tcW w:w="880" w:type="dxa"/>
            <w:shd w:val="clear" w:color="auto" w:fill="B8CCE4"/>
            <w:vAlign w:val="center"/>
            <w:hideMark/>
          </w:tcPr>
          <w:p w14:paraId="053F92E9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80" w:type="dxa"/>
            <w:shd w:val="clear" w:color="auto" w:fill="B8CCE4"/>
            <w:vAlign w:val="center"/>
            <w:hideMark/>
          </w:tcPr>
          <w:p w14:paraId="72F3A4AC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1016" w:type="dxa"/>
            <w:shd w:val="clear" w:color="auto" w:fill="B8CCE4"/>
            <w:vAlign w:val="center"/>
            <w:hideMark/>
          </w:tcPr>
          <w:p w14:paraId="080144E3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99" w:type="dxa"/>
            <w:shd w:val="clear" w:color="auto" w:fill="B8CCE4"/>
            <w:vAlign w:val="center"/>
            <w:hideMark/>
          </w:tcPr>
          <w:p w14:paraId="33BC693F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17,1</w:t>
            </w:r>
          </w:p>
        </w:tc>
        <w:tc>
          <w:tcPr>
            <w:tcW w:w="860" w:type="dxa"/>
            <w:shd w:val="clear" w:color="auto" w:fill="B8CCE4"/>
            <w:vAlign w:val="center"/>
            <w:hideMark/>
          </w:tcPr>
          <w:p w14:paraId="5E1E52E0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841" w:type="dxa"/>
            <w:shd w:val="clear" w:color="auto" w:fill="B8CCE4"/>
            <w:vAlign w:val="center"/>
            <w:hideMark/>
          </w:tcPr>
          <w:p w14:paraId="4C5E5608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20,4</w:t>
            </w:r>
          </w:p>
        </w:tc>
        <w:tc>
          <w:tcPr>
            <w:tcW w:w="904" w:type="dxa"/>
            <w:shd w:val="clear" w:color="auto" w:fill="B8CCE4"/>
            <w:vAlign w:val="center"/>
          </w:tcPr>
          <w:p w14:paraId="5A175802" w14:textId="77777777" w:rsidR="00E05A88" w:rsidRPr="00851819" w:rsidRDefault="00720B45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23,7</w:t>
            </w:r>
          </w:p>
        </w:tc>
      </w:tr>
      <w:tr w:rsidR="00E05A88" w:rsidRPr="00851819" w14:paraId="43AF068A" w14:textId="77777777" w:rsidTr="00BB6A3D">
        <w:trPr>
          <w:trHeight w:val="397"/>
        </w:trPr>
        <w:tc>
          <w:tcPr>
            <w:tcW w:w="2810" w:type="dxa"/>
            <w:shd w:val="clear" w:color="auto" w:fill="auto"/>
            <w:vAlign w:val="center"/>
            <w:hideMark/>
          </w:tcPr>
          <w:p w14:paraId="027D767D" w14:textId="77777777" w:rsidR="00E05A88" w:rsidRPr="00851819" w:rsidRDefault="00DE3DB4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N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ezavršena osnovna škola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nosilac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375D39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0015F2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14,8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56C546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14,2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ADAD88A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16,5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08B1CBE6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19,5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27E7FF03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21,9</w:t>
            </w:r>
          </w:p>
        </w:tc>
        <w:tc>
          <w:tcPr>
            <w:tcW w:w="904" w:type="dxa"/>
            <w:vAlign w:val="center"/>
          </w:tcPr>
          <w:p w14:paraId="0A2EE25F" w14:textId="77777777" w:rsidR="00720B45" w:rsidRPr="00851819" w:rsidRDefault="00720B45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20,2</w:t>
            </w:r>
          </w:p>
        </w:tc>
      </w:tr>
      <w:tr w:rsidR="00E05A88" w:rsidRPr="00851819" w14:paraId="77A4AF6A" w14:textId="77777777" w:rsidTr="00BB6A3D">
        <w:trPr>
          <w:trHeight w:val="397"/>
        </w:trPr>
        <w:tc>
          <w:tcPr>
            <w:tcW w:w="2810" w:type="dxa"/>
            <w:shd w:val="clear" w:color="auto" w:fill="B8CCE4"/>
            <w:vAlign w:val="center"/>
            <w:hideMark/>
          </w:tcPr>
          <w:p w14:paraId="2C9AC688" w14:textId="77777777" w:rsidR="00E05A88" w:rsidRPr="00851819" w:rsidRDefault="00DE3DB4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O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snovna škola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nosilac</w:t>
            </w:r>
          </w:p>
        </w:tc>
        <w:tc>
          <w:tcPr>
            <w:tcW w:w="880" w:type="dxa"/>
            <w:shd w:val="clear" w:color="auto" w:fill="B8CCE4"/>
            <w:vAlign w:val="center"/>
            <w:hideMark/>
          </w:tcPr>
          <w:p w14:paraId="48BF268C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10,5</w:t>
            </w:r>
          </w:p>
        </w:tc>
        <w:tc>
          <w:tcPr>
            <w:tcW w:w="880" w:type="dxa"/>
            <w:shd w:val="clear" w:color="auto" w:fill="B8CCE4"/>
            <w:vAlign w:val="center"/>
            <w:hideMark/>
          </w:tcPr>
          <w:p w14:paraId="6836AC36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9,2</w:t>
            </w:r>
          </w:p>
        </w:tc>
        <w:tc>
          <w:tcPr>
            <w:tcW w:w="1016" w:type="dxa"/>
            <w:shd w:val="clear" w:color="auto" w:fill="B8CCE4"/>
            <w:vAlign w:val="center"/>
            <w:hideMark/>
          </w:tcPr>
          <w:p w14:paraId="14798E47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12,7</w:t>
            </w:r>
          </w:p>
        </w:tc>
        <w:tc>
          <w:tcPr>
            <w:tcW w:w="899" w:type="dxa"/>
            <w:shd w:val="clear" w:color="auto" w:fill="B8CCE4"/>
            <w:vAlign w:val="center"/>
            <w:hideMark/>
          </w:tcPr>
          <w:p w14:paraId="1653FA89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11,1</w:t>
            </w:r>
          </w:p>
        </w:tc>
        <w:tc>
          <w:tcPr>
            <w:tcW w:w="860" w:type="dxa"/>
            <w:shd w:val="clear" w:color="auto" w:fill="B8CCE4"/>
            <w:vAlign w:val="center"/>
            <w:hideMark/>
          </w:tcPr>
          <w:p w14:paraId="2EBF0AD9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15,0</w:t>
            </w:r>
          </w:p>
        </w:tc>
        <w:tc>
          <w:tcPr>
            <w:tcW w:w="841" w:type="dxa"/>
            <w:shd w:val="clear" w:color="auto" w:fill="B8CCE4"/>
            <w:vAlign w:val="center"/>
            <w:hideMark/>
          </w:tcPr>
          <w:p w14:paraId="720FFFB2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15,1</w:t>
            </w:r>
          </w:p>
        </w:tc>
        <w:tc>
          <w:tcPr>
            <w:tcW w:w="904" w:type="dxa"/>
            <w:shd w:val="clear" w:color="auto" w:fill="B8CCE4"/>
            <w:vAlign w:val="center"/>
          </w:tcPr>
          <w:p w14:paraId="6AD139D6" w14:textId="77777777" w:rsidR="00E05A88" w:rsidRPr="00851819" w:rsidRDefault="00720B45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sz w:val="21"/>
                <w:szCs w:val="21"/>
              </w:rPr>
              <w:t>17,5</w:t>
            </w:r>
          </w:p>
        </w:tc>
      </w:tr>
      <w:tr w:rsidR="00E05A88" w:rsidRPr="00851819" w14:paraId="2A42AF20" w14:textId="77777777" w:rsidTr="00BB6A3D">
        <w:trPr>
          <w:trHeight w:val="397"/>
        </w:trPr>
        <w:tc>
          <w:tcPr>
            <w:tcW w:w="2810" w:type="dxa"/>
            <w:shd w:val="clear" w:color="auto" w:fill="auto"/>
            <w:vAlign w:val="center"/>
            <w:hideMark/>
          </w:tcPr>
          <w:p w14:paraId="03EA6C46" w14:textId="77777777" w:rsidR="00E05A88" w:rsidRPr="00851819" w:rsidRDefault="00DE3DB4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Š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estočlana i veća</w:t>
            </w:r>
          </w:p>
          <w:p w14:paraId="53486928" w14:textId="77777777" w:rsidR="00E05A88" w:rsidRPr="00851819" w:rsidRDefault="00E05A88" w:rsidP="00F1683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porodica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F7186C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70A87F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FCF1FF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16,4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7DC7FCE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13,5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11FD634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6D6976F5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16,9</w:t>
            </w:r>
          </w:p>
        </w:tc>
        <w:tc>
          <w:tcPr>
            <w:tcW w:w="904" w:type="dxa"/>
            <w:vAlign w:val="center"/>
          </w:tcPr>
          <w:p w14:paraId="02058EC4" w14:textId="77777777" w:rsidR="00720B45" w:rsidRPr="00851819" w:rsidRDefault="00720B45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17,1</w:t>
            </w:r>
          </w:p>
        </w:tc>
      </w:tr>
      <w:tr w:rsidR="00E05A88" w:rsidRPr="00851819" w14:paraId="746F11E9" w14:textId="77777777" w:rsidTr="00BB6A3D">
        <w:trPr>
          <w:trHeight w:val="397"/>
        </w:trPr>
        <w:tc>
          <w:tcPr>
            <w:tcW w:w="2810" w:type="dxa"/>
            <w:shd w:val="clear" w:color="auto" w:fill="B8CCE4"/>
            <w:vAlign w:val="center"/>
            <w:hideMark/>
          </w:tcPr>
          <w:p w14:paraId="5B4521C3" w14:textId="77777777" w:rsidR="00E05A88" w:rsidRPr="00851819" w:rsidRDefault="00DE3DB4" w:rsidP="00F1683F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D</w:t>
            </w:r>
            <w:r w:rsidR="00E05A88" w:rsidRPr="00851819">
              <w:rPr>
                <w:rFonts w:ascii="Arial" w:eastAsia="Times New Roman" w:hAnsi="Arial" w:cs="Arial"/>
                <w:color w:val="000000"/>
                <w:sz w:val="21"/>
                <w:szCs w:val="21"/>
                <w:lang w:val="sr-Latn-CS"/>
              </w:rPr>
              <w:t>eca 0 – 18</w:t>
            </w:r>
          </w:p>
        </w:tc>
        <w:tc>
          <w:tcPr>
            <w:tcW w:w="880" w:type="dxa"/>
            <w:shd w:val="clear" w:color="auto" w:fill="B8CCE4"/>
            <w:vAlign w:val="center"/>
            <w:hideMark/>
          </w:tcPr>
          <w:p w14:paraId="062D1D18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7,1</w:t>
            </w:r>
          </w:p>
        </w:tc>
        <w:tc>
          <w:tcPr>
            <w:tcW w:w="880" w:type="dxa"/>
            <w:shd w:val="clear" w:color="auto" w:fill="B8CCE4"/>
            <w:vAlign w:val="center"/>
            <w:hideMark/>
          </w:tcPr>
          <w:p w14:paraId="0BC1E0BD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9,3</w:t>
            </w:r>
          </w:p>
        </w:tc>
        <w:tc>
          <w:tcPr>
            <w:tcW w:w="1016" w:type="dxa"/>
            <w:shd w:val="clear" w:color="auto" w:fill="B8CCE4"/>
            <w:vAlign w:val="center"/>
            <w:hideMark/>
          </w:tcPr>
          <w:p w14:paraId="27D75CEC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12,2</w:t>
            </w:r>
          </w:p>
        </w:tc>
        <w:tc>
          <w:tcPr>
            <w:tcW w:w="899" w:type="dxa"/>
            <w:shd w:val="clear" w:color="auto" w:fill="B8CCE4"/>
            <w:vAlign w:val="center"/>
            <w:hideMark/>
          </w:tcPr>
          <w:p w14:paraId="0C148E4C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9,8</w:t>
            </w:r>
          </w:p>
        </w:tc>
        <w:tc>
          <w:tcPr>
            <w:tcW w:w="860" w:type="dxa"/>
            <w:shd w:val="clear" w:color="auto" w:fill="B8CCE4"/>
            <w:vAlign w:val="center"/>
            <w:hideMark/>
          </w:tcPr>
          <w:p w14:paraId="0BA3B4CE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12,3</w:t>
            </w:r>
          </w:p>
        </w:tc>
        <w:tc>
          <w:tcPr>
            <w:tcW w:w="841" w:type="dxa"/>
            <w:shd w:val="clear" w:color="auto" w:fill="B8CCE4"/>
            <w:vAlign w:val="center"/>
            <w:hideMark/>
          </w:tcPr>
          <w:p w14:paraId="225C0958" w14:textId="77777777" w:rsidR="00E05A88" w:rsidRPr="00851819" w:rsidRDefault="00E05A88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904" w:type="dxa"/>
            <w:shd w:val="clear" w:color="auto" w:fill="B8CCE4"/>
            <w:vAlign w:val="center"/>
          </w:tcPr>
          <w:p w14:paraId="3FDF4BE3" w14:textId="77777777" w:rsidR="00E05A88" w:rsidRPr="00851819" w:rsidRDefault="00720B45" w:rsidP="00BB6A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18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12,0</w:t>
            </w:r>
          </w:p>
        </w:tc>
      </w:tr>
    </w:tbl>
    <w:p w14:paraId="640F1EAA" w14:textId="77777777" w:rsidR="009A4B16" w:rsidRPr="00BB6A3D" w:rsidRDefault="00D55A0D" w:rsidP="00BB6A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BB6A3D">
        <w:rPr>
          <w:rFonts w:ascii="Arial" w:hAnsi="Arial" w:cs="Arial"/>
          <w:bCs/>
          <w:sz w:val="18"/>
          <w:szCs w:val="18"/>
          <w:lang w:val="sr-Latn-CS"/>
        </w:rPr>
        <w:t>Izvor: Siromaštvo u Republici Srbiji 2008-2010, LP20, 29.4.2011, RZS; obrade Anketa o po</w:t>
      </w:r>
      <w:r w:rsidR="00720B45" w:rsidRPr="00BB6A3D">
        <w:rPr>
          <w:rFonts w:ascii="Arial" w:hAnsi="Arial" w:cs="Arial"/>
          <w:bCs/>
          <w:sz w:val="18"/>
          <w:szCs w:val="18"/>
          <w:lang w:val="sr-Latn-CS"/>
        </w:rPr>
        <w:t>trošnji domaćinstava 2011, 2012,</w:t>
      </w:r>
      <w:r w:rsidRPr="00BB6A3D">
        <w:rPr>
          <w:rFonts w:ascii="Arial" w:hAnsi="Arial" w:cs="Arial"/>
          <w:bCs/>
          <w:sz w:val="18"/>
          <w:szCs w:val="18"/>
          <w:lang w:val="sr-Latn-CS"/>
        </w:rPr>
        <w:t xml:space="preserve"> 2013</w:t>
      </w:r>
      <w:r w:rsidR="00720B45" w:rsidRPr="00BB6A3D">
        <w:rPr>
          <w:rFonts w:ascii="Arial" w:hAnsi="Arial" w:cs="Arial"/>
          <w:bCs/>
          <w:sz w:val="18"/>
          <w:szCs w:val="18"/>
          <w:lang w:val="sr-Latn-CS"/>
        </w:rPr>
        <w:t>. i 2014</w:t>
      </w:r>
      <w:r w:rsidRPr="00BB6A3D">
        <w:rPr>
          <w:rFonts w:ascii="Arial" w:hAnsi="Arial" w:cs="Arial"/>
          <w:bCs/>
          <w:sz w:val="18"/>
          <w:szCs w:val="18"/>
          <w:lang w:val="sr-Latn-CS"/>
        </w:rPr>
        <w:t>, RZS.</w:t>
      </w:r>
    </w:p>
    <w:p w14:paraId="331845E3" w14:textId="77777777" w:rsidR="009A4B16" w:rsidRPr="00851819" w:rsidRDefault="009A4B16" w:rsidP="00F1683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1"/>
          <w:szCs w:val="21"/>
          <w:lang w:val="sr-Latn-CS"/>
        </w:rPr>
      </w:pPr>
    </w:p>
    <w:p w14:paraId="453DDF0B" w14:textId="77777777" w:rsidR="009A4B16" w:rsidRPr="002828A1" w:rsidRDefault="0095203A" w:rsidP="00F16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sr-Latn-CS"/>
        </w:rPr>
      </w:pPr>
      <w:r>
        <w:rPr>
          <w:rFonts w:ascii="Arial" w:hAnsi="Arial" w:cs="Arial"/>
          <w:sz w:val="21"/>
          <w:szCs w:val="21"/>
          <w:lang w:val="sr-Latn-CS"/>
        </w:rPr>
        <w:t>Na osnovu</w:t>
      </w:r>
      <w:r w:rsidRPr="002828A1">
        <w:rPr>
          <w:rFonts w:ascii="Arial" w:hAnsi="Arial" w:cs="Arial"/>
          <w:sz w:val="21"/>
          <w:szCs w:val="21"/>
          <w:lang w:val="sr-Latn-CS"/>
        </w:rPr>
        <w:t xml:space="preserve"> </w:t>
      </w:r>
      <w:r w:rsidR="003C347E">
        <w:rPr>
          <w:rFonts w:ascii="Arial" w:hAnsi="Arial" w:cs="Arial"/>
          <w:sz w:val="21"/>
          <w:szCs w:val="21"/>
          <w:lang w:val="sr-Latn-CS"/>
        </w:rPr>
        <w:t>i</w:t>
      </w:r>
      <w:r w:rsidR="00720B45" w:rsidRPr="002828A1">
        <w:rPr>
          <w:rFonts w:ascii="Arial" w:hAnsi="Arial" w:cs="Arial"/>
          <w:sz w:val="21"/>
          <w:szCs w:val="21"/>
          <w:lang w:val="sr-Latn-CS"/>
        </w:rPr>
        <w:t>znetih podata</w:t>
      </w:r>
      <w:r w:rsidR="003C347E">
        <w:rPr>
          <w:rFonts w:ascii="Arial" w:hAnsi="Arial" w:cs="Arial"/>
          <w:sz w:val="21"/>
          <w:szCs w:val="21"/>
          <w:lang w:val="sr-Latn-CS"/>
        </w:rPr>
        <w:t>k</w:t>
      </w:r>
      <w:r w:rsidR="00720B45" w:rsidRPr="002828A1">
        <w:rPr>
          <w:rFonts w:ascii="Arial" w:hAnsi="Arial" w:cs="Arial"/>
          <w:sz w:val="21"/>
          <w:szCs w:val="21"/>
          <w:lang w:val="sr-Latn-CS"/>
        </w:rPr>
        <w:t xml:space="preserve">a uočava se da su </w:t>
      </w:r>
      <w:r w:rsidR="00D55A0D" w:rsidRPr="002828A1">
        <w:rPr>
          <w:rFonts w:ascii="Arial" w:hAnsi="Arial" w:cs="Arial"/>
          <w:sz w:val="21"/>
          <w:szCs w:val="21"/>
          <w:lang w:val="sr-Latn-CS"/>
        </w:rPr>
        <w:t xml:space="preserve">najvažniji faktori rizika siromaštva </w:t>
      </w:r>
      <w:r w:rsidR="00720B45" w:rsidRPr="002828A1">
        <w:rPr>
          <w:rFonts w:ascii="Arial" w:hAnsi="Arial" w:cs="Arial"/>
          <w:sz w:val="21"/>
          <w:szCs w:val="21"/>
          <w:lang w:val="sr-Latn-CS"/>
        </w:rPr>
        <w:t>sledeći</w:t>
      </w:r>
      <w:r w:rsidR="00D55A0D" w:rsidRPr="002828A1">
        <w:rPr>
          <w:rFonts w:ascii="Arial" w:hAnsi="Arial" w:cs="Arial"/>
          <w:sz w:val="21"/>
          <w:szCs w:val="21"/>
          <w:lang w:val="sr-Latn-CS"/>
        </w:rPr>
        <w:t>:</w:t>
      </w:r>
    </w:p>
    <w:p w14:paraId="71A29112" w14:textId="77777777" w:rsidR="009A4B16" w:rsidRPr="00851819" w:rsidRDefault="00D55A0D" w:rsidP="00F1683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851819">
        <w:rPr>
          <w:rFonts w:ascii="Arial" w:hAnsi="Arial" w:cs="Arial"/>
          <w:sz w:val="21"/>
          <w:szCs w:val="21"/>
        </w:rPr>
        <w:t>radni status nosioca domaćinstva (nezaposlen),</w:t>
      </w:r>
    </w:p>
    <w:p w14:paraId="04A444D9" w14:textId="77777777" w:rsidR="008C73E3" w:rsidRPr="00851819" w:rsidRDefault="008C73E3" w:rsidP="00F1683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851819">
        <w:rPr>
          <w:rFonts w:ascii="Arial" w:hAnsi="Arial" w:cs="Arial"/>
          <w:sz w:val="21"/>
          <w:szCs w:val="21"/>
        </w:rPr>
        <w:t>obrazovanje nosioca domaćinstva (nezavršena ili završena osnovna škola),</w:t>
      </w:r>
    </w:p>
    <w:p w14:paraId="2CF1DC20" w14:textId="77777777" w:rsidR="009A4B16" w:rsidRPr="00851819" w:rsidRDefault="00D55A0D" w:rsidP="00F1683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851819">
        <w:rPr>
          <w:rFonts w:ascii="Arial" w:hAnsi="Arial" w:cs="Arial"/>
          <w:sz w:val="21"/>
          <w:szCs w:val="21"/>
        </w:rPr>
        <w:t>brojčanost domaćinstva (</w:t>
      </w:r>
      <w:r w:rsidR="00720B45" w:rsidRPr="00851819">
        <w:rPr>
          <w:rFonts w:ascii="Arial" w:hAnsi="Arial" w:cs="Arial"/>
          <w:sz w:val="21"/>
          <w:szCs w:val="21"/>
        </w:rPr>
        <w:t>šestočlana</w:t>
      </w:r>
      <w:r w:rsidRPr="00851819">
        <w:rPr>
          <w:rFonts w:ascii="Arial" w:hAnsi="Arial" w:cs="Arial"/>
          <w:sz w:val="21"/>
          <w:szCs w:val="21"/>
        </w:rPr>
        <w:t xml:space="preserve"> i veća domaćinstva),</w:t>
      </w:r>
    </w:p>
    <w:p w14:paraId="5596804E" w14:textId="77777777" w:rsidR="009A4B16" w:rsidRPr="00851819" w:rsidRDefault="00D55A0D" w:rsidP="00F1683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851819">
        <w:rPr>
          <w:rFonts w:ascii="Arial" w:hAnsi="Arial" w:cs="Arial"/>
          <w:sz w:val="21"/>
          <w:szCs w:val="21"/>
        </w:rPr>
        <w:t>lokacija prebivališta (istočna-jugoistočna Srbija</w:t>
      </w:r>
      <w:r w:rsidR="008C73E3" w:rsidRPr="00851819">
        <w:rPr>
          <w:rFonts w:ascii="Arial" w:hAnsi="Arial" w:cs="Arial"/>
          <w:sz w:val="21"/>
          <w:szCs w:val="21"/>
        </w:rPr>
        <w:t>, vangradsko područje</w:t>
      </w:r>
      <w:r w:rsidRPr="00851819">
        <w:rPr>
          <w:rFonts w:ascii="Arial" w:hAnsi="Arial" w:cs="Arial"/>
          <w:sz w:val="21"/>
          <w:szCs w:val="21"/>
        </w:rPr>
        <w:t>)</w:t>
      </w:r>
      <w:r w:rsidR="0095203A">
        <w:rPr>
          <w:rFonts w:ascii="Arial" w:hAnsi="Arial" w:cs="Arial"/>
          <w:sz w:val="21"/>
          <w:szCs w:val="21"/>
        </w:rPr>
        <w:t>,</w:t>
      </w:r>
      <w:r w:rsidRPr="00851819">
        <w:rPr>
          <w:rFonts w:ascii="Arial" w:hAnsi="Arial" w:cs="Arial"/>
          <w:sz w:val="21"/>
          <w:szCs w:val="21"/>
        </w:rPr>
        <w:t xml:space="preserve"> i</w:t>
      </w:r>
    </w:p>
    <w:p w14:paraId="09C51186" w14:textId="77777777" w:rsidR="009A4B16" w:rsidRPr="00851819" w:rsidRDefault="00D55A0D" w:rsidP="00F1683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851819">
        <w:rPr>
          <w:rFonts w:ascii="Arial" w:hAnsi="Arial" w:cs="Arial"/>
          <w:sz w:val="21"/>
          <w:szCs w:val="21"/>
        </w:rPr>
        <w:t>deca.</w:t>
      </w:r>
    </w:p>
    <w:p w14:paraId="683DE558" w14:textId="77777777" w:rsidR="009A4B16" w:rsidRPr="00851819" w:rsidRDefault="009A4B16" w:rsidP="00F16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29944C7E" w14:textId="77777777" w:rsidR="009A4B16" w:rsidRPr="00851819" w:rsidRDefault="00720B45" w:rsidP="00F16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851819">
        <w:rPr>
          <w:rFonts w:ascii="Arial" w:hAnsi="Arial" w:cs="Arial"/>
          <w:sz w:val="21"/>
          <w:szCs w:val="21"/>
        </w:rPr>
        <w:t xml:space="preserve">Pomenutim grupama </w:t>
      </w:r>
      <w:r w:rsidR="00D55A0D" w:rsidRPr="00851819">
        <w:rPr>
          <w:rFonts w:ascii="Arial" w:hAnsi="Arial" w:cs="Arial"/>
          <w:sz w:val="21"/>
          <w:szCs w:val="21"/>
        </w:rPr>
        <w:t xml:space="preserve">stanovništva </w:t>
      </w:r>
      <w:r w:rsidRPr="00851819">
        <w:rPr>
          <w:rFonts w:ascii="Arial" w:hAnsi="Arial" w:cs="Arial"/>
          <w:sz w:val="21"/>
          <w:szCs w:val="21"/>
        </w:rPr>
        <w:t xml:space="preserve">trebalo bi </w:t>
      </w:r>
      <w:r w:rsidR="00D55A0D" w:rsidRPr="00851819">
        <w:rPr>
          <w:rFonts w:ascii="Arial" w:hAnsi="Arial" w:cs="Arial"/>
          <w:sz w:val="21"/>
          <w:szCs w:val="21"/>
        </w:rPr>
        <w:t xml:space="preserve">posvetiti </w:t>
      </w:r>
      <w:r w:rsidRPr="00851819">
        <w:rPr>
          <w:rFonts w:ascii="Arial" w:hAnsi="Arial" w:cs="Arial"/>
          <w:sz w:val="21"/>
          <w:szCs w:val="21"/>
        </w:rPr>
        <w:t xml:space="preserve">naročitu </w:t>
      </w:r>
      <w:r w:rsidR="00D55A0D" w:rsidRPr="00851819">
        <w:rPr>
          <w:rFonts w:ascii="Arial" w:hAnsi="Arial" w:cs="Arial"/>
          <w:sz w:val="21"/>
          <w:szCs w:val="21"/>
        </w:rPr>
        <w:t xml:space="preserve">pažnju </w:t>
      </w:r>
      <w:r w:rsidR="00D31C8F" w:rsidRPr="00851819">
        <w:rPr>
          <w:rFonts w:ascii="Arial" w:hAnsi="Arial" w:cs="Arial"/>
          <w:sz w:val="21"/>
          <w:szCs w:val="21"/>
        </w:rPr>
        <w:t xml:space="preserve">tokom priprema programa </w:t>
      </w:r>
      <w:r w:rsidR="00D55A0D" w:rsidRPr="00851819">
        <w:rPr>
          <w:rFonts w:ascii="Arial" w:hAnsi="Arial" w:cs="Arial"/>
          <w:sz w:val="21"/>
          <w:szCs w:val="21"/>
        </w:rPr>
        <w:t>socijalne politike.</w:t>
      </w:r>
    </w:p>
    <w:p w14:paraId="39474A5A" w14:textId="77777777" w:rsidR="009A4B16" w:rsidRPr="00851819" w:rsidRDefault="009A4B16" w:rsidP="00F16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7EFC2A98" w14:textId="77777777" w:rsidR="009A4B16" w:rsidRPr="00851819" w:rsidRDefault="009A4B16" w:rsidP="00F16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1"/>
          <w:szCs w:val="21"/>
        </w:rPr>
      </w:pPr>
    </w:p>
    <w:p w14:paraId="2AFB097F" w14:textId="77777777" w:rsidR="009A4B16" w:rsidRPr="00851819" w:rsidRDefault="009A4B16" w:rsidP="00F16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1"/>
          <w:szCs w:val="21"/>
        </w:rPr>
      </w:pPr>
    </w:p>
    <w:sectPr w:rsidR="009A4B16" w:rsidRPr="00851819" w:rsidSect="00F4537C">
      <w:footerReference w:type="even" r:id="rId13"/>
      <w:footerReference w:type="default" r:id="rId14"/>
      <w:pgSz w:w="11900" w:h="16840"/>
      <w:pgMar w:top="170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BB11" w14:textId="77777777" w:rsidR="00FE6AD8" w:rsidRDefault="00FE6AD8">
      <w:r>
        <w:separator/>
      </w:r>
    </w:p>
  </w:endnote>
  <w:endnote w:type="continuationSeparator" w:id="0">
    <w:p w14:paraId="30964301" w14:textId="77777777" w:rsidR="00FE6AD8" w:rsidRDefault="00FE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BM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ouschka Pro DemiBold">
    <w:altName w:val="Corbel"/>
    <w:charset w:val="00"/>
    <w:family w:val="auto"/>
    <w:pitch w:val="variable"/>
    <w:sig w:usb0="00000001" w:usb1="5000204A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210B" w14:textId="77777777" w:rsidR="00F43FAD" w:rsidRDefault="00F43FAD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 w:rsidR="004413D1">
      <w:rPr>
        <w:rStyle w:val="FootnoteTextChar"/>
      </w:rPr>
      <w:fldChar w:fldCharType="separate"/>
    </w:r>
    <w:r w:rsidR="004413D1">
      <w:rPr>
        <w:rStyle w:val="FootnoteTextChar"/>
        <w:noProof/>
      </w:rPr>
      <w:t>2</w:t>
    </w:r>
    <w:r>
      <w:rPr>
        <w:rStyle w:val="FootnoteTextChar"/>
      </w:rPr>
      <w:fldChar w:fldCharType="end"/>
    </w:r>
  </w:p>
  <w:p w14:paraId="40DC8108" w14:textId="77777777" w:rsidR="00F43FAD" w:rsidRDefault="00F43FA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B8C5" w14:textId="77777777" w:rsidR="00F43FAD" w:rsidRPr="00F4537C" w:rsidRDefault="00F43FAD">
    <w:pPr>
      <w:framePr w:wrap="around" w:vAnchor="text" w:hAnchor="margin" w:xAlign="right" w:y="1"/>
      <w:rPr>
        <w:rStyle w:val="FootnoteTextChar"/>
        <w:rFonts w:ascii="Arial" w:hAnsi="Arial" w:cs="Arial"/>
        <w:sz w:val="18"/>
        <w:szCs w:val="18"/>
      </w:rPr>
    </w:pPr>
    <w:r w:rsidRPr="00F4537C">
      <w:rPr>
        <w:rStyle w:val="FootnoteTextChar"/>
        <w:rFonts w:ascii="Arial" w:hAnsi="Arial" w:cs="Arial"/>
        <w:sz w:val="18"/>
        <w:szCs w:val="18"/>
      </w:rPr>
      <w:fldChar w:fldCharType="begin"/>
    </w:r>
    <w:r w:rsidRPr="00F4537C">
      <w:rPr>
        <w:rStyle w:val="FootnoteTextChar"/>
        <w:rFonts w:ascii="Arial" w:hAnsi="Arial" w:cs="Arial"/>
        <w:sz w:val="18"/>
        <w:szCs w:val="18"/>
      </w:rPr>
      <w:instrText xml:space="preserve">PAGE  </w:instrText>
    </w:r>
    <w:r w:rsidRPr="00F4537C">
      <w:rPr>
        <w:rStyle w:val="FootnoteTextChar"/>
        <w:rFonts w:ascii="Arial" w:hAnsi="Arial" w:cs="Arial"/>
        <w:sz w:val="18"/>
        <w:szCs w:val="18"/>
      </w:rPr>
      <w:fldChar w:fldCharType="separate"/>
    </w:r>
    <w:r w:rsidR="004413D1">
      <w:rPr>
        <w:rStyle w:val="FootnoteTextChar"/>
        <w:rFonts w:ascii="Arial" w:hAnsi="Arial" w:cs="Arial"/>
        <w:noProof/>
        <w:sz w:val="18"/>
        <w:szCs w:val="18"/>
      </w:rPr>
      <w:t>18</w:t>
    </w:r>
    <w:r w:rsidRPr="00F4537C">
      <w:rPr>
        <w:rStyle w:val="FootnoteTextChar"/>
        <w:rFonts w:ascii="Arial" w:hAnsi="Arial" w:cs="Arial"/>
        <w:sz w:val="18"/>
        <w:szCs w:val="18"/>
      </w:rPr>
      <w:fldChar w:fldCharType="end"/>
    </w:r>
  </w:p>
  <w:p w14:paraId="01166724" w14:textId="77777777" w:rsidR="00F43FAD" w:rsidRDefault="00F43FA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0D995" w14:textId="77777777" w:rsidR="00FE6AD8" w:rsidRDefault="00FE6AD8">
      <w:r>
        <w:separator/>
      </w:r>
    </w:p>
  </w:footnote>
  <w:footnote w:type="continuationSeparator" w:id="0">
    <w:p w14:paraId="2AA26B2A" w14:textId="77777777" w:rsidR="00FE6AD8" w:rsidRDefault="00FE6AD8">
      <w:r>
        <w:continuationSeparator/>
      </w:r>
    </w:p>
  </w:footnote>
  <w:footnote w:id="1">
    <w:p w14:paraId="76812D41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335B31">
        <w:rPr>
          <w:rFonts w:ascii="Arial" w:hAnsi="Arial" w:cs="Arial"/>
          <w:sz w:val="18"/>
          <w:szCs w:val="18"/>
        </w:rPr>
        <w:t xml:space="preserve"> B. Mijatović</w:t>
      </w:r>
      <w:r>
        <w:rPr>
          <w:rFonts w:ascii="Arial" w:hAnsi="Arial" w:cs="Arial"/>
          <w:sz w:val="18"/>
          <w:szCs w:val="18"/>
        </w:rPr>
        <w:t xml:space="preserve"> (2014).</w:t>
      </w:r>
      <w:r w:rsidRPr="00335B31">
        <w:rPr>
          <w:rFonts w:ascii="Arial" w:hAnsi="Arial" w:cs="Arial"/>
          <w:sz w:val="18"/>
          <w:szCs w:val="18"/>
        </w:rPr>
        <w:t xml:space="preserve"> </w:t>
      </w:r>
      <w:r w:rsidRPr="00335B31">
        <w:rPr>
          <w:rFonts w:ascii="Arial" w:hAnsi="Arial" w:cs="Arial"/>
          <w:i/>
          <w:sz w:val="18"/>
          <w:szCs w:val="18"/>
        </w:rPr>
        <w:t>Siromaštvo u Srbiji 2011, 2012. i 2013</w:t>
      </w:r>
      <w:r w:rsidRPr="00335B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Tim za socijalno uključivanje i smanjenje siromaštva Vlade Republike Srbije</w:t>
      </w:r>
      <w:r w:rsidRPr="00335B31">
        <w:rPr>
          <w:rFonts w:ascii="Arial" w:hAnsi="Arial" w:cs="Arial"/>
          <w:sz w:val="18"/>
          <w:szCs w:val="18"/>
        </w:rPr>
        <w:t>.</w:t>
      </w:r>
    </w:p>
  </w:footnote>
  <w:footnote w:id="2">
    <w:p w14:paraId="54B214DE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Videti </w:t>
      </w:r>
      <w:r w:rsidRPr="00335B31">
        <w:rPr>
          <w:rFonts w:ascii="Arial" w:hAnsi="Arial" w:cs="Arial"/>
          <w:i/>
          <w:sz w:val="18"/>
          <w:szCs w:val="18"/>
          <w:lang w:val="uz-Cyrl-UZ"/>
        </w:rPr>
        <w:t>Srbija: prihodi i uslovi života 2013</w:t>
      </w:r>
      <w:r w:rsidRPr="00335B31">
        <w:rPr>
          <w:rFonts w:ascii="Arial" w:hAnsi="Arial" w:cs="Arial"/>
          <w:sz w:val="18"/>
          <w:szCs w:val="18"/>
          <w:lang w:val="uz-Cyrl-UZ"/>
        </w:rPr>
        <w:t>, RZS, 2014.</w:t>
      </w:r>
    </w:p>
  </w:footnote>
  <w:footnote w:id="3">
    <w:p w14:paraId="4ED76509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>Videti http://socijalnoukljucivanje.gov.rs/wp-content/uploads/2015/06/Zakljucci-Merenje-siromastva-u-Srbiji.pdf</w:t>
      </w:r>
    </w:p>
  </w:footnote>
  <w:footnote w:id="4">
    <w:p w14:paraId="384BE2B0" w14:textId="77777777" w:rsidR="00F43FAD" w:rsidRPr="002828A1" w:rsidRDefault="00F43FAD">
      <w:pPr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Videti šire argumente u G. Matković</w:t>
      </w:r>
      <w:r>
        <w:rPr>
          <w:rFonts w:ascii="Arial" w:hAnsi="Arial" w:cs="Arial"/>
          <w:sz w:val="18"/>
          <w:szCs w:val="18"/>
        </w:rPr>
        <w:t xml:space="preserve"> (2014),</w:t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i/>
          <w:noProof/>
          <w:sz w:val="18"/>
          <w:szCs w:val="18"/>
          <w:lang w:val="sr-Latn-CS"/>
        </w:rPr>
        <w:t>Merenje siromaštva – teorijski koncepti, stanje i preporuke za Srbiju</w:t>
      </w:r>
      <w:r w:rsidRPr="002828A1">
        <w:rPr>
          <w:rFonts w:ascii="Arial" w:hAnsi="Arial" w:cs="Arial"/>
          <w:noProof/>
          <w:sz w:val="18"/>
          <w:szCs w:val="18"/>
          <w:lang w:val="uz-Cyrl-UZ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>T</w:t>
      </w:r>
      <w:r>
        <w:rPr>
          <w:rFonts w:ascii="Arial" w:hAnsi="Arial" w:cs="Arial"/>
          <w:noProof/>
          <w:sz w:val="18"/>
          <w:szCs w:val="18"/>
          <w:lang w:val="uz-Cyrl-UZ"/>
        </w:rPr>
        <w:t xml:space="preserve">im za socijalno uključivanje i smanjenje siromaštva </w:t>
      </w:r>
      <w:r>
        <w:rPr>
          <w:rFonts w:ascii="Arial" w:hAnsi="Arial" w:cs="Arial"/>
          <w:noProof/>
          <w:sz w:val="18"/>
          <w:szCs w:val="18"/>
        </w:rPr>
        <w:t>V</w:t>
      </w:r>
      <w:r>
        <w:rPr>
          <w:rFonts w:ascii="Arial" w:hAnsi="Arial" w:cs="Arial"/>
          <w:noProof/>
          <w:sz w:val="18"/>
          <w:szCs w:val="18"/>
          <w:lang w:val="uz-Cyrl-UZ"/>
        </w:rPr>
        <w:t xml:space="preserve">lade </w:t>
      </w:r>
      <w:r>
        <w:rPr>
          <w:rFonts w:ascii="Arial" w:hAnsi="Arial" w:cs="Arial"/>
          <w:noProof/>
          <w:sz w:val="18"/>
          <w:szCs w:val="18"/>
        </w:rPr>
        <w:t>R</w:t>
      </w:r>
      <w:r>
        <w:rPr>
          <w:rFonts w:ascii="Arial" w:hAnsi="Arial" w:cs="Arial"/>
          <w:noProof/>
          <w:sz w:val="18"/>
          <w:szCs w:val="18"/>
          <w:lang w:val="uz-Cyrl-UZ"/>
        </w:rPr>
        <w:t xml:space="preserve">epublike </w:t>
      </w:r>
      <w:r>
        <w:rPr>
          <w:rFonts w:ascii="Arial" w:hAnsi="Arial" w:cs="Arial"/>
          <w:noProof/>
          <w:sz w:val="18"/>
          <w:szCs w:val="18"/>
        </w:rPr>
        <w:t>S</w:t>
      </w:r>
      <w:r>
        <w:rPr>
          <w:rFonts w:ascii="Arial" w:hAnsi="Arial" w:cs="Arial"/>
          <w:noProof/>
          <w:sz w:val="18"/>
          <w:szCs w:val="18"/>
          <w:lang w:val="uz-Cyrl-UZ"/>
        </w:rPr>
        <w:t>rbije</w:t>
      </w:r>
    </w:p>
  </w:footnote>
  <w:footnote w:id="5">
    <w:p w14:paraId="52443A4D" w14:textId="77777777" w:rsidR="00F43FAD" w:rsidRPr="002828A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2562AB">
        <w:rPr>
          <w:rStyle w:val="FootnoteReference"/>
          <w:rFonts w:ascii="Arial" w:hAnsi="Arial" w:cs="Arial"/>
          <w:sz w:val="18"/>
          <w:szCs w:val="18"/>
        </w:rPr>
        <w:footnoteRef/>
      </w:r>
      <w:hyperlink r:id="rId1" w:history="1">
        <w:r w:rsidRPr="002562AB">
          <w:rPr>
            <w:rStyle w:val="Hyperlink"/>
            <w:rFonts w:cs="Arial"/>
            <w:sz w:val="18"/>
            <w:szCs w:val="18"/>
            <w:lang w:val="sr-Latn-CS"/>
          </w:rPr>
          <w:t>http://epp.eurostat.ec.europa.eu/statistics_explained/index.php/Glossary:At-risk-of-poverty_rate</w:t>
        </w:r>
      </w:hyperlink>
      <w:r w:rsidRPr="002828A1">
        <w:rPr>
          <w:rFonts w:ascii="Arial" w:hAnsi="Arial" w:cs="Arial"/>
          <w:sz w:val="18"/>
          <w:szCs w:val="18"/>
          <w:lang w:val="uz-Cyrl-UZ"/>
        </w:rPr>
        <w:t>, 18.9.2014.</w:t>
      </w:r>
    </w:p>
  </w:footnote>
  <w:footnote w:id="6">
    <w:p w14:paraId="1E7D76F0" w14:textId="77777777" w:rsidR="00F43FAD" w:rsidRPr="002828A1" w:rsidRDefault="00F43FAD">
      <w:pPr>
        <w:jc w:val="both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335B31">
        <w:rPr>
          <w:rFonts w:ascii="Arial" w:hAnsi="Arial" w:cs="Arial"/>
          <w:sz w:val="18"/>
          <w:szCs w:val="18"/>
          <w:lang w:val="sr-Latn-CS"/>
        </w:rPr>
        <w:t xml:space="preserve"> Detaljnija metodološka objašnjenja mogu se naći u</w:t>
      </w:r>
      <w:r>
        <w:rPr>
          <w:rFonts w:ascii="Arial" w:hAnsi="Arial" w:cs="Arial"/>
          <w:sz w:val="18"/>
          <w:szCs w:val="18"/>
          <w:lang w:val="sr-Latn-CS"/>
        </w:rPr>
        <w:t>:</w:t>
      </w:r>
      <w:r w:rsidRPr="00335B31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35B31">
        <w:rPr>
          <w:rFonts w:ascii="Arial" w:hAnsi="Arial" w:cs="Arial"/>
          <w:bCs/>
          <w:i/>
          <w:color w:val="000000"/>
          <w:sz w:val="18"/>
          <w:szCs w:val="18"/>
          <w:lang w:val="sr-Latn-CS"/>
        </w:rPr>
        <w:t>Anketa o potrošnji domaćinstava, 2012</w:t>
      </w:r>
      <w:r w:rsidRPr="00335B31">
        <w:rPr>
          <w:rFonts w:ascii="Arial" w:hAnsi="Arial" w:cs="Arial"/>
          <w:bCs/>
          <w:color w:val="000000"/>
          <w:sz w:val="18"/>
          <w:szCs w:val="18"/>
          <w:lang w:val="sr-Latn-CS"/>
        </w:rPr>
        <w:t>, RZS, 2013.</w:t>
      </w:r>
    </w:p>
  </w:footnote>
  <w:footnote w:id="7">
    <w:p w14:paraId="4E489C4B" w14:textId="77777777" w:rsidR="00F43FAD" w:rsidRPr="002828A1" w:rsidRDefault="00F43FAD">
      <w:pPr>
        <w:pStyle w:val="Default"/>
        <w:jc w:val="both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335B31">
        <w:rPr>
          <w:rFonts w:ascii="Arial" w:hAnsi="Arial" w:cs="Arial"/>
          <w:sz w:val="18"/>
          <w:szCs w:val="18"/>
          <w:lang w:val="sr-Latn-CS"/>
        </w:rPr>
        <w:t xml:space="preserve"> Videti </w:t>
      </w:r>
      <w:r w:rsidRPr="00335B31">
        <w:rPr>
          <w:rFonts w:ascii="Arial" w:hAnsi="Arial" w:cs="Arial"/>
          <w:bCs/>
          <w:sz w:val="18"/>
          <w:szCs w:val="18"/>
          <w:lang w:val="sr-Latn-CS"/>
        </w:rPr>
        <w:t>G. Krstić i V. Sulla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(2007). </w:t>
      </w:r>
      <w:r w:rsidRPr="00335B31">
        <w:rPr>
          <w:rFonts w:ascii="Arial" w:eastAsia="Calibri" w:hAnsi="Arial" w:cs="Arial"/>
          <w:bCs/>
          <w:i/>
          <w:sz w:val="18"/>
          <w:szCs w:val="18"/>
          <w:lang w:val="sr-Latn-CS"/>
        </w:rPr>
        <w:t>Osnovni dokument o trendovima i profilu siromaštva u Srbiji: 2004-2006. godine</w:t>
      </w:r>
      <w:r w:rsidRPr="00335B31">
        <w:rPr>
          <w:rFonts w:ascii="Arial" w:eastAsia="Calibri" w:hAnsi="Arial" w:cs="Arial"/>
          <w:bCs/>
          <w:sz w:val="18"/>
          <w:szCs w:val="18"/>
          <w:lang w:val="sr-Latn-CS"/>
        </w:rPr>
        <w:t>, str. 3.</w:t>
      </w:r>
    </w:p>
  </w:footnote>
  <w:footnote w:id="8">
    <w:p w14:paraId="52A0D18C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de-DE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>RZS, http://webrzs.stat.gov.rs/WebSite/userFiles/file/Nacionalni/BDPserija1995_2014_ESA2010_srpcir_26.05.2015.xls</w:t>
      </w:r>
    </w:p>
  </w:footnote>
  <w:footnote w:id="9">
    <w:p w14:paraId="7E93BBB3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de-DE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>Mesečni statistički bilten, 12/2014, RZS, str. 34.</w:t>
      </w:r>
    </w:p>
  </w:footnote>
  <w:footnote w:id="10">
    <w:p w14:paraId="0494CC0D" w14:textId="77777777" w:rsidR="00F43FAD" w:rsidRPr="002828A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Mesečni bilten za decembar 2013. i 2014, PIO fond.</w:t>
      </w:r>
    </w:p>
  </w:footnote>
  <w:footnote w:id="11">
    <w:p w14:paraId="5B64B250" w14:textId="77777777" w:rsidR="00F43FAD" w:rsidRPr="002828A1" w:rsidRDefault="00F43FAD">
      <w:pPr>
        <w:pStyle w:val="FootnoteText"/>
        <w:jc w:val="both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335B31">
        <w:rPr>
          <w:rFonts w:ascii="Arial" w:hAnsi="Arial" w:cs="Arial"/>
          <w:sz w:val="18"/>
          <w:szCs w:val="18"/>
          <w:lang w:val="sr-Latn-CS"/>
        </w:rPr>
        <w:t xml:space="preserve"> BDP Srbije je u 2014. dostigao 3</w:t>
      </w:r>
      <w:r>
        <w:rPr>
          <w:rFonts w:ascii="Arial" w:hAnsi="Arial" w:cs="Arial"/>
          <w:sz w:val="18"/>
          <w:szCs w:val="18"/>
          <w:lang w:val="sr-Latn-CS"/>
        </w:rPr>
        <w:t>.</w:t>
      </w:r>
      <w:r w:rsidRPr="00335B31">
        <w:rPr>
          <w:rFonts w:ascii="Arial" w:hAnsi="Arial" w:cs="Arial"/>
          <w:sz w:val="18"/>
          <w:szCs w:val="18"/>
          <w:lang w:val="sr-Latn-CS"/>
        </w:rPr>
        <w:t>878 milijardi dinara (RZS).</w:t>
      </w:r>
    </w:p>
  </w:footnote>
  <w:footnote w:id="12">
    <w:p w14:paraId="41198B9E" w14:textId="77777777" w:rsidR="00F43FAD" w:rsidRPr="00335B31" w:rsidRDefault="00F43FAD" w:rsidP="00B161F4">
      <w:pPr>
        <w:jc w:val="both"/>
        <w:rPr>
          <w:rFonts w:ascii="Arial" w:eastAsia="Times New Roman" w:hAnsi="Arial" w:cs="Arial"/>
          <w:sz w:val="18"/>
          <w:szCs w:val="18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335B31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35B31">
        <w:rPr>
          <w:rFonts w:ascii="Arial" w:eastAsia="Times New Roman" w:hAnsi="Arial" w:cs="Arial"/>
          <w:i/>
          <w:sz w:val="18"/>
          <w:szCs w:val="18"/>
          <w:lang w:val="sr-Latn-CS"/>
        </w:rPr>
        <w:t>Dimensions of Urban Poverty in the Europe and Central Asia Region</w:t>
      </w:r>
      <w:r w:rsidRPr="00335B31">
        <w:rPr>
          <w:rFonts w:ascii="Arial" w:eastAsia="Times New Roman" w:hAnsi="Arial" w:cs="Arial"/>
          <w:sz w:val="18"/>
          <w:szCs w:val="18"/>
          <w:lang w:val="sr-Latn-CS"/>
        </w:rPr>
        <w:t xml:space="preserve">, </w:t>
      </w:r>
      <w:r w:rsidRPr="00335B31">
        <w:rPr>
          <w:rFonts w:ascii="Arial" w:hAnsi="Arial" w:cs="Arial"/>
          <w:sz w:val="18"/>
          <w:szCs w:val="18"/>
          <w:lang w:val="sr-Latn-CS"/>
        </w:rPr>
        <w:t>World Bank Policy Research Working Paper 3998, August 2006, str. 20.</w:t>
      </w:r>
    </w:p>
  </w:footnote>
  <w:footnote w:id="13">
    <w:p w14:paraId="0C0DFD1A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335B31">
        <w:rPr>
          <w:rFonts w:ascii="Arial" w:hAnsi="Arial" w:cs="Arial"/>
          <w:sz w:val="18"/>
          <w:szCs w:val="18"/>
        </w:rPr>
        <w:t xml:space="preserve"> </w:t>
      </w:r>
      <w:r w:rsidRPr="00335B31">
        <w:rPr>
          <w:rFonts w:ascii="Arial" w:hAnsi="Arial" w:cs="Arial"/>
          <w:i/>
          <w:sz w:val="18"/>
          <w:szCs w:val="18"/>
          <w:lang w:val="uz-Cyrl-UZ"/>
        </w:rPr>
        <w:t>Regionalni bruto društveni proizvod 2013</w:t>
      </w:r>
      <w:r w:rsidRPr="00335B31">
        <w:rPr>
          <w:rFonts w:ascii="Arial" w:hAnsi="Arial" w:cs="Arial"/>
          <w:sz w:val="18"/>
          <w:szCs w:val="18"/>
          <w:lang w:val="uz-Cyrl-UZ"/>
        </w:rPr>
        <w:t>, RZS, april 2014.</w:t>
      </w:r>
    </w:p>
  </w:footnote>
  <w:footnote w:id="14">
    <w:p w14:paraId="0FB3739D" w14:textId="77777777" w:rsidR="00F43FAD" w:rsidRPr="00335B31" w:rsidRDefault="00F43FAD" w:rsidP="00B161F4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335B31">
        <w:rPr>
          <w:rFonts w:ascii="Arial" w:hAnsi="Arial" w:cs="Arial"/>
          <w:sz w:val="18"/>
          <w:szCs w:val="18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>Videti Boško Mijatović</w:t>
      </w:r>
      <w:r>
        <w:rPr>
          <w:rFonts w:ascii="Arial" w:hAnsi="Arial" w:cs="Arial"/>
          <w:sz w:val="18"/>
          <w:szCs w:val="18"/>
        </w:rPr>
        <w:t xml:space="preserve"> (2014)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i/>
          <w:sz w:val="18"/>
          <w:szCs w:val="18"/>
          <w:lang w:val="uz-Cyrl-UZ"/>
        </w:rPr>
        <w:t>Rizik siromaštva u Srbiji</w:t>
      </w:r>
      <w:r w:rsidRPr="00335B31">
        <w:rPr>
          <w:rFonts w:ascii="Arial" w:hAnsi="Arial" w:cs="Arial"/>
          <w:sz w:val="18"/>
          <w:szCs w:val="18"/>
          <w:lang w:val="uz-Cyrl-UZ"/>
        </w:rPr>
        <w:t>, u</w:t>
      </w:r>
      <w:r>
        <w:rPr>
          <w:rFonts w:ascii="Arial" w:hAnsi="Arial" w:cs="Arial"/>
          <w:sz w:val="18"/>
          <w:szCs w:val="18"/>
        </w:rPr>
        <w:t>: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 Srbija: prihodi i uslovi života 2013, RZS, str. 11.</w:t>
      </w:r>
    </w:p>
  </w:footnote>
  <w:footnote w:id="15">
    <w:p w14:paraId="7267051B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>Videti Boško Mijatović</w:t>
      </w:r>
      <w:r>
        <w:rPr>
          <w:rFonts w:ascii="Arial" w:hAnsi="Arial" w:cs="Arial"/>
          <w:sz w:val="18"/>
          <w:szCs w:val="18"/>
        </w:rPr>
        <w:t xml:space="preserve"> (2014). </w:t>
      </w:r>
      <w:r w:rsidRPr="00335B31">
        <w:rPr>
          <w:rFonts w:ascii="Arial" w:hAnsi="Arial" w:cs="Arial"/>
          <w:i/>
          <w:sz w:val="18"/>
          <w:szCs w:val="18"/>
          <w:lang w:val="uz-Cyrl-UZ"/>
        </w:rPr>
        <w:t>Nejednakost u Srbiji</w:t>
      </w:r>
      <w:r w:rsidRPr="00335B31">
        <w:rPr>
          <w:rFonts w:ascii="Arial" w:hAnsi="Arial" w:cs="Arial"/>
          <w:sz w:val="18"/>
          <w:szCs w:val="18"/>
          <w:lang w:val="uz-Cyrl-UZ"/>
        </w:rPr>
        <w:t>, u</w:t>
      </w:r>
      <w:r>
        <w:rPr>
          <w:rFonts w:ascii="Arial" w:hAnsi="Arial" w:cs="Arial"/>
          <w:sz w:val="18"/>
          <w:szCs w:val="18"/>
        </w:rPr>
        <w:t>: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 Srbija: prihodi i uslovi života 2013, RZS, str. 11.</w:t>
      </w:r>
    </w:p>
  </w:footnote>
  <w:footnote w:id="16">
    <w:p w14:paraId="753BCA0D" w14:textId="77777777" w:rsidR="00F43FAD" w:rsidRPr="00335B31" w:rsidRDefault="00F43FAD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>Jednako su ugrožena i domaćinstva čiji se neaktiv</w:t>
      </w:r>
      <w:r>
        <w:rPr>
          <w:rFonts w:ascii="Arial" w:hAnsi="Arial" w:cs="Arial"/>
          <w:sz w:val="18"/>
          <w:szCs w:val="18"/>
        </w:rPr>
        <w:t>an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 nosilac nalazi u radnom dobu (18-65 godina): stopa siromaštva je 8,9%.</w:t>
      </w:r>
    </w:p>
  </w:footnote>
  <w:footnote w:id="17">
    <w:p w14:paraId="11C34EA2" w14:textId="77777777" w:rsidR="00F43FAD" w:rsidRPr="00335B31" w:rsidRDefault="00F43FAD" w:rsidP="000866F3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D73E68">
        <w:rPr>
          <w:rFonts w:ascii="Arial" w:hAnsi="Arial" w:cs="Arial"/>
          <w:sz w:val="18"/>
          <w:szCs w:val="18"/>
          <w:lang w:val="uz-Cyrl-UZ"/>
        </w:rPr>
        <w:t>Detaljnije,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 Boško Mijatović: </w:t>
      </w:r>
      <w:r w:rsidRPr="00335B31">
        <w:rPr>
          <w:rFonts w:ascii="Arial" w:hAnsi="Arial" w:cs="Arial"/>
          <w:i/>
          <w:sz w:val="18"/>
          <w:szCs w:val="18"/>
          <w:lang w:val="uz-Cyrl-UZ"/>
        </w:rPr>
        <w:t>isto</w:t>
      </w:r>
      <w:r w:rsidRPr="00335B31">
        <w:rPr>
          <w:rFonts w:ascii="Arial" w:hAnsi="Arial" w:cs="Arial"/>
          <w:sz w:val="18"/>
          <w:szCs w:val="18"/>
          <w:lang w:val="uz-Cyrl-UZ"/>
        </w:rPr>
        <w:t>.</w:t>
      </w:r>
    </w:p>
  </w:footnote>
  <w:footnote w:id="18">
    <w:p w14:paraId="0CAC64B6" w14:textId="77777777" w:rsidR="00F43FAD" w:rsidRPr="002828A1" w:rsidRDefault="00F43FAD" w:rsidP="00A36CD0">
      <w:pPr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Detaljnije B. Mijatović</w:t>
      </w:r>
      <w:r>
        <w:rPr>
          <w:rFonts w:ascii="Arial" w:hAnsi="Arial" w:cs="Arial"/>
          <w:sz w:val="18"/>
          <w:szCs w:val="18"/>
        </w:rPr>
        <w:t xml:space="preserve"> (2014).</w:t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2828A1">
        <w:rPr>
          <w:rFonts w:ascii="Arial" w:hAnsi="Arial" w:cs="Arial"/>
          <w:i/>
          <w:sz w:val="18"/>
          <w:szCs w:val="18"/>
          <w:lang w:val="uz-Cyrl-UZ"/>
        </w:rPr>
        <w:t>Siromaštvo u Srbiji 2011, 2012. i 2013</w:t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,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  <w:lang w:val="uz-Cyrl-UZ"/>
        </w:rPr>
        <w:t xml:space="preserve">im za socijalno uključivanje i smanjenje siromaštva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  <w:lang w:val="uz-Cyrl-UZ"/>
        </w:rPr>
        <w:t xml:space="preserve">lade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  <w:lang w:val="uz-Cyrl-UZ"/>
        </w:rPr>
        <w:t xml:space="preserve">epublike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  <w:lang w:val="uz-Cyrl-UZ"/>
        </w:rPr>
        <w:t>rbije</w:t>
      </w:r>
      <w:r w:rsidRPr="002828A1">
        <w:rPr>
          <w:rFonts w:ascii="Arial" w:hAnsi="Arial" w:cs="Arial"/>
          <w:sz w:val="18"/>
          <w:szCs w:val="18"/>
          <w:lang w:val="uz-Cyrl-UZ"/>
        </w:rPr>
        <w:t>, odeljak (Ne)jednakosti u Srbiji.</w:t>
      </w:r>
    </w:p>
  </w:footnote>
  <w:footnote w:id="19">
    <w:p w14:paraId="4CA05503" w14:textId="77777777" w:rsidR="00F43FAD" w:rsidRPr="00335B31" w:rsidRDefault="00F43FAD" w:rsidP="002A2A33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 w:rsidRPr="00335B31">
        <w:rPr>
          <w:rStyle w:val="FootnoteReference"/>
          <w:rFonts w:ascii="Arial" w:hAnsi="Arial" w:cs="Arial"/>
          <w:sz w:val="18"/>
          <w:szCs w:val="18"/>
        </w:rPr>
        <w:footnoteRef/>
      </w:r>
      <w:r w:rsidRPr="002828A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sz w:val="18"/>
          <w:szCs w:val="18"/>
          <w:lang w:val="uz-Cyrl-UZ"/>
        </w:rPr>
        <w:t>Videti Boško Mijatović</w:t>
      </w:r>
      <w:r>
        <w:rPr>
          <w:rFonts w:ascii="Arial" w:hAnsi="Arial" w:cs="Arial"/>
          <w:sz w:val="18"/>
          <w:szCs w:val="18"/>
        </w:rPr>
        <w:t xml:space="preserve"> (2014).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 </w:t>
      </w:r>
      <w:r w:rsidRPr="00335B31">
        <w:rPr>
          <w:rFonts w:ascii="Arial" w:hAnsi="Arial" w:cs="Arial"/>
          <w:i/>
          <w:sz w:val="18"/>
          <w:szCs w:val="18"/>
          <w:lang w:val="uz-Cyrl-UZ"/>
        </w:rPr>
        <w:t>Nejednakost u Srbiji</w:t>
      </w:r>
      <w:r w:rsidRPr="00335B31">
        <w:rPr>
          <w:rFonts w:ascii="Arial" w:hAnsi="Arial" w:cs="Arial"/>
          <w:sz w:val="18"/>
          <w:szCs w:val="18"/>
          <w:lang w:val="uz-Cyrl-UZ"/>
        </w:rPr>
        <w:t>, u</w:t>
      </w:r>
      <w:r>
        <w:rPr>
          <w:rFonts w:ascii="Arial" w:hAnsi="Arial" w:cs="Arial"/>
          <w:sz w:val="18"/>
          <w:szCs w:val="18"/>
        </w:rPr>
        <w:t>:</w:t>
      </w:r>
      <w:r w:rsidRPr="00335B31">
        <w:rPr>
          <w:rFonts w:ascii="Arial" w:hAnsi="Arial" w:cs="Arial"/>
          <w:sz w:val="18"/>
          <w:szCs w:val="18"/>
          <w:lang w:val="uz-Cyrl-UZ"/>
        </w:rPr>
        <w:t xml:space="preserve"> Srbija: prihodi i uslovi života 2013, RZS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07D8A"/>
    <w:multiLevelType w:val="hybridMultilevel"/>
    <w:tmpl w:val="C52F0A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E7402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32D9E"/>
    <w:multiLevelType w:val="hybridMultilevel"/>
    <w:tmpl w:val="8FFA0A9E"/>
    <w:lvl w:ilvl="0" w:tplc="B170BBA0">
      <w:numFmt w:val="bullet"/>
      <w:lvlText w:val=""/>
      <w:lvlJc w:val="left"/>
      <w:pPr>
        <w:ind w:left="11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6AE3573"/>
    <w:multiLevelType w:val="hybridMultilevel"/>
    <w:tmpl w:val="966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99C"/>
    <w:multiLevelType w:val="hybridMultilevel"/>
    <w:tmpl w:val="363AAE7A"/>
    <w:lvl w:ilvl="0" w:tplc="97622DF4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590"/>
    <w:multiLevelType w:val="hybridMultilevel"/>
    <w:tmpl w:val="765C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ACF"/>
    <w:multiLevelType w:val="hybridMultilevel"/>
    <w:tmpl w:val="3FAE77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237EA"/>
    <w:multiLevelType w:val="hybridMultilevel"/>
    <w:tmpl w:val="9AA415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6DEB"/>
    <w:multiLevelType w:val="multilevel"/>
    <w:tmpl w:val="5C3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65FE1"/>
    <w:multiLevelType w:val="hybridMultilevel"/>
    <w:tmpl w:val="EC52BF84"/>
    <w:lvl w:ilvl="0" w:tplc="FE88306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C5073"/>
    <w:multiLevelType w:val="hybridMultilevel"/>
    <w:tmpl w:val="E2B84B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F230094"/>
    <w:multiLevelType w:val="hybridMultilevel"/>
    <w:tmpl w:val="AAC8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975AA"/>
    <w:multiLevelType w:val="hybridMultilevel"/>
    <w:tmpl w:val="B7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022FD"/>
    <w:multiLevelType w:val="hybridMultilevel"/>
    <w:tmpl w:val="377E3AAC"/>
    <w:lvl w:ilvl="0" w:tplc="C18CC8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15744"/>
    <w:multiLevelType w:val="hybridMultilevel"/>
    <w:tmpl w:val="7DB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16"/>
    <w:rsid w:val="00013165"/>
    <w:rsid w:val="00017C08"/>
    <w:rsid w:val="00022B27"/>
    <w:rsid w:val="000417E2"/>
    <w:rsid w:val="00052A1C"/>
    <w:rsid w:val="00084928"/>
    <w:rsid w:val="000866F3"/>
    <w:rsid w:val="000A1978"/>
    <w:rsid w:val="000D1B22"/>
    <w:rsid w:val="0010571D"/>
    <w:rsid w:val="001118AB"/>
    <w:rsid w:val="00111B46"/>
    <w:rsid w:val="001167F7"/>
    <w:rsid w:val="00124DE0"/>
    <w:rsid w:val="00131248"/>
    <w:rsid w:val="00145626"/>
    <w:rsid w:val="001842E6"/>
    <w:rsid w:val="001907DC"/>
    <w:rsid w:val="001B31FD"/>
    <w:rsid w:val="00202BCF"/>
    <w:rsid w:val="002115E8"/>
    <w:rsid w:val="0021172F"/>
    <w:rsid w:val="002144B1"/>
    <w:rsid w:val="002562AB"/>
    <w:rsid w:val="00263B86"/>
    <w:rsid w:val="002828A1"/>
    <w:rsid w:val="0029082B"/>
    <w:rsid w:val="002A2A33"/>
    <w:rsid w:val="002B446D"/>
    <w:rsid w:val="002E7548"/>
    <w:rsid w:val="00314837"/>
    <w:rsid w:val="00321785"/>
    <w:rsid w:val="00322EF4"/>
    <w:rsid w:val="00335B31"/>
    <w:rsid w:val="00365DEB"/>
    <w:rsid w:val="00385E88"/>
    <w:rsid w:val="003928FE"/>
    <w:rsid w:val="003C347E"/>
    <w:rsid w:val="003E156A"/>
    <w:rsid w:val="004036AC"/>
    <w:rsid w:val="00414DD9"/>
    <w:rsid w:val="004413D1"/>
    <w:rsid w:val="00472FEB"/>
    <w:rsid w:val="00485247"/>
    <w:rsid w:val="00491F94"/>
    <w:rsid w:val="0049768B"/>
    <w:rsid w:val="004A16F8"/>
    <w:rsid w:val="004A5595"/>
    <w:rsid w:val="004F4E6C"/>
    <w:rsid w:val="00516DED"/>
    <w:rsid w:val="0052501C"/>
    <w:rsid w:val="0053099F"/>
    <w:rsid w:val="00551969"/>
    <w:rsid w:val="005725B8"/>
    <w:rsid w:val="005A090E"/>
    <w:rsid w:val="005B1329"/>
    <w:rsid w:val="005B2182"/>
    <w:rsid w:val="005C2ECD"/>
    <w:rsid w:val="005D0FF6"/>
    <w:rsid w:val="00604BEE"/>
    <w:rsid w:val="006079CB"/>
    <w:rsid w:val="006719C9"/>
    <w:rsid w:val="0067452D"/>
    <w:rsid w:val="006A542C"/>
    <w:rsid w:val="006A616C"/>
    <w:rsid w:val="006B4926"/>
    <w:rsid w:val="006F7190"/>
    <w:rsid w:val="006F771F"/>
    <w:rsid w:val="00720B45"/>
    <w:rsid w:val="00741A6D"/>
    <w:rsid w:val="00756295"/>
    <w:rsid w:val="007A7D4A"/>
    <w:rsid w:val="007B576C"/>
    <w:rsid w:val="007C44F0"/>
    <w:rsid w:val="007D2ED2"/>
    <w:rsid w:val="007D59CA"/>
    <w:rsid w:val="007D73E5"/>
    <w:rsid w:val="007E37BF"/>
    <w:rsid w:val="00804A6F"/>
    <w:rsid w:val="008160E3"/>
    <w:rsid w:val="008276FD"/>
    <w:rsid w:val="00851819"/>
    <w:rsid w:val="008922A7"/>
    <w:rsid w:val="00895F52"/>
    <w:rsid w:val="008C73E3"/>
    <w:rsid w:val="008E12B5"/>
    <w:rsid w:val="008E5664"/>
    <w:rsid w:val="009155F9"/>
    <w:rsid w:val="00922E0D"/>
    <w:rsid w:val="00937EC9"/>
    <w:rsid w:val="00942F77"/>
    <w:rsid w:val="00946533"/>
    <w:rsid w:val="0095203A"/>
    <w:rsid w:val="00955E64"/>
    <w:rsid w:val="009741BC"/>
    <w:rsid w:val="0097661F"/>
    <w:rsid w:val="00991146"/>
    <w:rsid w:val="00994CAA"/>
    <w:rsid w:val="00995EF5"/>
    <w:rsid w:val="009A4B16"/>
    <w:rsid w:val="009F3123"/>
    <w:rsid w:val="00A209C1"/>
    <w:rsid w:val="00A36CD0"/>
    <w:rsid w:val="00A6536B"/>
    <w:rsid w:val="00AB40D0"/>
    <w:rsid w:val="00AC70C5"/>
    <w:rsid w:val="00AD217E"/>
    <w:rsid w:val="00AD645D"/>
    <w:rsid w:val="00AE3E5A"/>
    <w:rsid w:val="00AF1AEB"/>
    <w:rsid w:val="00B03F77"/>
    <w:rsid w:val="00B161F4"/>
    <w:rsid w:val="00B21C6D"/>
    <w:rsid w:val="00B27A29"/>
    <w:rsid w:val="00B5314C"/>
    <w:rsid w:val="00B6355F"/>
    <w:rsid w:val="00B651A0"/>
    <w:rsid w:val="00B91B1B"/>
    <w:rsid w:val="00BB6A3D"/>
    <w:rsid w:val="00BE31FE"/>
    <w:rsid w:val="00BF00CE"/>
    <w:rsid w:val="00C0784E"/>
    <w:rsid w:val="00C17FA4"/>
    <w:rsid w:val="00C212D2"/>
    <w:rsid w:val="00C54487"/>
    <w:rsid w:val="00C62941"/>
    <w:rsid w:val="00C84023"/>
    <w:rsid w:val="00C9580B"/>
    <w:rsid w:val="00CC0426"/>
    <w:rsid w:val="00CD24F6"/>
    <w:rsid w:val="00CE0E5F"/>
    <w:rsid w:val="00D30408"/>
    <w:rsid w:val="00D31C8F"/>
    <w:rsid w:val="00D40BE5"/>
    <w:rsid w:val="00D55A0D"/>
    <w:rsid w:val="00D638C6"/>
    <w:rsid w:val="00D73E68"/>
    <w:rsid w:val="00DA1B9A"/>
    <w:rsid w:val="00DE3DB4"/>
    <w:rsid w:val="00E02AF4"/>
    <w:rsid w:val="00E05A88"/>
    <w:rsid w:val="00E14C39"/>
    <w:rsid w:val="00E21DEC"/>
    <w:rsid w:val="00E33B6E"/>
    <w:rsid w:val="00E42C42"/>
    <w:rsid w:val="00E707F3"/>
    <w:rsid w:val="00E90DB9"/>
    <w:rsid w:val="00EA16D6"/>
    <w:rsid w:val="00EC6390"/>
    <w:rsid w:val="00F1683F"/>
    <w:rsid w:val="00F33CC0"/>
    <w:rsid w:val="00F355BC"/>
    <w:rsid w:val="00F43FAD"/>
    <w:rsid w:val="00F4537C"/>
    <w:rsid w:val="00F5794F"/>
    <w:rsid w:val="00F71492"/>
    <w:rsid w:val="00F73D99"/>
    <w:rsid w:val="00F775F0"/>
    <w:rsid w:val="00F87C85"/>
    <w:rsid w:val="00F973DA"/>
    <w:rsid w:val="00FB33A9"/>
    <w:rsid w:val="00FB5D36"/>
    <w:rsid w:val="00FD1CF0"/>
    <w:rsid w:val="00FE6AD8"/>
    <w:rsid w:val="00FF2B80"/>
    <w:rsid w:val="00FF447A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8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37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C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3F77"/>
    <w:pPr>
      <w:keepNext/>
      <w:keepLines/>
      <w:spacing w:before="480" w:line="276" w:lineRule="auto"/>
      <w:outlineLvl w:val="0"/>
    </w:pPr>
    <w:rPr>
      <w:rFonts w:ascii="Arial" w:eastAsia="MS Gothic" w:hAnsi="Arial"/>
      <w:bCs/>
      <w:color w:val="365F91"/>
      <w:sz w:val="44"/>
      <w:szCs w:val="28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77"/>
    <w:pPr>
      <w:keepNext/>
      <w:keepLines/>
      <w:spacing w:before="200"/>
      <w:outlineLvl w:val="1"/>
    </w:pPr>
    <w:rPr>
      <w:rFonts w:ascii="Arial" w:eastAsia="MS Gothic" w:hAnsi="Arial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B31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202BC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CF"/>
    <w:rPr>
      <w:rFonts w:ascii="Lucida Grande CY" w:hAnsi="Lucida Grande CY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2BCF"/>
    <w:rPr>
      <w:rFonts w:ascii="Lucida Grande CY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2B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CF"/>
  </w:style>
  <w:style w:type="character" w:styleId="PageNumber">
    <w:name w:val="page number"/>
    <w:basedOn w:val="DefaultParagraphFont"/>
    <w:uiPriority w:val="99"/>
    <w:semiHidden/>
    <w:unhideWhenUsed/>
    <w:rsid w:val="00202BCF"/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"/>
    <w:basedOn w:val="Normal"/>
    <w:link w:val="FootnoteTextChar"/>
    <w:uiPriority w:val="99"/>
    <w:unhideWhenUsed/>
    <w:rsid w:val="00202BCF"/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rsid w:val="00202BCF"/>
  </w:style>
  <w:style w:type="character" w:styleId="FootnoteReference">
    <w:name w:val="footnote reference"/>
    <w:aliases w:val="BVI fnr,Footnotes refss,ftref,16 Point,Superscript 6 Point,Footnote Reference Number,nota pié di pagina,Times 10 Point, Exposant 3 Point,Footnote symbol,Footnote reference number,Exposant 3 Point,EN Footnote Reference,note TESI"/>
    <w:uiPriority w:val="99"/>
    <w:unhideWhenUsed/>
    <w:rsid w:val="00202BCF"/>
    <w:rPr>
      <w:vertAlign w:val="superscript"/>
    </w:rPr>
  </w:style>
  <w:style w:type="character" w:styleId="Hyperlink">
    <w:name w:val="Hyperlink"/>
    <w:uiPriority w:val="99"/>
    <w:unhideWhenUsed/>
    <w:rsid w:val="00B03F77"/>
    <w:rPr>
      <w:rFonts w:ascii="Arial" w:hAnsi="Arial"/>
      <w:color w:val="auto"/>
      <w:sz w:val="21"/>
      <w:u w:val="none"/>
    </w:rPr>
  </w:style>
  <w:style w:type="character" w:styleId="FollowedHyperlink">
    <w:name w:val="FollowedHyperlink"/>
    <w:uiPriority w:val="99"/>
    <w:semiHidden/>
    <w:unhideWhenUsed/>
    <w:rsid w:val="006079CB"/>
    <w:rPr>
      <w:rFonts w:ascii="Arial" w:hAnsi="Arial"/>
      <w:color w:val="auto"/>
      <w:sz w:val="21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02B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03F77"/>
    <w:rPr>
      <w:rFonts w:ascii="Arial" w:eastAsia="MS Gothic" w:hAnsi="Arial"/>
      <w:bCs/>
      <w:color w:val="365F91"/>
      <w:sz w:val="44"/>
      <w:szCs w:val="28"/>
      <w:lang w:bidi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202BCF"/>
  </w:style>
  <w:style w:type="character" w:customStyle="1" w:styleId="Heading4Char">
    <w:name w:val="Heading 4 Char"/>
    <w:link w:val="Heading4"/>
    <w:uiPriority w:val="9"/>
    <w:rsid w:val="00202BCF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BC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202BCF"/>
    <w:rPr>
      <w:i/>
      <w:iCs/>
    </w:rPr>
  </w:style>
  <w:style w:type="character" w:customStyle="1" w:styleId="apple-converted-space">
    <w:name w:val="apple-converted-space"/>
    <w:basedOn w:val="DefaultParagraphFont"/>
    <w:rsid w:val="00202BCF"/>
  </w:style>
  <w:style w:type="character" w:styleId="Strong">
    <w:name w:val="Strong"/>
    <w:uiPriority w:val="22"/>
    <w:qFormat/>
    <w:rsid w:val="00202BCF"/>
    <w:rPr>
      <w:b/>
      <w:bCs/>
    </w:rPr>
  </w:style>
  <w:style w:type="paragraph" w:customStyle="1" w:styleId="Default">
    <w:name w:val="Default"/>
    <w:rsid w:val="00202BCF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02BCF"/>
    <w:pPr>
      <w:spacing w:line="233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02BCF"/>
    <w:pPr>
      <w:spacing w:line="23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02BCF"/>
    <w:pPr>
      <w:spacing w:line="22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2BC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02BCF"/>
    <w:rPr>
      <w:rFonts w:ascii="Calibri" w:eastAsia="Calibri" w:hAnsi="Calibri"/>
      <w:sz w:val="22"/>
      <w:szCs w:val="22"/>
    </w:rPr>
  </w:style>
  <w:style w:type="paragraph" w:customStyle="1" w:styleId="MainParawithChapter">
    <w:name w:val="Main Para with Chapter#"/>
    <w:basedOn w:val="Default"/>
    <w:next w:val="Default"/>
    <w:uiPriority w:val="99"/>
    <w:rsid w:val="00202BCF"/>
    <w:pPr>
      <w:widowControl/>
    </w:pPr>
    <w:rPr>
      <w:rFonts w:ascii="NEOBME+TimesNewRoman" w:eastAsia="Calibri" w:hAnsi="NEOBME+TimesNewRoman" w:cs="Times New Roman"/>
      <w:color w:val="auto"/>
    </w:rPr>
  </w:style>
  <w:style w:type="table" w:styleId="TableGrid">
    <w:name w:val="Table Grid"/>
    <w:basedOn w:val="TableNormal"/>
    <w:uiPriority w:val="59"/>
    <w:rsid w:val="00202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02B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BCF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202BCF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C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BCF"/>
    <w:rPr>
      <w:rFonts w:ascii="Calibri" w:eastAsia="Calibri" w:hAnsi="Calibr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02BCF"/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202BCF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3F77"/>
    <w:rPr>
      <w:rFonts w:ascii="Arial" w:eastAsia="MS Gothic" w:hAnsi="Arial" w:cs="Times New Roman"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35B31"/>
    <w:rPr>
      <w:rFonts w:ascii="Cambria" w:eastAsia="MS Gothic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37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C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3F77"/>
    <w:pPr>
      <w:keepNext/>
      <w:keepLines/>
      <w:spacing w:before="480" w:line="276" w:lineRule="auto"/>
      <w:outlineLvl w:val="0"/>
    </w:pPr>
    <w:rPr>
      <w:rFonts w:ascii="Arial" w:eastAsia="MS Gothic" w:hAnsi="Arial"/>
      <w:bCs/>
      <w:color w:val="365F91"/>
      <w:sz w:val="44"/>
      <w:szCs w:val="28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77"/>
    <w:pPr>
      <w:keepNext/>
      <w:keepLines/>
      <w:spacing w:before="200"/>
      <w:outlineLvl w:val="1"/>
    </w:pPr>
    <w:rPr>
      <w:rFonts w:ascii="Arial" w:eastAsia="MS Gothic" w:hAnsi="Arial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B31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202BC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CF"/>
    <w:rPr>
      <w:rFonts w:ascii="Lucida Grande CY" w:hAnsi="Lucida Grande CY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2BCF"/>
    <w:rPr>
      <w:rFonts w:ascii="Lucida Grande CY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2B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CF"/>
  </w:style>
  <w:style w:type="character" w:styleId="PageNumber">
    <w:name w:val="page number"/>
    <w:basedOn w:val="DefaultParagraphFont"/>
    <w:uiPriority w:val="99"/>
    <w:semiHidden/>
    <w:unhideWhenUsed/>
    <w:rsid w:val="00202BCF"/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"/>
    <w:basedOn w:val="Normal"/>
    <w:link w:val="FootnoteTextChar"/>
    <w:uiPriority w:val="99"/>
    <w:unhideWhenUsed/>
    <w:rsid w:val="00202BCF"/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rsid w:val="00202BCF"/>
  </w:style>
  <w:style w:type="character" w:styleId="FootnoteReference">
    <w:name w:val="footnote reference"/>
    <w:aliases w:val="BVI fnr,Footnotes refss,ftref,16 Point,Superscript 6 Point,Footnote Reference Number,nota pié di pagina,Times 10 Point, Exposant 3 Point,Footnote symbol,Footnote reference number,Exposant 3 Point,EN Footnote Reference,note TESI"/>
    <w:uiPriority w:val="99"/>
    <w:unhideWhenUsed/>
    <w:rsid w:val="00202BCF"/>
    <w:rPr>
      <w:vertAlign w:val="superscript"/>
    </w:rPr>
  </w:style>
  <w:style w:type="character" w:styleId="Hyperlink">
    <w:name w:val="Hyperlink"/>
    <w:uiPriority w:val="99"/>
    <w:unhideWhenUsed/>
    <w:rsid w:val="00B03F77"/>
    <w:rPr>
      <w:rFonts w:ascii="Arial" w:hAnsi="Arial"/>
      <w:color w:val="auto"/>
      <w:sz w:val="21"/>
      <w:u w:val="none"/>
    </w:rPr>
  </w:style>
  <w:style w:type="character" w:styleId="FollowedHyperlink">
    <w:name w:val="FollowedHyperlink"/>
    <w:uiPriority w:val="99"/>
    <w:semiHidden/>
    <w:unhideWhenUsed/>
    <w:rsid w:val="006079CB"/>
    <w:rPr>
      <w:rFonts w:ascii="Arial" w:hAnsi="Arial"/>
      <w:color w:val="auto"/>
      <w:sz w:val="21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02B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03F77"/>
    <w:rPr>
      <w:rFonts w:ascii="Arial" w:eastAsia="MS Gothic" w:hAnsi="Arial"/>
      <w:bCs/>
      <w:color w:val="365F91"/>
      <w:sz w:val="44"/>
      <w:szCs w:val="28"/>
      <w:lang w:bidi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202BCF"/>
  </w:style>
  <w:style w:type="character" w:customStyle="1" w:styleId="Heading4Char">
    <w:name w:val="Heading 4 Char"/>
    <w:link w:val="Heading4"/>
    <w:uiPriority w:val="9"/>
    <w:rsid w:val="00202BCF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BC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202BCF"/>
    <w:rPr>
      <w:i/>
      <w:iCs/>
    </w:rPr>
  </w:style>
  <w:style w:type="character" w:customStyle="1" w:styleId="apple-converted-space">
    <w:name w:val="apple-converted-space"/>
    <w:basedOn w:val="DefaultParagraphFont"/>
    <w:rsid w:val="00202BCF"/>
  </w:style>
  <w:style w:type="character" w:styleId="Strong">
    <w:name w:val="Strong"/>
    <w:uiPriority w:val="22"/>
    <w:qFormat/>
    <w:rsid w:val="00202BCF"/>
    <w:rPr>
      <w:b/>
      <w:bCs/>
    </w:rPr>
  </w:style>
  <w:style w:type="paragraph" w:customStyle="1" w:styleId="Default">
    <w:name w:val="Default"/>
    <w:rsid w:val="00202BCF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02BCF"/>
    <w:pPr>
      <w:spacing w:line="233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202BCF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02BCF"/>
    <w:pPr>
      <w:spacing w:line="23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02BCF"/>
    <w:pPr>
      <w:spacing w:line="22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2BC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02BCF"/>
    <w:rPr>
      <w:rFonts w:ascii="Calibri" w:eastAsia="Calibri" w:hAnsi="Calibri"/>
      <w:sz w:val="22"/>
      <w:szCs w:val="22"/>
    </w:rPr>
  </w:style>
  <w:style w:type="paragraph" w:customStyle="1" w:styleId="MainParawithChapter">
    <w:name w:val="Main Para with Chapter#"/>
    <w:basedOn w:val="Default"/>
    <w:next w:val="Default"/>
    <w:uiPriority w:val="99"/>
    <w:rsid w:val="00202BCF"/>
    <w:pPr>
      <w:widowControl/>
    </w:pPr>
    <w:rPr>
      <w:rFonts w:ascii="NEOBME+TimesNewRoman" w:eastAsia="Calibri" w:hAnsi="NEOBME+TimesNewRoman" w:cs="Times New Roman"/>
      <w:color w:val="auto"/>
    </w:rPr>
  </w:style>
  <w:style w:type="table" w:styleId="TableGrid">
    <w:name w:val="Table Grid"/>
    <w:basedOn w:val="TableNormal"/>
    <w:uiPriority w:val="59"/>
    <w:rsid w:val="00202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02B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BCF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202BCF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C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BCF"/>
    <w:rPr>
      <w:rFonts w:ascii="Calibri" w:eastAsia="Calibri" w:hAnsi="Calibr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02BCF"/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202BCF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3F77"/>
    <w:rPr>
      <w:rFonts w:ascii="Arial" w:eastAsia="MS Gothic" w:hAnsi="Arial" w:cs="Times New Roman"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35B31"/>
    <w:rPr>
      <w:rFonts w:ascii="Cambria" w:eastAsia="MS Gothic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p.eurostat.ec.europa.eu/statistics_explained/index.php/Glossary:At-risk-of-poverty_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UN95</b:Tag>
    <b:SourceType>Report</b:SourceType>
    <b:Guid>{4F8D1EE4-318B-424C-8EB1-15228AF061CF}</b:Guid>
    <b:Author>
      <b:Author>
        <b:Corporate>UN</b:Corporate>
      </b:Author>
    </b:Author>
    <b:Title>The Copenhagen Declaration and Programme of Action: World Summit for Social Development</b:Title>
    <b:City>New York</b:City>
    <b:Year>1995</b:Year>
    <b:RefOrder>38</b:RefOrder>
  </b:Source>
  <b:Source>
    <b:Tag>Sti09</b:Tag>
    <b:SourceType>Report</b:SourceType>
    <b:Guid>{83114999-A085-2948-8708-0C7B710F36EC}</b:Guid>
    <b:Author>
      <b:Author>
        <b:NameList>
          <b:Person>
            <b:Last>Stiglitz</b:Last>
            <b:First>Joseph</b:First>
          </b:Person>
          <b:Person>
            <b:Last>Sen</b:Last>
            <b:First>Amartya</b:First>
          </b:Person>
          <b:Person>
            <b:Last>Fitoussi</b:Last>
            <b:First>Jean-Paul</b:First>
          </b:Person>
        </b:NameList>
      </b:Author>
    </b:Author>
    <b:Title>Report by the Commission on the Measurement of Economic Performance and Social Progress</b:Title>
    <b:Year>2009</b:Year>
    <b:RefOrder>32</b:RefOrder>
  </b:Source>
  <b:Source>
    <b:Tag>Sen85</b:Tag>
    <b:SourceType>JournalArticle</b:SourceType>
    <b:Guid>{595346F6-94DB-4C45-A867-C517EDA7345C}</b:Guid>
    <b:Title>The Standard of Living</b:Title>
    <b:Year>1985</b:Year>
    <b:Pages>3-51</b:Pages>
    <b:Author>
      <b:Author>
        <b:NameList>
          <b:Person>
            <b:Last>Sen</b:Last>
            <b:First>Amartya</b:First>
          </b:Person>
        </b:NameList>
      </b:Author>
    </b:Author>
    <b:JournalName>THE TANNER LECTURES ON HUMAN VALUES </b:JournalName>
    <b:RefOrder>39</b:RefOrder>
  </b:Source>
  <b:Source>
    <b:Tag>Rep10</b:Tag>
    <b:SourceType>Report</b:SourceType>
    <b:Guid>{03506BD4-D276-9D4B-9C50-780777BA032E}</b:Guid>
    <b:LCID>uz-Cyrl-UZ</b:LCID>
    <b:Author>
      <b:Author>
        <b:Corporate>Republika Srbija</b:Corporate>
      </b:Author>
    </b:Author>
    <b:Title>Prvi nacionalni izveštaj o socijalnom uključivanju i smanjenju siromaštva u Republici Srbiji</b:Title>
    <b:Year>2010</b:Year>
    <b:Publisher>Vlada Republike Srbije</b:Publisher>
    <b:City>Beograd</b:City>
    <b:RefOrder>1</b:RefOrder>
  </b:Source>
  <b:Source>
    <b:Tag>Tim10</b:Tag>
    <b:SourceType>Report</b:SourceType>
    <b:Guid>{EE30C7ED-74FF-4757-B54D-67071C48ECB1}</b:Guid>
    <b:LCID>uz-Cyrl-UZ</b:LCID>
    <b:Author>
      <b:Author>
        <b:Corporate>Tim za socijalno uključivanje i smanjenje siromaštva i Republički zavod za statistiku</b:Corporate>
      </b:Author>
    </b:Author>
    <b:Title>Praćenje socijalne uključenosti u Srbiji</b:Title>
    <b:Year>2010</b:Year>
    <b:Publisher>Vlada Republike Srbije</b:Publisher>
    <b:City>Beograd</b:City>
    <b:RefOrder>40</b:RefOrder>
  </b:Source>
  <b:Source>
    <b:Tag>Rep11</b:Tag>
    <b:SourceType>ArticleInAPeriodical</b:SourceType>
    <b:Guid>{FBDDD1DF-EDE1-9545-B6A9-4599E7F134F6}</b:Guid>
    <b:Title>Siromaštvo u Republici Srbiji, 2008-2010</b:Title>
    <b:Year>2011</b:Year>
    <b:Author>
      <b:Author>
        <b:Corporate>Republički zavod za statistiku</b:Corporate>
      </b:Author>
    </b:Author>
    <b:ThesisType>Saopštenje</b:ThesisType>
    <b:PeriodicalTitle>Saopštenje </b:PeriodicalTitle>
    <b:Day>117</b:Day>
    <b:RefOrder>41</b:RefOrder>
  </b:Source>
  <b:Source>
    <b:Tag>Rep13</b:Tag>
    <b:SourceType>ArticleInAPeriodical</b:SourceType>
    <b:Guid>{04238571-F330-5B45-9607-7584B3E10267}</b:Guid>
    <b:Author>
      <b:Author>
        <b:Corporate>Republički zavod za statistiku</b:Corporate>
      </b:Author>
    </b:Author>
    <b:Title>Siromaštvo i socijalna nejednakost u Republici Srbiji</b:Title>
    <b:Year>2013</b:Year>
    <b:PeriodicalTitle>Saopštenje</b:PeriodicalTitle>
    <b:Month>decembar</b:Month>
    <b:RefOrder>2</b:RefOrder>
  </b:Source>
  <b:Source>
    <b:Tag>NBE</b:Tag>
    <b:SourceType>ArticleInAPeriodical</b:SourceType>
    <b:Guid>{2ADEDBB8-60B9-C84D-9A71-A9324639C6B5}</b:Guid>
    <b:Author>
      <b:Author>
        <b:NameList>
          <b:Person>
            <b:Last>Ravallion</b:Last>
            <b:First>Martin</b:First>
          </b:Person>
        </b:NameList>
      </b:Author>
    </b:Author>
    <b:Title>The Idea of Antipoverty Policy</b:Title>
    <b:Publisher>National Bureau of Economic Research</b:Publisher>
    <b:City>Cambridge</b:City>
    <b:Year>2013</b:Year>
    <b:PeriodicalTitle>NBER Working Paper Series</b:PeriodicalTitle>
    <b:Issue>Working Paper 19210</b:Issue>
    <b:RefOrder>42</b:RefOrder>
  </b:Source>
  <b:Source>
    <b:Tag>Han97</b:Tag>
    <b:SourceType>JournalArticle</b:SourceType>
    <b:Guid>{DFD16011-5EC8-E948-91B7-9AC5F09CEE1A}</b:Guid>
    <b:Author>
      <b:Author>
        <b:NameList>
          <b:Person>
            <b:Last>Hanson</b:Last>
            <b:First>Allan</b:First>
          </b:Person>
        </b:NameList>
      </b:Author>
    </b:Author>
    <b:Title>How Poverty Lost Its Meaning</b:Title>
    <b:Publisher>Cato Institute</b:Publisher>
    <b:Year>1997</b:Year>
    <b:Volume>17</b:Volume>
    <b:Pages>189-209</b:Pages>
    <b:Issue>2</b:Issue>
    <b:JournalName>Cato Journal</b:JournalName>
    <b:RefOrder>43</b:RefOrder>
  </b:Source>
  <b:Source>
    <b:Tag>Gor88</b:Tag>
    <b:SourceType>Book</b:SourceType>
    <b:Guid>{9944F3E7-C546-CD49-AE86-2BB664DD6544}</b:Guid>
    <b:Author>
      <b:Author>
        <b:NameList>
          <b:Person>
            <b:Last>Gordon</b:Last>
            <b:First>Margaret</b:First>
            <b:Middle>S.</b:Middle>
          </b:Person>
        </b:NameList>
      </b:Author>
    </b:Author>
    <b:Title>Social Security Policies in Industrial Countries: A Comparative Analysis</b:Title>
    <b:Publisher>Cambridge University Press</b:Publisher>
    <b:City>New York</b:City>
    <b:Year>1988</b:Year>
    <b:RefOrder>44</b:RefOrder>
  </b:Source>
  <b:Source>
    <b:Tag>Bra08</b:Tag>
    <b:SourceType>ArticleInAPeriodical</b:SourceType>
    <b:Guid>{3CA64A8B-8256-7446-80ED-AB24557FCD61}</b:Guid>
    <b:Author>
      <b:Author>
        <b:NameList>
          <b:Person>
            <b:Last>Braithwaite</b:Last>
            <b:First>Jeanine</b:First>
          </b:Person>
          <b:Person>
            <b:Last>Mont</b:Last>
            <b:First>Daniel</b:First>
          </b:Person>
        </b:NameList>
      </b:Author>
    </b:Author>
    <b:Title>Invalidnost i siromaštvo: Studija Svetske banke o istraživanju siromaštva i njegovim posledicama</b:Title>
    <b:Publisher>World Bank</b:Publisher>
    <b:Year>2008</b:Year>
    <b:PeriodicalTitle>Working Paper, Social Protection and Labor</b:PeriodicalTitle>
    <b:Issue>0805</b:Issue>
    <b:RefOrder>45</b:RefOrder>
  </b:Source>
  <b:Source>
    <b:Tag>Sen00</b:Tag>
    <b:SourceType>ArticleInAPeriodical</b:SourceType>
    <b:Guid>{433BD542-7866-744F-BE8D-45487D5068A9}</b:Guid>
    <b:Author>
      <b:Author>
        <b:NameList>
          <b:Person>
            <b:Last>Sen</b:Last>
            <b:First>Amartya</b:First>
          </b:Person>
        </b:NameList>
      </b:Author>
    </b:Author>
    <b:Title>Social Exclusion: Concept, Application, and Scrutiny</b:Title>
    <b:PeriodicalTitle>Social Development Papers</b:PeriodicalTitle>
    <b:Publisher>Asian Development Bank</b:Publisher>
    <b:Year>2000</b:Year>
    <b:Issue>1</b:Issue>
    <b:RefOrder>46</b:RefOrder>
  </b:Source>
  <b:Source>
    <b:Tag>Ors65</b:Tag>
    <b:SourceType>JournalArticle</b:SourceType>
    <b:Guid>{518F643C-C579-FC4F-8046-BF58DC378811}</b:Guid>
    <b:Author>
      <b:Author>
        <b:NameList>
          <b:Person>
            <b:Last>Orshansky</b:Last>
            <b:First>Molly</b:First>
          </b:Person>
        </b:NameList>
      </b:Author>
    </b:Author>
    <b:Title>Counting the  Poor: Another Look at the Poverty Profile</b:Title>
    <b:JournalName>Social Security Bulletin</b:JournalName>
    <b:Year>1965</b:Year>
    <b:Volume>28</b:Volume>
    <b:Issue>1</b:Issue>
    <b:Pages>3-29</b:Pages>
    <b:RefOrder>47</b:RefOrder>
  </b:Source>
  <b:Source>
    <b:Tag>Fis921</b:Tag>
    <b:SourceType>JournalArticle</b:SourceType>
    <b:Guid>{913416F6-B2E4-1A4D-A7F2-E3CC0D59A6C6}</b:Guid>
    <b:Author>
      <b:Author>
        <b:NameList>
          <b:Person>
            <b:Last>Fisher</b:Last>
            <b:First>Gordon</b:First>
            <b:Middle>M.</b:Middle>
          </b:Person>
        </b:NameList>
      </b:Author>
    </b:Author>
    <b:Title>The Development and History of the Poverty Tresholds</b:Title>
    <b:JournalName>Social Security Bulletin</b:JournalName>
    <b:Year>1992</b:Year>
    <b:Volume>55</b:Volume>
    <b:Issue>4</b:Issue>
    <b:Pages>3-14</b:Pages>
    <b:RefOrder>48</b:RefOrder>
  </b:Source>
  <b:Source>
    <b:Tag>Rav10</b:Tag>
    <b:SourceType>ArticleInAPeriodical</b:SourceType>
    <b:Guid>{35A33604-6116-FF4C-A252-120339A20D24}</b:Guid>
    <b:Author>
      <b:Author>
        <b:NameList>
          <b:Person>
            <b:Last>Ravallion</b:Last>
            <b:First>Martin</b:First>
          </b:Person>
        </b:NameList>
      </b:Author>
    </b:Author>
    <b:Title>Poverty Lines across the World</b:Title>
    <b:Publisher>The World Bank Development Research Group</b:Publisher>
    <b:Year>2010</b:Year>
    <b:Month>April</b:Month>
    <b:Issue>5284</b:Issue>
    <b:PeriodicalTitle>Policy Research Working Papers </b:PeriodicalTitle>
    <b:RefOrder>49</b:RefOrder>
  </b:Source>
  <b:Source>
    <b:Tag>Cou04</b:Tag>
    <b:SourceType>Report</b:SourceType>
    <b:Guid>{E3DE3AE4-ECFD-C847-B961-06A0131E66CF}</b:Guid>
    <b:Title>Joint report by the Commission and the Council on social inclusion </b:Title>
    <b:City>Brussels </b:City>
    <b:Year>2004</b:Year>
    <b:Author>
      <b:Author>
        <b:Corporate>Council of European Union</b:Corporate>
      </b:Author>
    </b:Author>
    <b:RefOrder>50</b:RefOrder>
  </b:Source>
  <b:Source>
    <b:Tag>Sen98</b:Tag>
    <b:SourceType>BookSection</b:SourceType>
    <b:Guid>{94471AF7-0987-EE44-A095-32A54026D9A8}</b:Guid>
    <b:Title>The Living Standard</b:Title>
    <b:Publisher>Rowman &amp; Littlefield</b:Publisher>
    <b:City>New York</b:City>
    <b:Year>1998</b:Year>
    <b:Pages>293-311</b:Pages>
    <b:Author>
      <b:Author>
        <b:NameList>
          <b:Person>
            <b:Last>Sen</b:Last>
            <b:First>Amartya</b:First>
          </b:Person>
        </b:NameList>
      </b:Author>
      <b:BookAuthor>
        <b:NameList>
          <b:Person>
            <b:Last>Crocker</b:Last>
            <b:First>David</b:First>
          </b:Person>
          <b:Person>
            <b:Last>(eds)</b:Last>
            <b:First>Linden</b:First>
            <b:Middle>Toby</b:Middle>
          </b:Person>
        </b:NameList>
      </b:BookAuthor>
    </b:Author>
    <b:BookTitle>Ethics of Consumption</b:BookTitle>
    <b:RefOrder>51</b:RefOrder>
  </b:Source>
  <b:Source>
    <b:Tag>Row02</b:Tag>
    <b:SourceType>Book</b:SourceType>
    <b:Guid>{8BE0D585-1361-5D43-B126-AF18512C13F8}</b:Guid>
    <b:Author>
      <b:Author>
        <b:NameList>
          <b:Person>
            <b:Last>Rowntree</b:Last>
            <b:First>Seebohm</b:First>
          </b:Person>
        </b:NameList>
      </b:Author>
    </b:Author>
    <b:Title>Poverty: A Study of Town Life</b:Title>
    <b:City>London</b:City>
    <b:Publisher>Macmillan </b:Publisher>
    <b:Year>1902</b:Year>
    <b:Edition>Third edition</b:Edition>
    <b:RefOrder>4</b:RefOrder>
  </b:Source>
  <b:Source>
    <b:Tag>Rav92</b:Tag>
    <b:SourceType>ArticleInAPeriodical</b:SourceType>
    <b:Guid>{04D4B157-A1B3-704D-80D1-A6DF8B50BA20}</b:Guid>
    <b:Author>
      <b:Author>
        <b:NameList>
          <b:Person>
            <b:Last>Ravallion</b:Last>
            <b:First>Martin</b:First>
          </b:Person>
        </b:NameList>
      </b:Author>
    </b:Author>
    <b:Title>Poverty comparisons : a guide to concepts and methods. Living standards measurement study (LSMS) working paper ; no. LSM 88. Washington, DC : The World Bank</b:Title>
    <b:Publisher>The World Bank</b:Publisher>
    <b:City>Washington, DC :</b:City>
    <b:Year>1992</b:Year>
    <b:PeriodicalTitle> Living standards measurement study (LSMS) working paper</b:PeriodicalTitle>
    <b:Issue>no. LSM 88</b:Issue>
    <b:RefOrder>33</b:RefOrder>
  </b:Source>
  <b:Source>
    <b:Tag>Ade03</b:Tag>
    <b:SourceType>Report</b:SourceType>
    <b:Guid>{3CEB6170-9FA5-ED45-B7F0-5FDBE5BBB6F9}</b:Guid>
    <b:Author>
      <b:Author>
        <b:NameList>
          <b:Person>
            <b:Last>Adelman</b:Last>
            <b:First>Laura</b:First>
          </b:Person>
          <b:Person>
            <b:Last>Middleton</b:Last>
            <b:First>Sue</b:First>
          </b:Person>
          <b:Person>
            <b:Last>Ashworth</b:Last>
            <b:First>Karl</b:First>
          </b:Person>
        </b:NameList>
      </b:Author>
    </b:Author>
    <b:Title>Britain’ s Poorest Children: severe and persistent poverty and social exclusion</b:Title>
    <b:Publisher>Save the Children</b:Publisher>
    <b:City>London</b:City>
    <b:Year>2003</b:Year>
    <b:RefOrder>5</b:RefOrder>
  </b:Source>
  <b:Source>
    <b:Tag>NBI09</b:Tag>
    <b:SourceType>Report</b:SourceType>
    <b:Guid>{3D1F71A3-1A61-124C-BC4E-554FB64270B2}</b:Guid>
    <b:Title>Handbook on Reference Budget</b:Title>
    <b:Publisher>National Institute for Budget Information of the Netherlands</b:Publisher>
    <b:Year>2009</b:Year>
    <b:Author>
      <b:Author>
        <b:Corporate>NIBUD</b:Corporate>
      </b:Author>
    </b:Author>
    <b:RefOrder>7</b:RefOrder>
  </b:Source>
  <b:Source>
    <b:Tag>Hir13</b:Tag>
    <b:SourceType>Report</b:SourceType>
    <b:Guid>{BADEF912-C1C0-8948-A546-190E8B5B232F}</b:Guid>
    <b:Author>
      <b:Author>
        <b:NameList>
          <b:Person>
            <b:Last>Hirsch</b:Last>
            <b:First>Donald</b:First>
          </b:Person>
        </b:NameList>
      </b:Author>
    </b:Author>
    <b:Title>A Minimum Income Standard for the UK in 2013</b:Title>
    <b:Publisher>Joseph Rowntree Foundation </b:Publisher>
    <b:Year>2013</b:Year>
    <b:RefOrder>8</b:RefOrder>
  </b:Source>
  <b:Source>
    <b:Tag>Bra101</b:Tag>
    <b:SourceType>Report</b:SourceType>
    <b:Guid>{9BFA414C-EA21-AA46-8AF5-F028F6A50F84}</b:Guid>
    <b:Author>
      <b:Author>
        <b:NameList>
          <b:Person>
            <b:Last>Bradshaw</b:Last>
            <b:First>Jonathan</b:First>
          </b:Person>
          <b:Person>
            <b:Last>Mayhew</b:Last>
            <b:First>Emese</b:First>
          </b:Person>
        </b:NameList>
      </b:Author>
    </b:Author>
    <b:Title>The Measurement of Extreme Poverty in the European Union </b:Title>
    <b:Publisher>European Union </b:Publisher>
    <b:Year>2010</b:Year>
    <b:RefOrder>9</b:RefOrder>
  </b:Source>
  <b:Source>
    <b:Tag>Atk99</b:Tag>
    <b:SourceType>ConferenceProceedings</b:SourceType>
    <b:Guid>{64385719-DA5A-6941-8DDE-17BA94FD1E70}</b:Guid>
    <b:Author>
      <b:Author>
        <b:NameList>
          <b:Person>
            <b:Last>Atkinson</b:Last>
            <b:First>Anthony</b:First>
          </b:Person>
          <b:Person>
            <b:Last>François</b:Last>
            <b:First>Bourguignon</b:First>
          </b:Person>
        </b:NameList>
      </b:Author>
    </b:Author>
    <b:Title>Poverty and Inclusion from a World Perspective</b:Title>
    <b:City>Paris</b:City>
    <b:Year>1999</b:Year>
    <b:ConferenceName>ABCDE Europe Conference </b:ConferenceName>
    <b:RefOrder>10</b:RefOrder>
  </b:Source>
  <b:Source>
    <b:Tag>Pog08</b:Tag>
    <b:SourceType>ArticleInAPeriodical</b:SourceType>
    <b:Guid>{DC8A2498-844D-9D4B-97AA-FEEEE7483600}</b:Guid>
    <b:Author>
      <b:Author>
        <b:NameList>
          <b:Person>
            <b:Last>Pogge</b:Last>
            <b:First>Thomas</b:First>
          </b:Person>
        </b:NameList>
      </b:Author>
    </b:Author>
    <b:Title>A consistent measure of real poverty: A reply to Ravallion  </b:Title>
    <b:City>Brasila</b:City>
    <b:Year>2008</b:Year>
    <b:Pages>One pager</b:Pages>
    <b:PeriodicalTitle> International Poverty Centre</b:PeriodicalTitle>
    <b:Issue>No 54</b:Issue>
    <b:RefOrder>11</b:RefOrder>
  </b:Source>
  <b:Source>
    <b:Tag>Wal11</b:Tag>
    <b:SourceType>ConferenceProceedings</b:SourceType>
    <b:Guid>{5C84B56D-2E1F-B243-9D5E-8E4440AD4D5E}</b:Guid>
    <b:Author>
      <b:Author>
        <b:NameList>
          <b:Person>
            <b:Last>Walker</b:Last>
            <b:First>Robert</b:First>
          </b:Person>
        </b:NameList>
      </b:Author>
    </b:Author>
    <b:Title>The Setting of National Poverty Targets  </b:Title>
    <b:Publisher>European Commission Employment, Social Affairs and Inclusion </b:Publisher>
    <b:City>Dublin</b:City>
    <b:Year>2011</b:Year>
    <b:ConferenceName>Synthesis Report Peer Review in Social Protection and Social inclusion</b:ConferenceName>
    <b:RefOrder>13</b:RefOrder>
  </b:Source>
  <b:Source>
    <b:Tag>Tow79</b:Tag>
    <b:SourceType>Book</b:SourceType>
    <b:Guid>{17F66853-F81D-DC40-BE3E-DAA434481AF6}</b:Guid>
    <b:Author>
      <b:Author>
        <b:NameList>
          <b:Person>
            <b:Last>Townsend</b:Last>
            <b:First>Peter</b:First>
          </b:Person>
        </b:NameList>
      </b:Author>
    </b:Author>
    <b:Title>Poverty in the United Kingdom</b:Title>
    <b:Publisher>Allen Lane and Penguin Books</b:Publisher>
    <b:City>London</b:City>
    <b:Year>1979</b:Year>
    <b:RefOrder>14</b:RefOrder>
  </b:Source>
  <b:Source>
    <b:Tag>Boa06</b:Tag>
    <b:SourceType>ArticleInAPeriodical</b:SourceType>
    <b:Guid>{9546611B-796E-6041-9023-40B478062900}</b:Guid>
    <b:Author>
      <b:Author>
        <b:NameList>
          <b:Person>
            <b:Last>Boarini</b:Last>
            <b:First>Romina</b:First>
          </b:Person>
          <b:Person>
            <b:Last>Mira d'Ercole</b:Last>
            <b:First>Marco</b:First>
          </b:Person>
        </b:NameList>
      </b:Author>
    </b:Author>
    <b:Title>Measures of  Material Deprivation in OECD Countries</b:Title>
    <b:Year>2006</b:Year>
    <b:PeriodicalTitle>OECD SOCIAL, EMPLOYMENT AND MIGRATION WORKING PAPERS </b:PeriodicalTitle>
    <b:RefOrder>15</b:RefOrder>
  </b:Source>
  <b:Source>
    <b:Tag>Fus10</b:Tag>
    <b:SourceType>BookSection</b:SourceType>
    <b:Guid>{17A55AF9-2BB2-2549-BB14-8A048F29B2ED}</b:Guid>
    <b:Author>
      <b:Author>
        <b:NameList>
          <b:Person>
            <b:Last>Fusco</b:Last>
            <b:First>Alessio</b:First>
          </b:Person>
          <b:Person>
            <b:Last>Guio</b:Last>
            <b:First>Anne-Catherine</b:First>
          </b:Person>
          <b:Person>
            <b:Last>Marlier</b:Last>
            <b:First>Eric</b:First>
          </b:Person>
        </b:NameList>
      </b:Author>
      <b:BookAuthor>
        <b:NameList>
          <b:Person>
            <b:Last>Atkinson</b:Last>
            <b:First>B.</b:First>
            <b:Middle>Anthony</b:Middle>
          </b:Person>
          <b:Person>
            <b:Last>Marlier</b:Last>
            <b:First>Eric</b:First>
          </b:Person>
        </b:NameList>
      </b:BookAuthor>
    </b:Author>
    <b:Title>Characterising the Income Poor and the Materially Deprived in European Countries </b:Title>
    <b:Publisher>Publications Office of the European Union</b:Publisher>
    <b:City>Luxembourg</b:City>
    <b:Year>2010</b:Year>
    <b:Pages>133-155</b:Pages>
    <b:BookTitle>Income and Living Conditions in Europe </b:BookTitle>
    <b:RefOrder>16</b:RefOrder>
  </b:Source>
  <b:Source>
    <b:Tag>Nol10</b:Tag>
    <b:SourceType>JournalArticle</b:SourceType>
    <b:Guid>{0EAD1C24-4A79-2040-AFE1-3BC95657933B}</b:Guid>
    <b:Author>
      <b:Author>
        <b:NameList>
          <b:Person>
            <b:Last>Nolan</b:Last>
            <b:First>Brian</b:First>
          </b:Person>
          <b:Person>
            <b:Last>Whelan</b:Last>
            <b:First>Christopher</b:First>
            <b:Middle>T.</b:Middle>
          </b:Person>
        </b:NameList>
      </b:Author>
    </b:Author>
    <b:Title>Using non-monetary deprivation indicators to analyse poverty and social exclusion: Lessons from Europe?</b:Title>
    <b:Volume>Vol. 29</b:Volume>
    <b:Year>2010</b:Year>
    <b:Pages>305-325</b:Pages>
    <b:JournalName>Journal of Policy Analysis and Management</b:JournalName>
    <b:Issue>No 2</b:Issue>
    <b:RefOrder>52</b:RefOrder>
  </b:Source>
  <b:Source>
    <b:Tag>Eur09</b:Tag>
    <b:SourceType>Report</b:SourceType>
    <b:Guid>{F0A73F39-C754-7D4C-B265-F3B9565AD3BB}</b:Guid>
    <b:Author>
      <b:Author>
        <b:Corporate>European Commission</b:Corporate>
      </b:Author>
    </b:Author>
    <b:Title>Portfolio of indicators for the monitoring of the European Strategy for Social Protection and Social Inclusion – 2009 update</b:Title>
    <b:Year>2009</b:Year>
    <b:RefOrder>17</b:RefOrder>
  </b:Source>
  <b:Source>
    <b:Tag>Eur13</b:Tag>
    <b:SourceType>ConferenceProceedings</b:SourceType>
    <b:Guid>{B1B5AD3C-50F4-0F41-A9DE-C8ADC8DB7DAA}</b:Guid>
    <b:Author>
      <b:Author>
        <b:Corporate>Eurostat</b:Corporate>
      </b:Author>
    </b:Author>
    <b:Title>The measurement of poverty and social inclusion in the EU: achievements and further improvements </b:Title>
    <b:ConferenceName>The way forward in poverty measurement</b:ConferenceName>
    <b:Publisher>United Nations Economic Commission For Europe </b:Publisher>
    <b:City>Geneva</b:City>
    <b:Year>2013</b:Year>
    <b:RefOrder>18</b:RefOrder>
  </b:Source>
  <b:Source>
    <b:Tag>OEC13</b:Tag>
    <b:SourceType>Report</b:SourceType>
    <b:Guid>{3BEF1975-94F6-D64E-8011-FF0E900D1091}</b:Guid>
    <b:Author>
      <b:Author>
        <b:Corporate>OECD</b:Corporate>
      </b:Author>
    </b:Author>
    <b:Title>OECD Guidelines on Measuring Subjective Well-being</b:Title>
    <b:Publisher>OECD Publishing</b:Publisher>
    <b:Year>2013</b:Year>
    <b:RefOrder>19</b:RefOrder>
  </b:Source>
  <b:Source>
    <b:Tag>Van05</b:Tag>
    <b:SourceType>ConferenceProceedings</b:SourceType>
    <b:Guid>{0C5B23AD-DC1D-AE44-AE89-254A1868DAE5}</b:Guid>
    <b:Author>
      <b:Author>
        <b:NameList>
          <b:Person>
            <b:Last>Van Praag</b:Last>
            <b:First>Bernard</b:First>
          </b:Person>
          <b:Person>
            <b:Last>Carbonell</b:Last>
            <b:First>Ada</b:First>
            <b:Middle>Ferrer-i</b:Middle>
          </b:Person>
        </b:NameList>
      </b:Author>
    </b:Author>
    <b:Title>A Multi-dimensional Approach to Subjective Poverty </b:Title>
    <b:Publisher>The International Poverty Centre (UNDP) </b:Publisher>
    <b:City>Brasilia</b:City>
    <b:Year>2005</b:Year>
    <b:ConferenceName>The Measurement of Multidimensional Poverty,Theory and Evidence</b:ConferenceName>
    <b:RefOrder>20</b:RefOrder>
  </b:Source>
  <b:Source>
    <b:Tag>Ber01</b:Tag>
    <b:SourceType>JournalArticle</b:SourceType>
    <b:Guid>{06657042-6059-7A44-8AA4-28F56A517986}</b:Guid>
    <b:Author>
      <b:Author>
        <b:NameList>
          <b:Person>
            <b:Last>Bertrand</b:Last>
            <b:First>Marianne</b:First>
          </b:Person>
          <b:Person>
            <b:Last>Mullainathan</b:Last>
            <b:First>Sendhil</b:First>
          </b:Person>
        </b:NameList>
      </b:Author>
    </b:Author>
    <b:Title>Do People Mean What They Say? Implications for Subjective Survey Data</b:Title>
    <b:Year>2001</b:Year>
    <b:Issue>91(2):</b:Issue>
    <b:Pages>67-72</b:Pages>
    <b:JournalName>American Economic Review, Papers and Proceedings</b:JournalName>
    <b:RefOrder>21</b:RefOrder>
  </b:Source>
  <b:Source>
    <b:Tag>Boa061</b:Tag>
    <b:SourceType>ArticleInAPeriodical</b:SourceType>
    <b:Guid>{C7874109-CA59-6E4D-9CFC-347AE8202982}</b:Guid>
    <b:Author>
      <b:Author>
        <b:NameList>
          <b:Person>
            <b:Last>Boarini</b:Last>
            <b:First>Romina</b:First>
          </b:Person>
          <b:Person>
            <b:Last>Johansson</b:Last>
            <b:First>Asa</b:First>
          </b:Person>
          <b:Person>
            <b:Last>Mira d'Ercole</b:Last>
            <b:First>Marco</b:First>
          </b:Person>
        </b:NameList>
      </b:Author>
    </b:Author>
    <b:Title>Alternative Measures of Well-Being</b:Title>
    <b:Year>2006</b:Year>
    <b:PeriodicalTitle>OECD SOCIAL, EMPLOYMENT AND MIGRATION WORKING PAPERS </b:PeriodicalTitle>
    <b:Issue>33</b:Issue>
    <b:RefOrder>53</b:RefOrder>
  </b:Source>
  <b:Source>
    <b:Tag>Gor06</b:Tag>
    <b:SourceType>BookSection</b:SourceType>
    <b:Guid>{D9AA100B-80C1-C941-A6FA-245C0ACDD4F1}</b:Guid>
    <b:Author>
      <b:Author>
        <b:NameList>
          <b:Person>
            <b:Last>Gordon</b:Last>
            <b:First>David</b:First>
          </b:Person>
        </b:NameList>
      </b:Author>
      <b:BookAuthor>
        <b:NameList>
          <b:Person>
            <b:Last>Pantazis</b:Last>
            <b:First>C.,</b:First>
            <b:Middle>Gordon, D. and Levitas, R.</b:Middle>
          </b:Person>
        </b:NameList>
      </b:BookAuthor>
    </b:Author>
    <b:Title>The Concept and Measurement of Poverty</b:Title>
    <b:Publisher>The Policy Press</b:Publisher>
    <b:City>Bristol</b:City>
    <b:Year>2006</b:Year>
    <b:Pages>29-69</b:Pages>
    <b:BookTitle>Poverty and Social Exclusion in Britain</b:BookTitle>
    <b:RefOrder>22</b:RefOrder>
  </b:Source>
  <b:Source>
    <b:Tag>Lok06</b:Tag>
    <b:SourceType>ArticleInAPeriodical</b:SourceType>
    <b:Guid>{57FAC855-68A0-3D4C-8B01-92E912912B0A}</b:Guid>
    <b:Author>
      <b:Author>
        <b:NameList>
          <b:Person>
            <b:Last>Lokshin</b:Last>
            <b:First>Michael</b:First>
          </b:Person>
          <b:Person>
            <b:Last>Umapathi</b:Last>
            <b:First>Nithinand</b:First>
          </b:Person>
          <b:Person>
            <b:Last>Paternostro</b:Last>
            <b:First>Stefano</b:First>
          </b:Person>
        </b:NameList>
      </b:Author>
    </b:Author>
    <b:Title>Robustness of Subjective Welfare Analysis in a Poor Developing Country: Madagascar 2001,” Journal of Development Studies 42(4): 559-591.</b:Title>
    <b:Year>2006</b:Year>
    <b:Pages>559-591</b:Pages>
    <b:PeriodicalTitle>Journal of Development Studies</b:PeriodicalTitle>
    <b:Issue>42(4)</b:Issue>
    <b:RefOrder>23</b:RefOrder>
  </b:Source>
  <b:Source>
    <b:Tag>Pra00</b:Tag>
    <b:SourceType>ArticleInAPeriodical</b:SourceType>
    <b:Guid>{2D542322-1C15-7A4E-9CB7-55627EAA7298}</b:Guid>
    <b:Author>
      <b:Author>
        <b:NameList>
          <b:Person>
            <b:Last>Pradhan</b:Last>
            <b:First>Menno</b:First>
          </b:Person>
          <b:Person>
            <b:Last>Ravallion</b:Last>
            <b:First>Martin</b:First>
          </b:Person>
        </b:NameList>
      </b:Author>
    </b:Author>
    <b:Title>Measuring Poverty using Qualitative Perceptions of Consumption Adequacy</b:Title>
    <b:PeriodicalTitle>Review of Economics and Statistics </b:PeriodicalTitle>
    <b:Year>2000</b:Year>
    <b:Issue>82</b:Issue>
    <b:Pages>462–71</b:Pages>
    <b:RefOrder>24</b:RefOrder>
  </b:Source>
  <b:Source>
    <b:Tag>Böh99</b:Tag>
    <b:SourceType>Report</b:SourceType>
    <b:Guid>{7F884E91-DCFB-4B40-B931-A1AA3610083E}</b:Guid>
    <b:Author>
      <b:Author>
        <b:NameList>
          <b:Person>
            <b:Last>Böhnke</b:Last>
            <b:First>Peter</b:First>
          </b:Person>
          <b:Person>
            <b:Last>Delhey</b:Last>
            <b:First>Jan</b:First>
          </b:Person>
        </b:NameList>
      </b:Author>
    </b:Author>
    <b:Title>Poverty in a multidimensional perspective. Great Britain and Germany</b:Title>
    <b:Year>1999</b:Year>
    <b:RefOrder>25</b:RefOrder>
  </b:Source>
  <b:Source>
    <b:Tag>MIS</b:Tag>
    <b:SourceType>Report</b:SourceType>
    <b:Guid>{1D5E2725-290C-8743-BFDD-944EE18CCDDE}</b:Guid>
    <b:Author>
      <b:Author>
        <b:Corporate>MISSOC secretariat</b:Corporate>
      </b:Author>
    </b:Author>
    <b:Title>MISSOC Analysis 2011: Guaranteed Minimum Resources</b:Title>
    <b:Year>2011</b:Year>
    <b:Publisher>For the European Commission DG Employment, Social Affairs &amp; Inclusion </b:Publisher>
    <b:RefOrder>54</b:RefOrder>
  </b:Source>
  <b:Source>
    <b:Tag>Fra09</b:Tag>
    <b:SourceType>Book</b:SourceType>
    <b:Guid>{E8F93E3C-1634-6E47-89FF-15D165E4B071}</b:Guid>
    <b:Author>
      <b:Author>
        <b:NameList>
          <b:Person>
            <b:Last>Frazer</b:Last>
            <b:First>Hugh</b:First>
          </b:Person>
          <b:Person>
            <b:Last>Marlier</b:Last>
            <b:First>Eric</b:First>
          </b:Person>
        </b:NameList>
      </b:Author>
    </b:Author>
    <b:Title>Minimum Income Schemes across EU Member States</b:Title>
    <b:Year>2009</b:Year>
    <b:Publisher>Europen Commission</b:Publisher>
    <b:RefOrder>29</b:RefOrder>
  </b:Source>
  <b:Source>
    <b:Tag>Net10</b:Tag>
    <b:SourceType>ArticleInAPeriodical</b:SourceType>
    <b:Guid>{E7F47C82-3648-9F4C-A856-A2A134CC22AD}</b:Guid>
    <b:Author>
      <b:Author>
        <b:Corporate>European Anti Poverty Network</b:Corporate>
      </b:Author>
    </b:Author>
    <b:Title>Adequacy of Minimum Income in the EU</b:Title>
    <b:Year>2010</b:Year>
    <b:PeriodicalTitle>Eapn explainer</b:PeriodicalTitle>
    <b:Issue>2</b:Issue>
    <b:RefOrder>31</b:RefOrder>
  </b:Source>
  <b:Source>
    <b:Tag>Pet05</b:Tag>
    <b:SourceType>BookSection</b:SourceType>
    <b:Guid>{038A7BF9-61CD-2E47-B093-F00AD2A8EB26}</b:Guid>
    <b:Author>
      <b:Author>
        <b:NameList>
          <b:Person>
            <b:Last>Pettersson</b:Last>
            <b:First>Hans</b:First>
          </b:Person>
        </b:NameList>
      </b:Author>
      <b:BookAuthor>
        <b:NameList>
          <b:Person>
            <b:Last>Division</b:Last>
            <b:First>Department</b:First>
            <b:Middle>of Economic and Social Affairs Statistics</b:Middle>
          </b:Person>
        </b:NameList>
      </b:BookAuthor>
    </b:Author>
    <b:Title>Survey Design and Sample Design in Household Budget Surveys</b:Title>
    <b:BookTitle>Household Sample Surveys in Developing and Transition Countries</b:BookTitle>
    <b:City>New York</b:City>
    <b:Publisher>United Nations </b:Publisher>
    <b:Year>2005</b:Year>
    <b:Volume>Series F No. 96</b:Volume>
    <b:Pages>11-35</b:Pages>
    <b:RefOrder>55</b:RefOrder>
  </b:Source>
  <b:Source>
    <b:Tag>Rav11</b:Tag>
    <b:SourceType>ArticleInAPeriodical</b:SourceType>
    <b:Guid>{837ABBEA-B66E-7C44-951D-E31D5959A01E}</b:Guid>
    <b:Author>
      <b:Author>
        <b:NameList>
          <b:Person>
            <b:Last>Ravallion</b:Last>
            <b:First>Martin</b:First>
          </b:Person>
        </b:NameList>
      </b:Author>
    </b:Author>
    <b:Title>Poor, or Just Feeling Poor? On Using Subjective Data in Measuring Poverty</b:Title>
    <b:Publisher>The World Bank</b:Publisher>
    <b:Year>2011</b:Year>
    <b:PeriodicalTitle>Policy Research Working Paper Series </b:PeriodicalTitle>
    <b:Issue>5968</b:Issue>
    <b:RefOrder>56</b:RefOrder>
  </b:Source>
  <b:Source>
    <b:Tag>Tow06</b:Tag>
    <b:SourceType>ArticleInAPeriodical</b:SourceType>
    <b:Guid>{16750168-DF3E-0D4C-9376-C5A892E36982}</b:Guid>
    <b:Author>
      <b:Author>
        <b:NameList>
          <b:Person>
            <b:Last>Townsend</b:Last>
            <b:First>Peter</b:First>
          </b:Person>
        </b:NameList>
      </b:Author>
    </b:Author>
    <b:Title>What is Poverty? An historical perspective</b:Title>
    <b:Publisher>UNDP International Poverty Centre</b:Publisher>
    <b:Year>2006</b:Year>
    <b:Pages>5-7</b:Pages>
    <b:PeriodicalTitle>Poverty In Focus</b:PeriodicalTitle>
    <b:Month>December</b:Month>
    <b:RefOrder>57</b:RefOrder>
  </b:Source>
  <b:Source>
    <b:Tag>Gor12</b:Tag>
    <b:SourceType>BookSection</b:SourceType>
    <b:Guid>{9105A7D2-D1A3-044D-8A13-11C6D2C2D7D0}</b:Guid>
    <b:Author>
      <b:Author>
        <b:NameList>
          <b:Person>
            <b:Last>Gordon</b:Last>
            <b:First>David</b:First>
          </b:Person>
          <b:Person>
            <b:Last>Nandy</b:Last>
            <b:First>Shailen</b:First>
          </b:Person>
        </b:NameList>
      </b:Author>
      <b:BookAuthor>
        <b:NameList>
          <b:Person>
            <b:Last>Minujin</b:Last>
            <b:First>Alberto</b:First>
          </b:Person>
          <b:Person>
            <b:Last>Nandy</b:Last>
            <b:First>Shailen</b:First>
            <b:Middle>(eds)</b:Middle>
          </b:Person>
        </b:NameList>
      </b:BookAuthor>
    </b:Author>
    <b:Title>Measuring child poverty and deprivation</b:Title>
    <b:Publisher>The Policy Press</b:Publisher>
    <b:City>Bristol</b:City>
    <b:Year>2012</b:Year>
    <b:Pages>57-102</b:Pages>
    <b:BookTitle>GLOBAL CHILD POVERTY AND WELL-BEING Measurement, concepts, policy and action</b:BookTitle>
    <b:RefOrder>58</b:RefOrder>
  </b:Source>
  <b:Source>
    <b:Tag>Rav08</b:Tag>
    <b:SourceType>ArticleInAPeriodical</b:SourceType>
    <b:Guid>{46EBB39E-B497-3E41-91BD-AECD46151A3B}</b:Guid>
    <b:Author>
      <b:Author>
        <b:NameList>
          <b:Person>
            <b:Last>Ravallion</b:Last>
            <b:First>Martin</b:First>
          </b:Person>
          <b:Person>
            <b:Last>Chen</b:Last>
            <b:First>Shaohua</b:First>
          </b:Person>
          <b:Person>
            <b:Last>Sangruala</b:Last>
            <b:First>Prem</b:First>
          </b:Person>
        </b:NameList>
      </b:Author>
    </b:Author>
    <b:Title>A Dollar a Day revisited</b:Title>
    <b:Year>2008</b:Year>
    <b:Volume>23</b:Volume>
    <b:Issue>2</b:Issue>
    <b:Pages>163–184</b:Pages>
    <b:PeriodicalTitle>The World Bank Economic Review</b:PeriodicalTitle>
    <b:RefOrder>59</b:RefOrder>
  </b:Source>
  <b:Source>
    <b:Tag>Pem12</b:Tag>
    <b:SourceType>BookSection</b:SourceType>
    <b:Guid>{FD375A3F-3D0D-734C-A5D3-F1B5217B3EA0}</b:Guid>
    <b:Author>
      <b:Author>
        <b:NameList>
          <b:Person>
            <b:Last>Pemberton</b:Last>
            <b:First>Simon</b:First>
          </b:Person>
          <b:Person>
            <b:Last>Gordon</b:Last>
            <b:First>David</b:First>
          </b:Person>
          <b:Person>
            <b:Last>Nandy</b:Last>
            <b:First>Shailen</b:First>
          </b:Person>
        </b:NameList>
      </b:Author>
      <b:BookAuthor>
        <b:NameList>
          <b:Person>
            <b:Last>Minujin</b:Last>
            <b:First>Alberto</b:First>
          </b:Person>
          <b:Person>
            <b:Last>Nandy</b:Last>
            <b:First>Shailen</b:First>
          </b:Person>
        </b:NameList>
      </b:BookAuthor>
    </b:Author>
    <b:Title>Child rights, child survival and child poverty: the debate </b:Title>
    <b:BookTitle>GLOBAL CHILD POVERTY AND WELL-BEING Measurement, concepts, policy and action </b:BookTitle>
    <b:City>Bristol</b:City>
    <b:Publisher>The Policy Press </b:Publisher>
    <b:Year>2012</b:Year>
    <b:Pages>19-38</b:Pages>
    <b:RefOrder>6</b:RefOrder>
  </b:Source>
  <b:Source>
    <b:Tag>Rav081</b:Tag>
    <b:SourceType>BookSection</b:SourceType>
    <b:Guid>{284BC60A-B8B5-D745-92F7-D7DE09BC41AD}</b:Guid>
    <b:Author>
      <b:Author>
        <b:NameList>
          <b:Person>
            <b:Last>Ravallion</b:Last>
            <b:First>Martin</b:First>
          </b:Person>
        </b:NameList>
      </b:Author>
      <b:BookAuthor>
        <b:NameList>
          <b:Person>
            <b:Last>Blume</b:Last>
            <b:First>Larry</b:First>
          </b:Person>
          <b:Person>
            <b:Last>Durlauf</b:Last>
            <b:First>Steven</b:First>
            <b:Middle>(eds)</b:Middle>
          </b:Person>
        </b:NameList>
      </b:BookAuthor>
    </b:Author>
    <b:Title>Poverty Lines</b:Title>
    <b:Publisher>Palgrave Macmillan</b:Publisher>
    <b:City>London</b:City>
    <b:Year>2008</b:Year>
    <b:BookTitle>The New Palgrave Dictionary of Economics</b:BookTitle>
    <b:Edition>2nd edition</b:Edition>
    <b:RefOrder>60</b:RefOrder>
  </b:Source>
  <b:Source>
    <b:Tag>Bah11</b:Tag>
    <b:SourceType>Book</b:SourceType>
    <b:Guid>{EAFAC14A-88EB-654A-A2BC-FDFC0E580A61}</b:Guid>
    <b:Author>
      <b:Author>
        <b:NameList>
          <b:Person>
            <b:Last>Bahle</b:Last>
            <b:First>Thomas</b:First>
          </b:Person>
          <b:Person>
            <b:Last>Hubl</b:Last>
            <b:First>Vanessa</b:First>
          </b:Person>
          <b:Person>
            <b:Last>Pfeifer</b:Last>
            <b:First>Michaela</b:First>
          </b:Person>
        </b:NameList>
      </b:Author>
    </b:Author>
    <b:Title>The Last Safety Net: A Handbook of Minimum Income Protection in Europe</b:Title>
    <b:City>Bristol</b:City>
    <b:Publisher>The Policy Press</b:Publisher>
    <b:Year>2011</b:Year>
    <b:RefOrder>28</b:RefOrder>
  </b:Source>
  <b:Source>
    <b:Tag>Nel13</b:Tag>
    <b:SourceType>JournalArticle</b:SourceType>
    <b:Guid>{5901300C-D2D3-DB48-A599-605D5799026D}</b:Guid>
    <b:Author>
      <b:Author>
        <b:NameList>
          <b:Person>
            <b:Last>Nelson</b:Last>
            <b:First>Kenneth</b:First>
          </b:Person>
        </b:NameList>
      </b:Author>
    </b:Author>
    <b:Title>Social Assistance and EU Poverty Thresholds 1990-2008. Are European Welfare Systems Providing Just and Fair Protection Against Low Income?</b:Title>
    <b:Year>2013</b:Year>
    <b:JournalName>European Sociological Review 29(2).</b:JournalName>
    <b:Pages>386-401</b:Pages>
    <b:RefOrder>30</b:RefOrder>
  </b:Source>
  <b:Source>
    <b:Tag>Sen83</b:Tag>
    <b:SourceType>JournalArticle</b:SourceType>
    <b:Guid>{0759625D-924B-AC44-ACEE-470BF7E32738}</b:Guid>
    <b:Author>
      <b:Author>
        <b:NameList>
          <b:Person>
            <b:Last>Sen</b:Last>
            <b:First>Amartya</b:First>
          </b:Person>
        </b:NameList>
      </b:Author>
    </b:Author>
    <b:Title>Poor relativly speaking</b:Title>
    <b:Year>1983</b:Year>
    <b:Issue>35</b:Issue>
    <b:Pages>153-169</b:Pages>
    <b:JournalName>Oxford Economic Papers</b:JournalName>
    <b:RefOrder>3</b:RefOrder>
  </b:Source>
  <b:Source>
    <b:Tag>Atk02</b:Tag>
    <b:SourceType>Book</b:SourceType>
    <b:Guid>{07A28026-8022-B345-A3ED-9AD2771922AF}</b:Guid>
    <b:Author>
      <b:Author>
        <b:NameList>
          <b:Person>
            <b:Last>Atkinson</b:Last>
            <b:First>Tony</b:First>
          </b:Person>
          <b:Person>
            <b:Last>Cantillon</b:Last>
            <b:First>Bea</b:First>
          </b:Person>
          <b:Person>
            <b:Last>Marlier</b:Last>
            <b:First>Eric</b:First>
          </b:Person>
          <b:Person>
            <b:Last>Nolan</b:Last>
            <b:First>Brian</b:First>
          </b:Person>
        </b:NameList>
      </b:Author>
    </b:Author>
    <b:Title>Social Indicators The EU and Social Inclusion</b:Title>
    <b:Publisher>Oxford University Press </b:Publisher>
    <b:City>Oxford</b:City>
    <b:Year>2002</b:Year>
    <b:RefOrder>61</b:RefOrder>
  </b:Source>
  <b:Source>
    <b:Tag>Mij09</b:Tag>
    <b:SourceType>BookSection</b:SourceType>
    <b:Guid>{CA583F0D-77BB-A14E-80DD-F5262BC430B1}</b:Guid>
    <b:Author>
      <b:Author>
        <b:NameList>
          <b:Person>
            <b:Last>Mijatović</b:Last>
            <b:First>Boško</b:First>
          </b:Person>
        </b:NameList>
      </b:Author>
      <b:BookAuthor>
        <b:NameList>
          <b:Person>
            <b:Last>Begović</b:Last>
            <b:First>Boris</b:First>
          </b:Person>
          <b:Person>
            <b:Last>Matković</b:Last>
            <b:First>Gordana</b:First>
          </b:Person>
          <b:Person>
            <b:Last>Mijatović</b:Last>
            <b:First>Boško</b:First>
          </b:Person>
          <b:Person>
            <b:Last>Popović</b:Last>
            <b:First>Danica</b:First>
          </b:Person>
        </b:NameList>
      </b:BookAuthor>
    </b:Author>
    <b:Title>Uvod: Siromaštvo i prosperitet</b:Title>
    <b:BookTitle>Od siromaštva ka prosperitetu: Tržišna rešenja za privredni rast</b:BookTitle>
    <b:City>Beograd</b:City>
    <b:Publisher>Službeni glasnik i CLDS</b:Publisher>
    <b:Year>2009</b:Year>
    <b:Pages>11-31</b:Pages>
    <b:RefOrder>12</b:RefOrder>
  </b:Source>
  <b:Source>
    <b:Tag>Rep131</b:Tag>
    <b:SourceType>ArticleInAPeriodical</b:SourceType>
    <b:Guid>{D81AEA2E-917B-EA4E-836D-BB5C9EE4AD62}</b:Guid>
    <b:Author>
      <b:Author>
        <b:Corporate>Republički zavod za statistiku</b:Corporate>
      </b:Author>
    </b:Author>
    <b:Title>Anketa o potrošnji domaćinstava 2012.</b:Title>
    <b:City>Beograd</b:City>
    <b:Publisher>Republički zavod za statistiku</b:Publisher>
    <b:Year>2013</b:Year>
    <b:PeriodicalTitle>Bilten</b:PeriodicalTitle>
    <b:Issue>572</b:Issue>
    <b:RefOrder>26</b:RefOrder>
  </b:Source>
  <b:Source>
    <b:Tag>Krs08</b:Tag>
    <b:SourceType>BookSection</b:SourceType>
    <b:Guid>{0CAFEBCC-FB28-E143-99B6-6FC65CE32141}</b:Guid>
    <b:Author>
      <b:Author>
        <b:NameList>
          <b:Person>
            <b:Last>Krstić</b:Last>
            <b:First>Gorana</b:First>
          </b:Person>
        </b:NameList>
      </b:Author>
      <b:BookAuthor>
        <b:NameList>
          <b:Person>
            <b:Last>Vukmirović</b:Last>
            <b:First>Dragan</b:First>
          </b:Person>
          <b:Person>
            <b:Last>(eds)</b:Last>
            <b:First>Rachel</b:First>
            <b:Middle>Smith Govoni</b:Middle>
          </b:Person>
        </b:NameList>
      </b:BookAuthor>
    </b:Author>
    <b:Title>Profil siromaštva u Srbiji u periodu 2002-2007.</b:Title>
    <b:Publisher>Republički zavod za statistiku Srbije</b:Publisher>
    <b:Year>2008</b:Year>
    <b:Pages>9-29</b:Pages>
    <b:BookTitle>Studija o životnom standardu: Srbija 2002-2007</b:BookTitle>
    <b:RefOrder>27</b:RefOrder>
  </b:Source>
  <b:Source>
    <b:Tag>Placeholder1</b:Tag>
    <b:SourceType>ConferenceProceedings</b:SourceType>
    <b:Guid>{53C8A229-327A-BC4B-BF43-0324CB51A0A9}</b:Guid>
    <b:Author>
      <b:Author>
        <b:NameList>
          <b:Person>
            <b:Last>Atkinson</b:Last>
            <b:First>Anthony</b:First>
          </b:Person>
          <b:Person>
            <b:Last>Bourguignon</b:Last>
            <b:First>François</b:First>
          </b:Person>
        </b:NameList>
      </b:Author>
    </b:Author>
    <b:Title>Poverty and Inclusion from a World Perspective</b:Title>
    <b:City>Paris</b:City>
    <b:Year>1999</b:Year>
    <b:ConferenceName>ABCDE Europe Conference</b:ConferenceName>
    <b:RefOrder>34</b:RefOrder>
  </b:Source>
  <b:Source>
    <b:Tag>Eur131</b:Tag>
    <b:SourceType>ArticleInAPeriodical</b:SourceType>
    <b:Guid>{8DD6C2E9-EB93-8040-A8F2-7A4FD34D9D3B}</b:Guid>
    <b:Author>
      <b:Author>
        <b:Corporate>Eurostat</b:Corporate>
      </b:Author>
    </b:Author>
    <b:Title>Statistical matching of EU-SILC and the Household Budget Survey to compare poverty estimates using income, expenditures and material deprivation</b:Title>
    <b:Publisher>Publications Office of the European Union </b:Publisher>
    <b:City>Luxembourg</b:City>
    <b:Year>2013</b:Year>
    <b:PeriodicalTitle>Eurostat Methodologies and Working papers </b:PeriodicalTitle>
    <b:RefOrder>35</b:RefOrder>
  </b:Source>
  <b:Source>
    <b:Tag>Fon13</b:Tag>
    <b:SourceType>Report</b:SourceType>
    <b:Guid>{A68A6B7B-EEA2-8A4C-BDC3-7432DE9B2128}</b:Guid>
    <b:Title>SIVA EKONOMIJA U SRBIJI: NOVI NALAZI I PREPORUKE ZA REFORME </b:Title>
    <b:Year>2013</b:Year>
    <b:Author>
      <b:Author>
        <b:Corporate>Fond za razvoj ekonomske nauke </b:Corporate>
      </b:Author>
    </b:Author>
    <b:RefOrder>37</b:RefOrder>
  </b:Source>
  <b:Source>
    <b:Tag>Bje07</b:Tag>
    <b:SourceType>BookSection</b:SourceType>
    <b:Guid>{59E85EAE-BC62-0249-A69B-876C60B90E52}</b:Guid>
    <b:City>Belgrade</b:City>
    <b:Publisher>Strategic Marketing</b:Publisher>
    <b:Year>2007</b:Year>
    <b:Author>
      <b:Author>
        <b:NameList>
          <b:Person>
            <b:Last>Matković</b:Last>
            <b:First>Gordana</b:First>
          </b:Person>
        </b:NameList>
      </b:Author>
      <b:BookAuthor>
        <b:NameList>
          <b:Person>
            <b:Last>Bjeloglav</b:Last>
            <b:First>Dragiša</b:First>
          </b:Person>
          <b:Person>
            <b:Last>David</b:Last>
            <b:First>Hana</b:First>
          </b:Person>
          <b:Person>
            <b:Last>Krstić</b:Last>
            <b:First>Gorana</b:First>
          </b:Person>
          <b:Person>
            <b:Last>Matković</b:Last>
            <b:First>Gordana</b:First>
          </b:Person>
        </b:NameList>
      </b:BookAuthor>
    </b:Author>
    <b:BookTitle>LSMS Project 2002-2003: Life in Serbia through Survey Data</b:BookTitle>
    <b:Title>Anketa o životnom standardu u Srbiji, proces nastanka, korišćenje rezultata</b:Title>
    <b:RefOrder>36</b:RefOrder>
  </b:Source>
</b:Sources>
</file>

<file path=customXml/itemProps1.xml><?xml version="1.0" encoding="utf-8"?>
<ds:datastoreItem xmlns:ds="http://schemas.openxmlformats.org/officeDocument/2006/customXml" ds:itemID="{5B8CA4A5-0EA3-47AF-840A-1FC70FE9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Links>
    <vt:vector size="66" baseType="variant">
      <vt:variant>
        <vt:i4>18022459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_SIROMAŠTVO_U_PERIODU</vt:lpwstr>
      </vt:variant>
      <vt:variant>
        <vt:i4>1703977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_NEJEDNAKOST</vt:lpwstr>
      </vt:variant>
      <vt:variant>
        <vt:i4>4718915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_Profil_siromašnih</vt:lpwstr>
      </vt:variant>
      <vt:variant>
        <vt:i4>5964111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_Geografija_siromaštva</vt:lpwstr>
      </vt:variant>
      <vt:variant>
        <vt:i4>21954661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_Siromaštvo_po_tipu</vt:lpwstr>
      </vt:variant>
      <vt:variant>
        <vt:i4>6357118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_Analiza_senzitivnosti</vt:lpwstr>
      </vt:variant>
      <vt:variant>
        <vt:i4>5439849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_Osnovni_indikatori_siromaštva</vt:lpwstr>
      </vt:variant>
      <vt:variant>
        <vt:i4>21954687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_OCENA_SIROMAŠTVA_U</vt:lpwstr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_METODOLOŠKA_OBJAŠNJENJA</vt:lpwstr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_UVOD_1</vt:lpwstr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http://epp.eurostat.ec.europa.eu/statistics_explained/index.php/Glossary:At-risk-of-poverty_rate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Biljana.Mladenović</cp:lastModifiedBy>
  <cp:revision>7</cp:revision>
  <cp:lastPrinted>2015-09-29T08:33:00Z</cp:lastPrinted>
  <dcterms:created xsi:type="dcterms:W3CDTF">2015-09-08T12:42:00Z</dcterms:created>
  <dcterms:modified xsi:type="dcterms:W3CDTF">2015-09-29T08:33:00Z</dcterms:modified>
</cp:coreProperties>
</file>