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80" w:rsidRPr="000820F9" w:rsidRDefault="008D073F" w:rsidP="000820F9">
      <w:pPr>
        <w:jc w:val="center"/>
        <w:rPr>
          <w:rFonts w:asciiTheme="majorHAnsi" w:hAnsiTheme="majorHAnsi"/>
          <w:b/>
          <w:noProof/>
          <w:sz w:val="26"/>
          <w:szCs w:val="26"/>
          <w:lang w:val="sr-Cyrl-RS"/>
        </w:rPr>
      </w:pPr>
      <w:r w:rsidRPr="000820F9">
        <w:rPr>
          <w:rFonts w:asciiTheme="majorHAnsi" w:hAnsiTheme="majorHAnsi"/>
          <w:b/>
          <w:noProof/>
          <w:sz w:val="26"/>
          <w:szCs w:val="26"/>
          <w:lang w:val="sr-Cyrl-RS"/>
        </w:rPr>
        <w:t xml:space="preserve">Резултати </w:t>
      </w:r>
      <w:r w:rsidR="00E42A87" w:rsidRPr="000820F9">
        <w:rPr>
          <w:rFonts w:asciiTheme="majorHAnsi" w:hAnsiTheme="majorHAnsi"/>
          <w:b/>
          <w:noProof/>
          <w:sz w:val="26"/>
          <w:szCs w:val="26"/>
          <w:lang w:val="sr-Cyrl-RS"/>
        </w:rPr>
        <w:t>конкурс</w:t>
      </w:r>
      <w:r w:rsidRPr="000820F9">
        <w:rPr>
          <w:rFonts w:asciiTheme="majorHAnsi" w:hAnsiTheme="majorHAnsi"/>
          <w:b/>
          <w:noProof/>
          <w:sz w:val="26"/>
          <w:szCs w:val="26"/>
          <w:lang w:val="sr-Cyrl-RS"/>
        </w:rPr>
        <w:t>а</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Подршка</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иновативним</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приступима</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за</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повећање</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запошљавања</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и</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запошљивости</w:t>
      </w:r>
      <w:r w:rsidR="002F2111" w:rsidRPr="000820F9">
        <w:rPr>
          <w:rFonts w:asciiTheme="majorHAnsi" w:hAnsiTheme="majorHAnsi"/>
          <w:b/>
          <w:noProof/>
          <w:sz w:val="26"/>
          <w:szCs w:val="26"/>
          <w:lang w:val="sr-Cyrl-RS"/>
        </w:rPr>
        <w:t xml:space="preserve"> </w:t>
      </w:r>
      <w:r w:rsidR="00E42A87" w:rsidRPr="000820F9">
        <w:rPr>
          <w:rFonts w:asciiTheme="majorHAnsi" w:hAnsiTheme="majorHAnsi"/>
          <w:b/>
          <w:noProof/>
          <w:sz w:val="26"/>
          <w:szCs w:val="26"/>
          <w:lang w:val="sr-Cyrl-RS"/>
        </w:rPr>
        <w:t>младих</w:t>
      </w:r>
      <w:r w:rsidR="002F2111" w:rsidRPr="000820F9">
        <w:rPr>
          <w:rFonts w:asciiTheme="majorHAnsi" w:hAnsiTheme="majorHAnsi"/>
          <w:b/>
          <w:noProof/>
          <w:sz w:val="26"/>
          <w:szCs w:val="26"/>
          <w:lang w:val="sr-Cyrl-RS"/>
        </w:rPr>
        <w:t>“</w:t>
      </w:r>
    </w:p>
    <w:p w:rsidR="008D073F" w:rsidRPr="000820F9" w:rsidRDefault="008D073F" w:rsidP="000820F9">
      <w:pPr>
        <w:spacing w:line="240" w:lineRule="auto"/>
        <w:jc w:val="both"/>
        <w:rPr>
          <w:rFonts w:asciiTheme="majorHAnsi" w:hAnsiTheme="majorHAnsi"/>
          <w:noProof/>
          <w:lang w:val="sr-Cyrl-RS"/>
        </w:rPr>
      </w:pPr>
      <w:r w:rsidRPr="000820F9">
        <w:rPr>
          <w:rFonts w:asciiTheme="majorHAnsi" w:hAnsiTheme="majorHAnsi"/>
          <w:b/>
          <w:noProof/>
          <w:lang w:val="sr-Cyrl-RS"/>
        </w:rPr>
        <w:t>Комисија за евалуацију пројектних предлога</w:t>
      </w:r>
      <w:r w:rsidRPr="000820F9">
        <w:rPr>
          <w:rFonts w:asciiTheme="majorHAnsi" w:hAnsiTheme="majorHAnsi"/>
          <w:noProof/>
          <w:lang w:val="sr-Cyrl-RS"/>
        </w:rPr>
        <w:t xml:space="preserve">, састављена од представника </w:t>
      </w:r>
      <w:r w:rsidR="000820F9" w:rsidRPr="000820F9">
        <w:rPr>
          <w:rFonts w:asciiTheme="majorHAnsi" w:hAnsiTheme="majorHAnsi"/>
          <w:noProof/>
          <w:lang w:val="sr-Cyrl-RS"/>
        </w:rPr>
        <w:t>Минис</w:t>
      </w:r>
      <w:r w:rsidR="000820F9">
        <w:rPr>
          <w:rFonts w:asciiTheme="majorHAnsi" w:hAnsiTheme="majorHAnsi"/>
          <w:noProof/>
          <w:lang w:val="sr-Cyrl-RS"/>
        </w:rPr>
        <w:t>т</w:t>
      </w:r>
      <w:r w:rsidR="000820F9" w:rsidRPr="000820F9">
        <w:rPr>
          <w:rFonts w:asciiTheme="majorHAnsi" w:hAnsiTheme="majorHAnsi"/>
          <w:noProof/>
          <w:lang w:val="sr-Cyrl-RS"/>
        </w:rPr>
        <w:t>арства за рад, запошљавањe, борачка и социјална питања</w:t>
      </w:r>
      <w:r w:rsidR="002D39DE">
        <w:rPr>
          <w:rFonts w:asciiTheme="majorHAnsi" w:hAnsiTheme="majorHAnsi"/>
          <w:noProof/>
          <w:lang w:val="sr-Cyrl-RS"/>
        </w:rPr>
        <w:t>,</w:t>
      </w:r>
      <w:r w:rsidR="000820F9" w:rsidRPr="000820F9">
        <w:rPr>
          <w:rFonts w:asciiTheme="majorHAnsi" w:hAnsiTheme="majorHAnsi"/>
          <w:noProof/>
          <w:lang w:val="sr-Cyrl-RS"/>
        </w:rPr>
        <w:t xml:space="preserve"> </w:t>
      </w:r>
      <w:r w:rsidRPr="000820F9">
        <w:rPr>
          <w:rFonts w:asciiTheme="majorHAnsi" w:hAnsiTheme="majorHAnsi"/>
          <w:noProof/>
          <w:lang w:val="sr-Cyrl-RS"/>
        </w:rPr>
        <w:t>Министарства</w:t>
      </w:r>
      <w:r w:rsidR="000820F9">
        <w:rPr>
          <w:rFonts w:asciiTheme="majorHAnsi" w:hAnsiTheme="majorHAnsi"/>
          <w:noProof/>
          <w:lang w:val="sr-Cyrl-RS"/>
        </w:rPr>
        <w:t xml:space="preserve"> </w:t>
      </w:r>
      <w:r w:rsidRPr="000820F9">
        <w:rPr>
          <w:rFonts w:asciiTheme="majorHAnsi" w:hAnsiTheme="majorHAnsi"/>
          <w:noProof/>
          <w:lang w:val="sr-Cyrl-RS"/>
        </w:rPr>
        <w:t>омладине и спорта,</w:t>
      </w:r>
      <w:r w:rsidR="000820F9">
        <w:rPr>
          <w:rFonts w:asciiTheme="majorHAnsi" w:hAnsiTheme="majorHAnsi"/>
          <w:noProof/>
          <w:lang w:val="sr-Cyrl-RS"/>
        </w:rPr>
        <w:t xml:space="preserve"> </w:t>
      </w:r>
      <w:r w:rsidRPr="000820F9">
        <w:rPr>
          <w:rFonts w:asciiTheme="majorHAnsi" w:hAnsiTheme="majorHAnsi"/>
          <w:noProof/>
          <w:lang w:val="sr-Cyrl-RS"/>
        </w:rPr>
        <w:t>Швајцарске агенциј</w:t>
      </w:r>
      <w:r w:rsidR="002D39DE">
        <w:rPr>
          <w:rFonts w:asciiTheme="majorHAnsi" w:hAnsiTheme="majorHAnsi"/>
          <w:noProof/>
          <w:lang w:val="sr-Cyrl-RS"/>
        </w:rPr>
        <w:t>е</w:t>
      </w:r>
      <w:r w:rsidRPr="000820F9">
        <w:rPr>
          <w:rFonts w:asciiTheme="majorHAnsi" w:hAnsiTheme="majorHAnsi"/>
          <w:noProof/>
          <w:lang w:val="sr-Cyrl-RS"/>
        </w:rPr>
        <w:t xml:space="preserve"> за развој и сарадњу (СДЦ), Немачке организације за међународну сарадњу (ГИЗ) и Тима за социјално </w:t>
      </w:r>
      <w:r w:rsidR="00172F7C" w:rsidRPr="000820F9">
        <w:rPr>
          <w:rFonts w:asciiTheme="majorHAnsi" w:hAnsiTheme="majorHAnsi"/>
          <w:noProof/>
          <w:lang w:val="sr-Cyrl-RS"/>
        </w:rPr>
        <w:t>укључивање и смањење сиромаштва</w:t>
      </w:r>
      <w:r w:rsidR="000820F9">
        <w:rPr>
          <w:rFonts w:asciiTheme="majorHAnsi" w:hAnsiTheme="majorHAnsi"/>
          <w:noProof/>
          <w:lang w:val="sr-Cyrl-RS"/>
        </w:rPr>
        <w:t>,</w:t>
      </w:r>
      <w:r w:rsidR="00172F7C" w:rsidRPr="000820F9">
        <w:rPr>
          <w:rFonts w:asciiTheme="majorHAnsi" w:hAnsiTheme="majorHAnsi"/>
          <w:noProof/>
          <w:lang w:val="sr-Cyrl-RS"/>
        </w:rPr>
        <w:t xml:space="preserve"> </w:t>
      </w:r>
      <w:r w:rsidRPr="000820F9">
        <w:rPr>
          <w:rFonts w:asciiTheme="majorHAnsi" w:hAnsiTheme="majorHAnsi"/>
          <w:b/>
          <w:noProof/>
          <w:lang w:val="sr-Cyrl-RS"/>
        </w:rPr>
        <w:t>донела</w:t>
      </w:r>
      <w:r w:rsidR="000F7282" w:rsidRPr="000820F9">
        <w:rPr>
          <w:rFonts w:asciiTheme="majorHAnsi" w:hAnsiTheme="majorHAnsi"/>
          <w:b/>
          <w:noProof/>
          <w:lang w:val="sr-Cyrl-RS"/>
        </w:rPr>
        <w:t xml:space="preserve"> је</w:t>
      </w:r>
      <w:r w:rsidRPr="000820F9">
        <w:rPr>
          <w:rFonts w:asciiTheme="majorHAnsi" w:hAnsiTheme="majorHAnsi"/>
          <w:b/>
          <w:noProof/>
          <w:lang w:val="sr-Cyrl-RS"/>
        </w:rPr>
        <w:t xml:space="preserve"> одлуку о избору најбољих кандидата</w:t>
      </w:r>
      <w:r w:rsidRPr="000820F9">
        <w:rPr>
          <w:rFonts w:asciiTheme="majorHAnsi" w:hAnsiTheme="majorHAnsi"/>
          <w:noProof/>
          <w:lang w:val="sr-Cyrl-RS"/>
        </w:rPr>
        <w:t xml:space="preserve"> којима</w:t>
      </w:r>
      <w:r w:rsidR="006B0F4A" w:rsidRPr="000820F9">
        <w:rPr>
          <w:rFonts w:asciiTheme="majorHAnsi" w:hAnsiTheme="majorHAnsi"/>
          <w:noProof/>
          <w:lang w:val="sr-Cyrl-RS"/>
        </w:rPr>
        <w:t xml:space="preserve"> </w:t>
      </w:r>
      <w:r w:rsidR="002D39DE">
        <w:rPr>
          <w:rFonts w:asciiTheme="majorHAnsi" w:hAnsiTheme="majorHAnsi"/>
          <w:noProof/>
          <w:lang w:val="sr-Cyrl-RS"/>
        </w:rPr>
        <w:t xml:space="preserve">ће бити додељени грантови за </w:t>
      </w:r>
      <w:r w:rsidR="006B0F4A" w:rsidRPr="000820F9">
        <w:rPr>
          <w:rFonts w:asciiTheme="majorHAnsi" w:hAnsiTheme="majorHAnsi"/>
          <w:noProof/>
          <w:lang w:val="sr-Cyrl-RS"/>
        </w:rPr>
        <w:t>спровођењ</w:t>
      </w:r>
      <w:r w:rsidR="002D39DE">
        <w:rPr>
          <w:rFonts w:asciiTheme="majorHAnsi" w:hAnsiTheme="majorHAnsi"/>
          <w:noProof/>
          <w:lang w:val="sr-Cyrl-RS"/>
        </w:rPr>
        <w:t>е</w:t>
      </w:r>
      <w:r w:rsidR="006B0F4A" w:rsidRPr="000820F9">
        <w:rPr>
          <w:rFonts w:asciiTheme="majorHAnsi" w:hAnsiTheme="majorHAnsi"/>
          <w:noProof/>
          <w:lang w:val="sr-Cyrl-RS"/>
        </w:rPr>
        <w:t xml:space="preserve"> пројектних идеја.</w:t>
      </w:r>
    </w:p>
    <w:p w:rsidR="00B55104" w:rsidRPr="000820F9" w:rsidRDefault="008D073F" w:rsidP="000820F9">
      <w:pPr>
        <w:spacing w:line="240" w:lineRule="auto"/>
        <w:jc w:val="both"/>
        <w:rPr>
          <w:rFonts w:asciiTheme="majorHAnsi" w:hAnsiTheme="majorHAnsi"/>
          <w:noProof/>
          <w:lang w:val="sr-Cyrl-RS"/>
        </w:rPr>
      </w:pPr>
      <w:r w:rsidRPr="000820F9">
        <w:rPr>
          <w:rFonts w:asciiTheme="majorHAnsi" w:hAnsiTheme="majorHAnsi"/>
          <w:noProof/>
          <w:lang w:val="sr-Cyrl-RS"/>
        </w:rPr>
        <w:t>Конкурс је би</w:t>
      </w:r>
      <w:r w:rsidR="00B55104" w:rsidRPr="000820F9">
        <w:rPr>
          <w:rFonts w:asciiTheme="majorHAnsi" w:hAnsiTheme="majorHAnsi"/>
          <w:noProof/>
          <w:lang w:val="sr-Cyrl-RS"/>
        </w:rPr>
        <w:t xml:space="preserve">о отворен </w:t>
      </w:r>
      <w:r w:rsidR="000820F9" w:rsidRPr="000820F9">
        <w:rPr>
          <w:rFonts w:asciiTheme="majorHAnsi" w:hAnsiTheme="majorHAnsi"/>
          <w:noProof/>
          <w:lang w:val="sr-Cyrl-RS"/>
        </w:rPr>
        <w:t>у периоду од 18. новембра до 15. децембра 2015. године</w:t>
      </w:r>
      <w:r w:rsidR="000820F9" w:rsidRPr="000820F9">
        <w:rPr>
          <w:rFonts w:asciiTheme="majorHAnsi" w:hAnsiTheme="majorHAnsi"/>
          <w:noProof/>
          <w:lang w:val="sr-Cyrl-RS"/>
        </w:rPr>
        <w:t xml:space="preserve"> </w:t>
      </w:r>
      <w:r w:rsidR="00B55104" w:rsidRPr="000820F9">
        <w:rPr>
          <w:rFonts w:asciiTheme="majorHAnsi" w:hAnsiTheme="majorHAnsi"/>
          <w:noProof/>
          <w:lang w:val="sr-Cyrl-RS"/>
        </w:rPr>
        <w:t>за организације цивилног друштва (носиоци пријаве)</w:t>
      </w:r>
      <w:r w:rsidR="000820F9">
        <w:rPr>
          <w:rFonts w:asciiTheme="majorHAnsi" w:hAnsiTheme="majorHAnsi"/>
          <w:noProof/>
          <w:lang w:val="sr-Cyrl-RS"/>
        </w:rPr>
        <w:t>,</w:t>
      </w:r>
      <w:r w:rsidR="00B55104" w:rsidRPr="000820F9">
        <w:rPr>
          <w:rFonts w:asciiTheme="majorHAnsi" w:hAnsiTheme="majorHAnsi"/>
          <w:noProof/>
          <w:lang w:val="sr-Cyrl-RS"/>
        </w:rPr>
        <w:t xml:space="preserve"> регистрован</w:t>
      </w:r>
      <w:r w:rsidR="000820F9">
        <w:rPr>
          <w:rFonts w:asciiTheme="majorHAnsi" w:hAnsiTheme="majorHAnsi"/>
          <w:noProof/>
          <w:lang w:val="sr-Cyrl-RS"/>
        </w:rPr>
        <w:t>е</w:t>
      </w:r>
      <w:r w:rsidR="00B55104" w:rsidRPr="000820F9">
        <w:rPr>
          <w:rFonts w:asciiTheme="majorHAnsi" w:hAnsiTheme="majorHAnsi"/>
          <w:noProof/>
          <w:lang w:val="sr-Cyrl-RS"/>
        </w:rPr>
        <w:t xml:space="preserve"> код Агенције за привредне регистре кој</w:t>
      </w:r>
      <w:r w:rsidR="000820F9">
        <w:rPr>
          <w:rFonts w:asciiTheme="majorHAnsi" w:hAnsiTheme="majorHAnsi"/>
          <w:noProof/>
          <w:lang w:val="sr-Cyrl-RS"/>
        </w:rPr>
        <w:t>е</w:t>
      </w:r>
      <w:r w:rsidR="00B55104" w:rsidRPr="000820F9">
        <w:rPr>
          <w:rFonts w:asciiTheme="majorHAnsi" w:hAnsiTheme="majorHAnsi"/>
          <w:noProof/>
          <w:lang w:val="sr-Cyrl-RS"/>
        </w:rPr>
        <w:t xml:space="preserve"> делују на територији Републике Србије, </w:t>
      </w:r>
      <w:r w:rsidR="000820F9">
        <w:rPr>
          <w:rFonts w:asciiTheme="majorHAnsi" w:hAnsiTheme="majorHAnsi"/>
          <w:noProof/>
          <w:lang w:val="sr-Cyrl-RS"/>
        </w:rPr>
        <w:t xml:space="preserve">у </w:t>
      </w:r>
      <w:r w:rsidR="000820F9" w:rsidRPr="000820F9">
        <w:rPr>
          <w:rFonts w:asciiTheme="majorHAnsi" w:hAnsiTheme="majorHAnsi"/>
          <w:noProof/>
          <w:lang w:val="sr-Cyrl-RS"/>
        </w:rPr>
        <w:t xml:space="preserve">сарадњи са приватним сектором </w:t>
      </w:r>
      <w:r w:rsidR="00B55104" w:rsidRPr="000820F9">
        <w:rPr>
          <w:rFonts w:asciiTheme="majorHAnsi" w:hAnsiTheme="majorHAnsi"/>
          <w:noProof/>
          <w:lang w:val="sr-Cyrl-RS"/>
        </w:rPr>
        <w:t xml:space="preserve">(партнерска организација). </w:t>
      </w:r>
    </w:p>
    <w:p w:rsidR="005E4687" w:rsidRPr="000820F9" w:rsidRDefault="00B55104" w:rsidP="000820F9">
      <w:pPr>
        <w:spacing w:line="240" w:lineRule="auto"/>
        <w:jc w:val="both"/>
        <w:rPr>
          <w:rFonts w:asciiTheme="majorHAnsi" w:hAnsiTheme="majorHAnsi"/>
          <w:noProof/>
          <w:lang w:val="sr-Cyrl-RS"/>
        </w:rPr>
      </w:pPr>
      <w:r w:rsidRPr="000820F9">
        <w:rPr>
          <w:rFonts w:asciiTheme="majorHAnsi" w:hAnsiTheme="majorHAnsi"/>
          <w:noProof/>
          <w:lang w:val="sr-Cyrl-RS"/>
        </w:rPr>
        <w:t>Апликантима су на располагању била три различита модела подршке</w:t>
      </w:r>
      <w:r w:rsidR="005E4687" w:rsidRPr="000820F9">
        <w:rPr>
          <w:rFonts w:asciiTheme="majorHAnsi" w:hAnsiTheme="majorHAnsi"/>
          <w:noProof/>
          <w:lang w:val="sr-Cyrl-RS"/>
        </w:rPr>
        <w:t>:</w:t>
      </w:r>
    </w:p>
    <w:p w:rsidR="005E4687" w:rsidRPr="000820F9" w:rsidRDefault="005E4687" w:rsidP="000820F9">
      <w:pPr>
        <w:numPr>
          <w:ilvl w:val="0"/>
          <w:numId w:val="2"/>
        </w:numPr>
        <w:spacing w:after="0" w:line="252" w:lineRule="atLeast"/>
        <w:jc w:val="both"/>
        <w:rPr>
          <w:rFonts w:asciiTheme="majorHAnsi" w:hAnsiTheme="majorHAnsi"/>
          <w:noProof/>
          <w:lang w:val="sr-Cyrl-RS"/>
        </w:rPr>
      </w:pPr>
      <w:r w:rsidRPr="000820F9">
        <w:rPr>
          <w:rFonts w:asciiTheme="majorHAnsi" w:hAnsiTheme="majorHAnsi"/>
          <w:b/>
          <w:bCs/>
          <w:noProof/>
          <w:lang w:val="sr-Cyrl-RS"/>
        </w:rPr>
        <w:t>Подршка раном развоју</w:t>
      </w:r>
      <w:r w:rsidRPr="000820F9">
        <w:rPr>
          <w:rFonts w:asciiTheme="majorHAnsi" w:hAnsiTheme="majorHAnsi"/>
          <w:noProof/>
          <w:lang w:val="sr-Cyrl-RS"/>
        </w:rPr>
        <w:t> иновативних приступа запошљавања младих како би се нека идеја која боље одговара на проблем у заједници разрадила до фазе да може да се пилотира/спроводи</w:t>
      </w:r>
    </w:p>
    <w:p w:rsidR="005E4687" w:rsidRPr="000820F9" w:rsidRDefault="005E4687" w:rsidP="000820F9">
      <w:pPr>
        <w:numPr>
          <w:ilvl w:val="0"/>
          <w:numId w:val="2"/>
        </w:numPr>
        <w:spacing w:before="100" w:beforeAutospacing="1" w:after="100" w:afterAutospacing="1" w:line="252" w:lineRule="atLeast"/>
        <w:jc w:val="both"/>
        <w:rPr>
          <w:rFonts w:asciiTheme="majorHAnsi" w:hAnsiTheme="majorHAnsi"/>
          <w:noProof/>
          <w:lang w:val="sr-Cyrl-RS"/>
        </w:rPr>
      </w:pPr>
      <w:r w:rsidRPr="000820F9">
        <w:rPr>
          <w:rFonts w:asciiTheme="majorHAnsi" w:hAnsiTheme="majorHAnsi"/>
          <w:b/>
          <w:bCs/>
          <w:noProof/>
          <w:lang w:val="sr-Cyrl-RS"/>
        </w:rPr>
        <w:t>Подршка унапређењу</w:t>
      </w:r>
      <w:r w:rsidRPr="000820F9">
        <w:rPr>
          <w:rFonts w:asciiTheme="majorHAnsi" w:hAnsiTheme="majorHAnsi"/>
          <w:noProof/>
          <w:lang w:val="sr-Cyrl-RS"/>
        </w:rPr>
        <w:t> иновативних приступа запошљавања младих, како би се иновативно решење које је разрађено применило, или ако се већ спроводи додатно унапредило (разрадом оних сегемената који су се показали као потребни на основу научених лекција током спровођења)</w:t>
      </w:r>
    </w:p>
    <w:p w:rsidR="005E4687" w:rsidRPr="000820F9" w:rsidRDefault="005E4687" w:rsidP="000820F9">
      <w:pPr>
        <w:numPr>
          <w:ilvl w:val="0"/>
          <w:numId w:val="2"/>
        </w:numPr>
        <w:spacing w:before="100" w:beforeAutospacing="1" w:after="100" w:afterAutospacing="1" w:line="252" w:lineRule="atLeast"/>
        <w:jc w:val="both"/>
        <w:rPr>
          <w:rFonts w:asciiTheme="majorHAnsi" w:hAnsiTheme="majorHAnsi"/>
          <w:noProof/>
          <w:lang w:val="sr-Cyrl-RS"/>
        </w:rPr>
      </w:pPr>
      <w:r w:rsidRPr="000820F9">
        <w:rPr>
          <w:rFonts w:asciiTheme="majorHAnsi" w:hAnsiTheme="majorHAnsi"/>
          <w:b/>
          <w:bCs/>
          <w:noProof/>
          <w:lang w:val="sr-Cyrl-RS"/>
        </w:rPr>
        <w:t>Подршка расту и ширењу односно скалирању</w:t>
      </w:r>
      <w:r w:rsidRPr="000820F9">
        <w:rPr>
          <w:rFonts w:asciiTheme="majorHAnsi" w:hAnsiTheme="majorHAnsi"/>
          <w:noProof/>
          <w:lang w:val="sr-Cyrl-RS"/>
        </w:rPr>
        <w:t> иновативних приступа запошљавању младих, који су се показали успешним у пракси.</w:t>
      </w:r>
    </w:p>
    <w:p w:rsidR="006D111F" w:rsidRPr="000820F9" w:rsidRDefault="006B0F4A" w:rsidP="000820F9">
      <w:pPr>
        <w:spacing w:line="240" w:lineRule="auto"/>
        <w:jc w:val="both"/>
        <w:rPr>
          <w:rFonts w:asciiTheme="majorHAnsi" w:hAnsiTheme="majorHAnsi"/>
          <w:noProof/>
          <w:lang w:val="sr-Cyrl-RS"/>
        </w:rPr>
      </w:pPr>
      <w:r w:rsidRPr="000820F9">
        <w:rPr>
          <w:rFonts w:asciiTheme="majorHAnsi" w:hAnsiTheme="majorHAnsi"/>
          <w:noProof/>
          <w:lang w:val="sr-Cyrl-RS"/>
        </w:rPr>
        <w:t xml:space="preserve">На конкурс </w:t>
      </w:r>
      <w:r w:rsidR="003167C4">
        <w:rPr>
          <w:rFonts w:asciiTheme="majorHAnsi" w:hAnsiTheme="majorHAnsi"/>
          <w:noProof/>
          <w:lang w:val="sr-Cyrl-RS"/>
        </w:rPr>
        <w:t xml:space="preserve">су </w:t>
      </w:r>
      <w:r w:rsidRPr="000820F9">
        <w:rPr>
          <w:rFonts w:asciiTheme="majorHAnsi" w:hAnsiTheme="majorHAnsi"/>
          <w:noProof/>
          <w:lang w:val="sr-Cyrl-RS"/>
        </w:rPr>
        <w:t>се пријавил</w:t>
      </w:r>
      <w:r w:rsidR="003167C4">
        <w:rPr>
          <w:rFonts w:asciiTheme="majorHAnsi" w:hAnsiTheme="majorHAnsi"/>
          <w:noProof/>
          <w:lang w:val="sr-Cyrl-RS"/>
        </w:rPr>
        <w:t>е</w:t>
      </w:r>
      <w:r w:rsidRPr="000820F9">
        <w:rPr>
          <w:rFonts w:asciiTheme="majorHAnsi" w:hAnsiTheme="majorHAnsi"/>
          <w:noProof/>
          <w:lang w:val="sr-Cyrl-RS"/>
        </w:rPr>
        <w:t xml:space="preserve"> </w:t>
      </w:r>
      <w:r w:rsidR="00D8129F" w:rsidRPr="000820F9">
        <w:rPr>
          <w:rFonts w:asciiTheme="majorHAnsi" w:hAnsiTheme="majorHAnsi"/>
          <w:noProof/>
          <w:lang w:val="sr-Cyrl-RS"/>
        </w:rPr>
        <w:t>122</w:t>
      </w:r>
      <w:r w:rsidRPr="000820F9">
        <w:rPr>
          <w:rFonts w:asciiTheme="majorHAnsi" w:hAnsiTheme="majorHAnsi"/>
          <w:noProof/>
          <w:lang w:val="sr-Cyrl-RS"/>
        </w:rPr>
        <w:t xml:space="preserve"> организациј</w:t>
      </w:r>
      <w:r w:rsidR="000820F9">
        <w:rPr>
          <w:rFonts w:asciiTheme="majorHAnsi" w:hAnsiTheme="majorHAnsi"/>
          <w:noProof/>
          <w:lang w:val="sr-Cyrl-RS"/>
        </w:rPr>
        <w:t>е</w:t>
      </w:r>
      <w:r w:rsidRPr="000820F9">
        <w:rPr>
          <w:rFonts w:asciiTheme="majorHAnsi" w:hAnsiTheme="majorHAnsi"/>
          <w:noProof/>
          <w:lang w:val="sr-Cyrl-RS"/>
        </w:rPr>
        <w:t xml:space="preserve"> цивилног друштва у сарадњи са приватним сектором</w:t>
      </w:r>
      <w:r w:rsidR="003167C4">
        <w:rPr>
          <w:rFonts w:asciiTheme="majorHAnsi" w:hAnsiTheme="majorHAnsi"/>
          <w:noProof/>
          <w:lang w:val="sr-Cyrl-RS"/>
        </w:rPr>
        <w:t>,</w:t>
      </w:r>
      <w:r w:rsidR="000F7282" w:rsidRPr="000820F9">
        <w:rPr>
          <w:rFonts w:asciiTheme="majorHAnsi" w:hAnsiTheme="majorHAnsi"/>
          <w:noProof/>
          <w:lang w:val="sr-Cyrl-RS"/>
        </w:rPr>
        <w:t xml:space="preserve"> </w:t>
      </w:r>
      <w:r w:rsidR="00B55104" w:rsidRPr="000820F9">
        <w:rPr>
          <w:rFonts w:asciiTheme="majorHAnsi" w:hAnsiTheme="majorHAnsi"/>
          <w:noProof/>
          <w:lang w:val="sr-Cyrl-RS"/>
        </w:rPr>
        <w:t xml:space="preserve">а највећи број апликаната одлучио се за модел подршке број 2 </w:t>
      </w:r>
      <w:r w:rsidR="00566C50" w:rsidRPr="000820F9">
        <w:rPr>
          <w:rFonts w:asciiTheme="majorHAnsi" w:hAnsiTheme="majorHAnsi"/>
          <w:noProof/>
          <w:lang w:val="sr-Cyrl-RS"/>
        </w:rPr>
        <w:t>(</w:t>
      </w:r>
      <w:r w:rsidR="000441FC" w:rsidRPr="000820F9">
        <w:rPr>
          <w:rFonts w:asciiTheme="majorHAnsi" w:hAnsiTheme="majorHAnsi"/>
          <w:noProof/>
          <w:lang w:val="sr-Latn-RS"/>
        </w:rPr>
        <w:t>95</w:t>
      </w:r>
      <w:r w:rsidR="00EB64C1" w:rsidRPr="000820F9">
        <w:rPr>
          <w:rFonts w:asciiTheme="majorHAnsi" w:hAnsiTheme="majorHAnsi"/>
          <w:noProof/>
          <w:lang w:val="sr-Latn-RS"/>
        </w:rPr>
        <w:t xml:space="preserve"> </w:t>
      </w:r>
      <w:r w:rsidR="00EB64C1" w:rsidRPr="000820F9">
        <w:rPr>
          <w:rFonts w:asciiTheme="majorHAnsi" w:hAnsiTheme="majorHAnsi"/>
          <w:noProof/>
          <w:lang w:val="sr-Cyrl-RS"/>
        </w:rPr>
        <w:t>пројектних предлога</w:t>
      </w:r>
      <w:r w:rsidR="00936C0F">
        <w:rPr>
          <w:rFonts w:asciiTheme="majorHAnsi" w:hAnsiTheme="majorHAnsi"/>
          <w:noProof/>
          <w:lang w:val="sr-Cyrl-RS"/>
        </w:rPr>
        <w:t>)</w:t>
      </w:r>
      <w:r w:rsidR="00B55104" w:rsidRPr="000820F9">
        <w:rPr>
          <w:rFonts w:asciiTheme="majorHAnsi" w:hAnsiTheme="majorHAnsi"/>
          <w:noProof/>
          <w:lang w:val="sr-Cyrl-RS"/>
        </w:rPr>
        <w:t xml:space="preserve">. Најмањи број апликаната се одлучио за трећи модел подршке </w:t>
      </w:r>
      <w:r w:rsidR="00566C50" w:rsidRPr="000820F9">
        <w:rPr>
          <w:rFonts w:asciiTheme="majorHAnsi" w:hAnsiTheme="majorHAnsi"/>
          <w:noProof/>
          <w:lang w:val="sr-Latn-RS"/>
        </w:rPr>
        <w:t xml:space="preserve">(5 </w:t>
      </w:r>
      <w:r w:rsidR="00566C50" w:rsidRPr="000820F9">
        <w:rPr>
          <w:rFonts w:asciiTheme="majorHAnsi" w:hAnsiTheme="majorHAnsi"/>
          <w:noProof/>
          <w:lang w:val="sr-Cyrl-RS"/>
        </w:rPr>
        <w:t>предлога)</w:t>
      </w:r>
      <w:r w:rsidR="003167C4">
        <w:rPr>
          <w:rFonts w:asciiTheme="majorHAnsi" w:hAnsiTheme="majorHAnsi"/>
          <w:noProof/>
          <w:lang w:val="sr-Cyrl-RS"/>
        </w:rPr>
        <w:t>,</w:t>
      </w:r>
      <w:r w:rsidR="00566C50" w:rsidRPr="000820F9">
        <w:rPr>
          <w:rFonts w:asciiTheme="majorHAnsi" w:hAnsiTheme="majorHAnsi"/>
          <w:noProof/>
          <w:lang w:val="sr-Cyrl-RS"/>
        </w:rPr>
        <w:t xml:space="preserve"> а за</w:t>
      </w:r>
      <w:r w:rsidR="00B55104" w:rsidRPr="000820F9">
        <w:rPr>
          <w:rFonts w:asciiTheme="majorHAnsi" w:hAnsiTheme="majorHAnsi"/>
          <w:noProof/>
          <w:lang w:val="sr-Cyrl-RS"/>
        </w:rPr>
        <w:t xml:space="preserve"> модел подршке број 1 </w:t>
      </w:r>
      <w:r w:rsidR="00566C50" w:rsidRPr="000820F9">
        <w:rPr>
          <w:rFonts w:asciiTheme="majorHAnsi" w:hAnsiTheme="majorHAnsi"/>
          <w:noProof/>
          <w:lang w:val="sr-Cyrl-RS"/>
        </w:rPr>
        <w:t>стигл</w:t>
      </w:r>
      <w:r w:rsidR="00A464A2">
        <w:rPr>
          <w:rFonts w:asciiTheme="majorHAnsi" w:hAnsiTheme="majorHAnsi"/>
          <w:noProof/>
          <w:lang w:val="sr-Cyrl-RS"/>
        </w:rPr>
        <w:t>е</w:t>
      </w:r>
      <w:r w:rsidR="00566C50" w:rsidRPr="000820F9">
        <w:rPr>
          <w:rFonts w:asciiTheme="majorHAnsi" w:hAnsiTheme="majorHAnsi"/>
          <w:noProof/>
          <w:lang w:val="sr-Cyrl-RS"/>
        </w:rPr>
        <w:t xml:space="preserve"> </w:t>
      </w:r>
      <w:r w:rsidR="00A464A2">
        <w:rPr>
          <w:rFonts w:asciiTheme="majorHAnsi" w:hAnsiTheme="majorHAnsi"/>
          <w:noProof/>
          <w:lang w:val="sr-Cyrl-RS"/>
        </w:rPr>
        <w:t>су</w:t>
      </w:r>
      <w:r w:rsidR="00566C50" w:rsidRPr="000820F9">
        <w:rPr>
          <w:rFonts w:asciiTheme="majorHAnsi" w:hAnsiTheme="majorHAnsi"/>
          <w:noProof/>
          <w:lang w:val="sr-Cyrl-RS"/>
        </w:rPr>
        <w:t xml:space="preserve"> </w:t>
      </w:r>
      <w:r w:rsidR="000441FC" w:rsidRPr="000820F9">
        <w:rPr>
          <w:rFonts w:asciiTheme="majorHAnsi" w:hAnsiTheme="majorHAnsi"/>
          <w:noProof/>
          <w:lang w:val="sr-Cyrl-RS"/>
        </w:rPr>
        <w:t>22 пријавe</w:t>
      </w:r>
      <w:r w:rsidR="00566C50" w:rsidRPr="000820F9">
        <w:rPr>
          <w:rFonts w:asciiTheme="majorHAnsi" w:hAnsiTheme="majorHAnsi"/>
          <w:noProof/>
          <w:lang w:val="sr-Cyrl-RS"/>
        </w:rPr>
        <w:t>.</w:t>
      </w:r>
    </w:p>
    <w:p w:rsidR="006D111F" w:rsidRPr="000820F9" w:rsidRDefault="006D111F" w:rsidP="000820F9">
      <w:pPr>
        <w:spacing w:line="240" w:lineRule="auto"/>
        <w:jc w:val="both"/>
        <w:rPr>
          <w:rFonts w:asciiTheme="majorHAnsi" w:hAnsiTheme="majorHAnsi"/>
          <w:noProof/>
          <w:lang w:val="sr-Cyrl-RS"/>
        </w:rPr>
      </w:pPr>
      <w:r w:rsidRPr="000820F9">
        <w:rPr>
          <w:rFonts w:asciiTheme="majorHAnsi" w:hAnsiTheme="majorHAnsi"/>
          <w:noProof/>
          <w:lang w:val="sr-Cyrl-RS"/>
        </w:rPr>
        <w:t>Критеријуми који су били коришћени за евалуацију пројектних предлога</w:t>
      </w:r>
      <w:r w:rsidR="000F7282" w:rsidRPr="000820F9">
        <w:rPr>
          <w:rFonts w:asciiTheme="majorHAnsi" w:hAnsiTheme="majorHAnsi"/>
          <w:noProof/>
          <w:lang w:val="sr-Cyrl-RS"/>
        </w:rPr>
        <w:t xml:space="preserve"> од стране Комисије </w:t>
      </w:r>
      <w:r w:rsidRPr="000820F9">
        <w:rPr>
          <w:rFonts w:asciiTheme="majorHAnsi" w:hAnsiTheme="majorHAnsi"/>
          <w:noProof/>
          <w:lang w:val="sr-Cyrl-RS"/>
        </w:rPr>
        <w:t>су били унапред дати апликантима и они су:</w:t>
      </w:r>
    </w:p>
    <w:p w:rsidR="006D111F" w:rsidRPr="000820F9" w:rsidRDefault="00172F7C" w:rsidP="000820F9">
      <w:pPr>
        <w:pStyle w:val="ListParagraph"/>
        <w:numPr>
          <w:ilvl w:val="0"/>
          <w:numId w:val="3"/>
        </w:numPr>
        <w:spacing w:line="240" w:lineRule="auto"/>
        <w:jc w:val="both"/>
        <w:rPr>
          <w:rFonts w:asciiTheme="majorHAnsi" w:hAnsiTheme="majorHAnsi"/>
          <w:noProof/>
          <w:lang w:val="sr-Cyrl-RS"/>
        </w:rPr>
      </w:pPr>
      <w:r w:rsidRPr="000820F9">
        <w:rPr>
          <w:rFonts w:asciiTheme="majorHAnsi" w:hAnsiTheme="majorHAnsi"/>
          <w:noProof/>
          <w:lang w:val="sr-Cyrl-RS"/>
        </w:rPr>
        <w:t>Релевантност предлога пројекта (40 поена)</w:t>
      </w:r>
    </w:p>
    <w:p w:rsidR="00172F7C" w:rsidRPr="000820F9" w:rsidRDefault="00172F7C" w:rsidP="000820F9">
      <w:pPr>
        <w:pStyle w:val="ListParagraph"/>
        <w:numPr>
          <w:ilvl w:val="0"/>
          <w:numId w:val="3"/>
        </w:numPr>
        <w:spacing w:line="240" w:lineRule="auto"/>
        <w:jc w:val="both"/>
        <w:rPr>
          <w:rFonts w:asciiTheme="majorHAnsi" w:hAnsiTheme="majorHAnsi"/>
          <w:noProof/>
          <w:lang w:val="sr-Cyrl-RS"/>
        </w:rPr>
      </w:pPr>
      <w:r w:rsidRPr="000820F9">
        <w:rPr>
          <w:rFonts w:asciiTheme="majorHAnsi" w:hAnsiTheme="majorHAnsi"/>
          <w:noProof/>
          <w:lang w:val="sr-Cyrl-RS"/>
        </w:rPr>
        <w:t>Квалитет и јасноћа предлога пројекта (30 поена)</w:t>
      </w:r>
    </w:p>
    <w:p w:rsidR="00172F7C" w:rsidRPr="000820F9" w:rsidRDefault="00172F7C" w:rsidP="000820F9">
      <w:pPr>
        <w:pStyle w:val="ListParagraph"/>
        <w:numPr>
          <w:ilvl w:val="0"/>
          <w:numId w:val="3"/>
        </w:numPr>
        <w:spacing w:line="240" w:lineRule="auto"/>
        <w:jc w:val="both"/>
        <w:rPr>
          <w:rFonts w:asciiTheme="majorHAnsi" w:hAnsiTheme="majorHAnsi"/>
          <w:noProof/>
          <w:lang w:val="sr-Cyrl-RS"/>
        </w:rPr>
      </w:pPr>
      <w:r w:rsidRPr="000820F9">
        <w:rPr>
          <w:rFonts w:asciiTheme="majorHAnsi" w:hAnsiTheme="majorHAnsi"/>
          <w:noProof/>
          <w:lang w:val="sr-Cyrl-RS"/>
        </w:rPr>
        <w:t>Квалитет предложеног плана праћења и евалуације (15 поена)</w:t>
      </w:r>
    </w:p>
    <w:p w:rsidR="00172F7C" w:rsidRPr="000820F9" w:rsidRDefault="00172F7C" w:rsidP="000820F9">
      <w:pPr>
        <w:pStyle w:val="ListParagraph"/>
        <w:numPr>
          <w:ilvl w:val="0"/>
          <w:numId w:val="3"/>
        </w:numPr>
        <w:spacing w:line="240" w:lineRule="auto"/>
        <w:jc w:val="both"/>
        <w:rPr>
          <w:rFonts w:asciiTheme="majorHAnsi" w:hAnsiTheme="majorHAnsi"/>
          <w:noProof/>
          <w:lang w:val="sr-Cyrl-RS"/>
        </w:rPr>
      </w:pPr>
      <w:r w:rsidRPr="000820F9">
        <w:rPr>
          <w:rFonts w:asciiTheme="majorHAnsi" w:hAnsiTheme="majorHAnsi"/>
          <w:noProof/>
          <w:lang w:val="sr-Cyrl-RS"/>
        </w:rPr>
        <w:t>Одрживост пројекта - у којој мери су резултати пројекта одрживи по престанку финансирања, у вези са различитим моделима подршке (15 поена)</w:t>
      </w:r>
    </w:p>
    <w:p w:rsidR="00566C50" w:rsidRPr="000820F9" w:rsidRDefault="00566C50" w:rsidP="000820F9">
      <w:pPr>
        <w:spacing w:line="240" w:lineRule="auto"/>
        <w:jc w:val="both"/>
        <w:rPr>
          <w:rFonts w:asciiTheme="majorHAnsi" w:hAnsiTheme="majorHAnsi"/>
          <w:noProof/>
          <w:lang w:val="sr-Cyrl-RS"/>
        </w:rPr>
      </w:pPr>
    </w:p>
    <w:p w:rsidR="00763AA7" w:rsidRDefault="000F7282" w:rsidP="00763AA7">
      <w:pPr>
        <w:spacing w:line="240" w:lineRule="auto"/>
        <w:jc w:val="both"/>
        <w:rPr>
          <w:rFonts w:ascii="Cambria" w:hAnsi="Cambria"/>
          <w:noProof/>
          <w:color w:val="000000"/>
          <w:lang w:val="sr-Cyrl-RS" w:eastAsia="sr-Latn-RS" w:bidi="th-TH"/>
        </w:rPr>
      </w:pPr>
      <w:r w:rsidRPr="000820F9">
        <w:rPr>
          <w:rFonts w:asciiTheme="majorHAnsi" w:hAnsiTheme="majorHAnsi"/>
          <w:noProof/>
          <w:lang w:val="sr-Cyrl-RS"/>
        </w:rPr>
        <w:lastRenderedPageBreak/>
        <w:t>Комисија је</w:t>
      </w:r>
      <w:r w:rsidR="00EB64C1" w:rsidRPr="000820F9">
        <w:rPr>
          <w:rFonts w:asciiTheme="majorHAnsi" w:hAnsiTheme="majorHAnsi"/>
          <w:noProof/>
          <w:lang w:val="sr-Cyrl-RS"/>
        </w:rPr>
        <w:t xml:space="preserve"> </w:t>
      </w:r>
      <w:r w:rsidR="00217279">
        <w:rPr>
          <w:rFonts w:asciiTheme="majorHAnsi" w:hAnsiTheme="majorHAnsi"/>
          <w:noProof/>
          <w:lang w:val="sr-Cyrl-RS"/>
        </w:rPr>
        <w:t xml:space="preserve">донела одлуку </w:t>
      </w:r>
      <w:r w:rsidR="00763AA7">
        <w:rPr>
          <w:rFonts w:asciiTheme="majorHAnsi" w:hAnsiTheme="majorHAnsi"/>
          <w:noProof/>
          <w:lang w:val="sr-Cyrl-RS"/>
        </w:rPr>
        <w:t xml:space="preserve">о 10 најбољих пројектних предлога којима ће бити додељена средства у </w:t>
      </w:r>
      <w:r w:rsidR="00763AA7">
        <w:rPr>
          <w:rFonts w:ascii="Cambria" w:hAnsi="Cambria"/>
          <w:noProof/>
          <w:color w:val="000000"/>
          <w:lang w:val="sr-Cyrl-RS" w:eastAsia="sr-Latn-RS" w:bidi="th-TH"/>
        </w:rPr>
        <w:t>оквиру расположивог буџета</w:t>
      </w:r>
      <w:r w:rsidR="00E971D8">
        <w:rPr>
          <w:rFonts w:ascii="Cambria" w:hAnsi="Cambria"/>
          <w:noProof/>
          <w:color w:val="000000"/>
          <w:lang w:val="sr-Cyrl-RS" w:eastAsia="sr-Latn-RS" w:bidi="th-TH"/>
        </w:rPr>
        <w:t xml:space="preserve"> конкурса</w:t>
      </w:r>
      <w:r w:rsidR="00763AA7">
        <w:rPr>
          <w:rFonts w:ascii="Cambria" w:hAnsi="Cambria"/>
          <w:noProof/>
          <w:color w:val="000000"/>
          <w:lang w:val="sr-Cyrl-RS" w:eastAsia="sr-Latn-RS" w:bidi="th-TH"/>
        </w:rPr>
        <w:t xml:space="preserve">. </w:t>
      </w:r>
    </w:p>
    <w:p w:rsidR="005966CE" w:rsidRPr="000820F9" w:rsidRDefault="00EB64C1" w:rsidP="000820F9">
      <w:pPr>
        <w:spacing w:line="240" w:lineRule="auto"/>
        <w:jc w:val="both"/>
        <w:rPr>
          <w:rFonts w:asciiTheme="majorHAnsi" w:hAnsiTheme="majorHAnsi"/>
          <w:noProof/>
          <w:lang w:val="sr-Cyrl-RS"/>
        </w:rPr>
      </w:pPr>
      <w:r w:rsidRPr="000820F9">
        <w:rPr>
          <w:rFonts w:asciiTheme="majorHAnsi" w:hAnsiTheme="majorHAnsi"/>
          <w:noProof/>
          <w:lang w:val="sr-Cyrl-RS"/>
        </w:rPr>
        <w:t>И</w:t>
      </w:r>
      <w:r w:rsidR="005966CE" w:rsidRPr="000820F9">
        <w:rPr>
          <w:rFonts w:asciiTheme="majorHAnsi" w:hAnsiTheme="majorHAnsi"/>
          <w:noProof/>
          <w:lang w:val="sr-Cyrl-RS"/>
        </w:rPr>
        <w:t>мајући у в</w:t>
      </w:r>
      <w:r w:rsidRPr="000820F9">
        <w:rPr>
          <w:rFonts w:asciiTheme="majorHAnsi" w:hAnsiTheme="majorHAnsi"/>
          <w:noProof/>
          <w:lang w:val="sr-Cyrl-RS"/>
        </w:rPr>
        <w:t xml:space="preserve">иду горе наведене критеријуме за евалуацију пројектних предлога, Комисија је </w:t>
      </w:r>
      <w:r w:rsidR="005966CE" w:rsidRPr="000820F9">
        <w:rPr>
          <w:rFonts w:asciiTheme="majorHAnsi" w:hAnsiTheme="majorHAnsi"/>
          <w:noProof/>
          <w:lang w:val="sr-Cyrl-RS"/>
        </w:rPr>
        <w:t>одлучила да подржи следеће пројекте:</w:t>
      </w:r>
    </w:p>
    <w:tbl>
      <w:tblPr>
        <w:tblW w:w="11340" w:type="dxa"/>
        <w:tblInd w:w="-905" w:type="dxa"/>
        <w:tblLook w:val="04A0" w:firstRow="1" w:lastRow="0" w:firstColumn="1" w:lastColumn="0" w:noHBand="0" w:noVBand="1"/>
      </w:tblPr>
      <w:tblGrid>
        <w:gridCol w:w="960"/>
        <w:gridCol w:w="1830"/>
        <w:gridCol w:w="2520"/>
        <w:gridCol w:w="2520"/>
        <w:gridCol w:w="1710"/>
        <w:gridCol w:w="1800"/>
      </w:tblGrid>
      <w:tr w:rsidR="00626D7F" w:rsidRPr="000820F9" w:rsidTr="00626D7F">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Редни број</w:t>
            </w:r>
          </w:p>
        </w:tc>
        <w:tc>
          <w:tcPr>
            <w:tcW w:w="1830" w:type="dxa"/>
            <w:tcBorders>
              <w:top w:val="single" w:sz="4" w:space="0" w:color="auto"/>
              <w:left w:val="nil"/>
              <w:bottom w:val="single" w:sz="4" w:space="0" w:color="auto"/>
              <w:right w:val="single" w:sz="4"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Носилац Пријаве</w:t>
            </w:r>
          </w:p>
        </w:tc>
        <w:tc>
          <w:tcPr>
            <w:tcW w:w="2520" w:type="dxa"/>
            <w:tcBorders>
              <w:top w:val="single" w:sz="4" w:space="0" w:color="auto"/>
              <w:left w:val="nil"/>
              <w:bottom w:val="single" w:sz="4" w:space="0" w:color="auto"/>
              <w:right w:val="single" w:sz="4"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Назив Пројекта</w:t>
            </w:r>
          </w:p>
        </w:tc>
        <w:tc>
          <w:tcPr>
            <w:tcW w:w="2520" w:type="dxa"/>
            <w:tcBorders>
              <w:top w:val="single" w:sz="4" w:space="0" w:color="auto"/>
              <w:left w:val="nil"/>
              <w:bottom w:val="single" w:sz="4" w:space="0" w:color="auto"/>
              <w:right w:val="single" w:sz="4"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Локација спровођења</w:t>
            </w:r>
          </w:p>
        </w:tc>
        <w:tc>
          <w:tcPr>
            <w:tcW w:w="1710" w:type="dxa"/>
            <w:tcBorders>
              <w:top w:val="single" w:sz="4" w:space="0" w:color="auto"/>
              <w:left w:val="nil"/>
              <w:bottom w:val="single" w:sz="4" w:space="0" w:color="auto"/>
              <w:right w:val="single" w:sz="4"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 xml:space="preserve">Модел подршке </w:t>
            </w:r>
          </w:p>
        </w:tc>
        <w:tc>
          <w:tcPr>
            <w:tcW w:w="1800" w:type="dxa"/>
            <w:tcBorders>
              <w:top w:val="single" w:sz="4" w:space="0" w:color="auto"/>
              <w:left w:val="nil"/>
              <w:bottom w:val="single" w:sz="4" w:space="0" w:color="auto"/>
              <w:right w:val="single" w:sz="8" w:space="0" w:color="auto"/>
            </w:tcBorders>
            <w:shd w:val="clear" w:color="000000" w:fill="8DB4E2"/>
            <w:vAlign w:val="center"/>
            <w:hideMark/>
          </w:tcPr>
          <w:p w:rsidR="00626D7F" w:rsidRPr="000820F9" w:rsidRDefault="00626D7F" w:rsidP="000820F9">
            <w:pPr>
              <w:spacing w:after="0" w:line="240" w:lineRule="auto"/>
              <w:jc w:val="both"/>
              <w:rPr>
                <w:rFonts w:asciiTheme="majorHAnsi" w:eastAsia="Times New Roman" w:hAnsiTheme="majorHAnsi"/>
                <w:b/>
                <w:bCs/>
                <w:color w:val="000000"/>
                <w:lang w:val="sr-Cyrl-RS"/>
              </w:rPr>
            </w:pPr>
            <w:r w:rsidRPr="000820F9">
              <w:rPr>
                <w:rFonts w:asciiTheme="majorHAnsi" w:eastAsia="Times New Roman" w:hAnsiTheme="majorHAnsi"/>
                <w:b/>
                <w:bCs/>
                <w:color w:val="000000"/>
                <w:lang w:val="sr-Cyrl-RS"/>
              </w:rPr>
              <w:t>Укупан број бодова (100 максимум)</w:t>
            </w:r>
          </w:p>
        </w:tc>
      </w:tr>
      <w:tr w:rsidR="00626D7F" w:rsidRPr="000820F9" w:rsidTr="00626D7F">
        <w:trPr>
          <w:trHeight w:val="6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1</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Удружење Феномена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 xml:space="preserve">„ДАФФ“ агробизнис </w:t>
            </w:r>
            <w:r w:rsidRPr="000820F9">
              <w:rPr>
                <w:rFonts w:asciiTheme="majorHAnsi" w:eastAsia="Times New Roman" w:hAnsiTheme="majorHAnsi"/>
                <w:i/>
                <w:iCs/>
                <w:color w:val="000000"/>
                <w:lang w:val="sr-Cyrl-RS"/>
              </w:rPr>
              <w:t>start-up</w:t>
            </w:r>
            <w:r w:rsidRPr="000820F9">
              <w:rPr>
                <w:rFonts w:asciiTheme="majorHAnsi" w:eastAsia="Times New Roman" w:hAnsiTheme="majorHAnsi"/>
                <w:color w:val="000000"/>
                <w:lang w:val="sr-Cyrl-RS"/>
              </w:rPr>
              <w:t xml:space="preserve"> за младе</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Рашки и Златиборски округ</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2</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99</w:t>
            </w:r>
          </w:p>
        </w:tc>
      </w:tr>
      <w:tr w:rsidR="00626D7F" w:rsidRPr="000820F9" w:rsidTr="00695034">
        <w:trPr>
          <w:trHeight w:val="1892"/>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2</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Удружење за локални развој Каменица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Омладински развојни сервис</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Комплетан Нишавски округ: Град Ниш, општине Ражањ, Алексинац, Мерошина, Дољевац, Гаџин Хан и Сврљиг</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1</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99</w:t>
            </w:r>
          </w:p>
        </w:tc>
      </w:tr>
      <w:tr w:rsidR="00626D7F" w:rsidRPr="000820F9" w:rsidTr="00626D7F">
        <w:trPr>
          <w:trHeight w:val="6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3</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Регионални едукативни центар - Банат</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Истражи свој бизнис</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Зрењанин</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2</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98</w:t>
            </w:r>
          </w:p>
        </w:tc>
      </w:tr>
      <w:tr w:rsidR="00626D7F" w:rsidRPr="000820F9" w:rsidTr="00626D7F">
        <w:trPr>
          <w:trHeight w:val="315"/>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4</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Тимочки клуб</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95034" w:rsidP="00695034">
            <w:pPr>
              <w:spacing w:after="0" w:line="240" w:lineRule="auto"/>
              <w:rPr>
                <w:rFonts w:asciiTheme="majorHAnsi" w:eastAsia="Times New Roman" w:hAnsiTheme="majorHAnsi"/>
                <w:color w:val="000000"/>
                <w:lang w:val="sr-Cyrl-RS"/>
              </w:rPr>
            </w:pPr>
            <w:r>
              <w:rPr>
                <w:rFonts w:asciiTheme="majorHAnsi" w:eastAsia="Times New Roman" w:hAnsiTheme="majorHAnsi"/>
                <w:color w:val="000000"/>
                <w:lang w:val="sr-Cyrl-RS"/>
              </w:rPr>
              <w:t>Дигитална инклузија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Општина Књажевац</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1</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98</w:t>
            </w:r>
          </w:p>
        </w:tc>
      </w:tr>
      <w:tr w:rsidR="00626D7F" w:rsidRPr="000820F9" w:rsidTr="00626D7F">
        <w:trPr>
          <w:trHeight w:val="6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5</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Удружење грађана Ентузијасти Кучева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95034" w:rsidP="00695034">
            <w:pPr>
              <w:spacing w:after="0" w:line="240" w:lineRule="auto"/>
              <w:rPr>
                <w:rFonts w:asciiTheme="majorHAnsi" w:eastAsia="Times New Roman" w:hAnsiTheme="majorHAnsi"/>
                <w:color w:val="000000"/>
                <w:lang w:val="sr-Cyrl-RS"/>
              </w:rPr>
            </w:pPr>
            <w:r>
              <w:rPr>
                <w:rFonts w:asciiTheme="majorHAnsi" w:eastAsia="Times New Roman" w:hAnsiTheme="majorHAnsi"/>
                <w:color w:val="000000"/>
                <w:lang w:val="sr-Cyrl-RS"/>
              </w:rPr>
              <w:t>Да твоја Земља више вреди</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Општина Кучево</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1</w:t>
            </w:r>
          </w:p>
        </w:tc>
        <w:tc>
          <w:tcPr>
            <w:tcW w:w="1800" w:type="dxa"/>
            <w:tcBorders>
              <w:top w:val="nil"/>
              <w:left w:val="nil"/>
              <w:bottom w:val="single" w:sz="4" w:space="0" w:color="auto"/>
              <w:right w:val="single" w:sz="8" w:space="0" w:color="auto"/>
            </w:tcBorders>
            <w:shd w:val="clear" w:color="000000" w:fill="C4D79B"/>
            <w:vAlign w:val="bottom"/>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97</w:t>
            </w:r>
          </w:p>
        </w:tc>
      </w:tr>
      <w:tr w:rsidR="00626D7F" w:rsidRPr="000820F9" w:rsidTr="00626D7F">
        <w:trPr>
          <w:trHeight w:val="9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6</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Фондација за развој економске науке</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Н@ПРЕД: Нетворкинг ПРивредног и ЕДукативног сектора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773DB2">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 xml:space="preserve">Београд, Србија </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2</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96</w:t>
            </w:r>
          </w:p>
        </w:tc>
      </w:tr>
      <w:tr w:rsidR="00626D7F" w:rsidRPr="000820F9" w:rsidTr="00626D7F">
        <w:trPr>
          <w:trHeight w:val="6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7</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Развојни бизнис центар Крагујевац</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Локална партнерства за запошљавање младих</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Крагујевац</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2</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96</w:t>
            </w:r>
          </w:p>
        </w:tc>
      </w:tr>
      <w:tr w:rsidR="00626D7F" w:rsidRPr="000820F9" w:rsidTr="00695034">
        <w:trPr>
          <w:trHeight w:val="581"/>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8</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Европски покрет у Србији -  Лесковац</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БУДИ ДРУГАЧИЈИ! - Унапређење иновативног приступа запошљивости и запошљавању младих у Јабланичком округу</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Лесковац, Власотинце, Лебане, Медвеђа, Бојник, Црна трава</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695034">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2</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95</w:t>
            </w:r>
          </w:p>
        </w:tc>
      </w:tr>
      <w:tr w:rsidR="00626D7F" w:rsidRPr="000820F9" w:rsidTr="00626D7F">
        <w:trPr>
          <w:trHeight w:val="18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lastRenderedPageBreak/>
              <w:t>9</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1C2789">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Ромкиње Војводине</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1C2789" w:rsidP="001C2789">
            <w:pPr>
              <w:spacing w:after="0" w:line="240" w:lineRule="auto"/>
              <w:rPr>
                <w:rFonts w:asciiTheme="majorHAnsi" w:eastAsia="Times New Roman" w:hAnsiTheme="majorHAnsi"/>
                <w:color w:val="000000"/>
                <w:lang w:val="sr-Cyrl-RS"/>
              </w:rPr>
            </w:pPr>
            <w:r>
              <w:rPr>
                <w:rFonts w:asciiTheme="majorHAnsi" w:eastAsia="Times New Roman" w:hAnsiTheme="majorHAnsi"/>
                <w:color w:val="000000"/>
                <w:lang w:val="sr-Cyrl-RS"/>
              </w:rPr>
              <w:t>Да ли знаш?Да ли можеш!</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D22BCE">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Општина Нови Бечеј</w:t>
            </w:r>
            <w:r w:rsidR="00D22BCE">
              <w:rPr>
                <w:rFonts w:asciiTheme="majorHAnsi" w:eastAsia="Times New Roman" w:hAnsiTheme="majorHAnsi"/>
                <w:color w:val="000000"/>
                <w:lang w:val="sr-Cyrl-RS"/>
              </w:rPr>
              <w:t xml:space="preserve"> </w:t>
            </w:r>
            <w:r w:rsidRPr="000820F9">
              <w:rPr>
                <w:rFonts w:asciiTheme="majorHAnsi" w:eastAsia="Times New Roman" w:hAnsiTheme="majorHAnsi"/>
                <w:color w:val="000000"/>
                <w:lang w:val="sr-Cyrl-RS"/>
              </w:rPr>
              <w:t>(насељена места:</w:t>
            </w:r>
            <w:r w:rsidR="00D22BCE">
              <w:rPr>
                <w:rFonts w:asciiTheme="majorHAnsi" w:eastAsia="Times New Roman" w:hAnsiTheme="majorHAnsi"/>
                <w:color w:val="000000"/>
                <w:lang w:val="sr-Cyrl-RS"/>
              </w:rPr>
              <w:t xml:space="preserve"> </w:t>
            </w:r>
            <w:r w:rsidRPr="000820F9">
              <w:rPr>
                <w:rFonts w:asciiTheme="majorHAnsi" w:eastAsia="Times New Roman" w:hAnsiTheme="majorHAnsi"/>
                <w:color w:val="000000"/>
                <w:lang w:val="sr-Cyrl-RS"/>
              </w:rPr>
              <w:t>Нови Бечеј,</w:t>
            </w:r>
            <w:r w:rsidR="00D22BCE">
              <w:rPr>
                <w:rFonts w:asciiTheme="majorHAnsi" w:eastAsia="Times New Roman" w:hAnsiTheme="majorHAnsi"/>
                <w:color w:val="000000"/>
                <w:lang w:val="sr-Cyrl-RS"/>
              </w:rPr>
              <w:t xml:space="preserve"> </w:t>
            </w:r>
            <w:r w:rsidRPr="000820F9">
              <w:rPr>
                <w:rFonts w:asciiTheme="majorHAnsi" w:eastAsia="Times New Roman" w:hAnsiTheme="majorHAnsi"/>
                <w:color w:val="000000"/>
                <w:lang w:val="sr-Cyrl-RS"/>
              </w:rPr>
              <w:t>Ново Милошево</w:t>
            </w:r>
            <w:r w:rsidR="00D22BCE">
              <w:rPr>
                <w:rFonts w:asciiTheme="majorHAnsi" w:eastAsia="Times New Roman" w:hAnsiTheme="majorHAnsi"/>
                <w:color w:val="000000"/>
                <w:lang w:val="sr-Cyrl-RS"/>
              </w:rPr>
              <w:t xml:space="preserve">, </w:t>
            </w:r>
            <w:r w:rsidRPr="000820F9">
              <w:rPr>
                <w:rFonts w:asciiTheme="majorHAnsi" w:eastAsia="Times New Roman" w:hAnsiTheme="majorHAnsi"/>
                <w:color w:val="000000"/>
                <w:lang w:val="sr-Cyrl-RS"/>
              </w:rPr>
              <w:t>Бочар и Кумане)</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1C2789">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1</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95</w:t>
            </w:r>
          </w:p>
        </w:tc>
      </w:tr>
      <w:tr w:rsidR="00626D7F" w:rsidRPr="000820F9" w:rsidTr="00626D7F">
        <w:trPr>
          <w:trHeight w:val="600"/>
        </w:trPr>
        <w:tc>
          <w:tcPr>
            <w:tcW w:w="960" w:type="dxa"/>
            <w:tcBorders>
              <w:top w:val="nil"/>
              <w:left w:val="single" w:sz="8" w:space="0" w:color="auto"/>
              <w:bottom w:val="single" w:sz="4" w:space="0" w:color="auto"/>
              <w:right w:val="single" w:sz="4"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10</w:t>
            </w:r>
          </w:p>
        </w:tc>
        <w:tc>
          <w:tcPr>
            <w:tcW w:w="183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1C2789">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Тимочки Омладински Центар</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1C2789">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ПОМАК трансформација</w:t>
            </w:r>
          </w:p>
        </w:tc>
        <w:tc>
          <w:tcPr>
            <w:tcW w:w="2520" w:type="dxa"/>
            <w:tcBorders>
              <w:top w:val="nil"/>
              <w:left w:val="nil"/>
              <w:bottom w:val="single" w:sz="4" w:space="0" w:color="auto"/>
              <w:right w:val="single" w:sz="4" w:space="0" w:color="auto"/>
            </w:tcBorders>
            <w:shd w:val="clear" w:color="000000" w:fill="C4D79B"/>
            <w:vAlign w:val="center"/>
            <w:hideMark/>
          </w:tcPr>
          <w:p w:rsidR="00626D7F" w:rsidRPr="000820F9" w:rsidRDefault="00D22BCE" w:rsidP="00D22BCE">
            <w:pPr>
              <w:spacing w:after="0" w:line="240" w:lineRule="auto"/>
              <w:rPr>
                <w:rFonts w:asciiTheme="majorHAnsi" w:eastAsia="Times New Roman" w:hAnsiTheme="majorHAnsi"/>
                <w:color w:val="000000"/>
                <w:lang w:val="sr-Cyrl-RS"/>
              </w:rPr>
            </w:pPr>
            <w:r>
              <w:rPr>
                <w:rFonts w:asciiTheme="majorHAnsi" w:eastAsia="Times New Roman" w:hAnsiTheme="majorHAnsi"/>
                <w:color w:val="000000"/>
                <w:lang w:val="sr-Cyrl-RS"/>
              </w:rPr>
              <w:t>Зајечар, Београд</w:t>
            </w:r>
            <w:r w:rsidR="005A2BB8">
              <w:rPr>
                <w:rFonts w:asciiTheme="majorHAnsi" w:eastAsia="Times New Roman" w:hAnsiTheme="majorHAnsi"/>
                <w:color w:val="000000"/>
                <w:lang w:val="sr-Cyrl-RS"/>
              </w:rPr>
              <w:t>, Србија</w:t>
            </w:r>
          </w:p>
        </w:tc>
        <w:tc>
          <w:tcPr>
            <w:tcW w:w="1710" w:type="dxa"/>
            <w:tcBorders>
              <w:top w:val="nil"/>
              <w:left w:val="nil"/>
              <w:bottom w:val="single" w:sz="4" w:space="0" w:color="auto"/>
              <w:right w:val="single" w:sz="4" w:space="0" w:color="auto"/>
            </w:tcBorders>
            <w:shd w:val="clear" w:color="000000" w:fill="C4D79B"/>
            <w:vAlign w:val="center"/>
            <w:hideMark/>
          </w:tcPr>
          <w:p w:rsidR="00626D7F" w:rsidRPr="000820F9" w:rsidRDefault="00626D7F" w:rsidP="001C2789">
            <w:pPr>
              <w:spacing w:after="0" w:line="240" w:lineRule="auto"/>
              <w:rPr>
                <w:rFonts w:asciiTheme="majorHAnsi" w:eastAsia="Times New Roman" w:hAnsiTheme="majorHAnsi"/>
                <w:color w:val="000000"/>
                <w:lang w:val="sr-Cyrl-RS"/>
              </w:rPr>
            </w:pPr>
            <w:r w:rsidRPr="000820F9">
              <w:rPr>
                <w:rFonts w:asciiTheme="majorHAnsi" w:eastAsia="Times New Roman" w:hAnsiTheme="majorHAnsi"/>
                <w:color w:val="000000"/>
                <w:lang w:val="sr-Cyrl-RS"/>
              </w:rPr>
              <w:t>Модел 3</w:t>
            </w:r>
          </w:p>
        </w:tc>
        <w:tc>
          <w:tcPr>
            <w:tcW w:w="1800" w:type="dxa"/>
            <w:tcBorders>
              <w:top w:val="nil"/>
              <w:left w:val="nil"/>
              <w:bottom w:val="single" w:sz="4" w:space="0" w:color="auto"/>
              <w:right w:val="single" w:sz="8" w:space="0" w:color="auto"/>
            </w:tcBorders>
            <w:shd w:val="clear" w:color="000000" w:fill="C4D79B"/>
            <w:vAlign w:val="center"/>
            <w:hideMark/>
          </w:tcPr>
          <w:p w:rsidR="00626D7F" w:rsidRPr="000820F9" w:rsidRDefault="00626D7F" w:rsidP="000820F9">
            <w:pPr>
              <w:spacing w:after="0" w:line="240" w:lineRule="auto"/>
              <w:jc w:val="both"/>
              <w:rPr>
                <w:rFonts w:asciiTheme="majorHAnsi" w:eastAsia="Times New Roman" w:hAnsiTheme="majorHAnsi"/>
                <w:color w:val="000000"/>
                <w:lang w:val="sr-Cyrl-RS"/>
              </w:rPr>
            </w:pPr>
            <w:r w:rsidRPr="000820F9">
              <w:rPr>
                <w:rFonts w:asciiTheme="majorHAnsi" w:eastAsia="Times New Roman" w:hAnsiTheme="majorHAnsi"/>
                <w:color w:val="000000"/>
                <w:lang w:val="sr-Cyrl-RS"/>
              </w:rPr>
              <w:t>95</w:t>
            </w:r>
          </w:p>
        </w:tc>
      </w:tr>
    </w:tbl>
    <w:p w:rsidR="005966CE" w:rsidRPr="000820F9" w:rsidRDefault="005966CE" w:rsidP="000820F9">
      <w:pPr>
        <w:spacing w:line="240" w:lineRule="auto"/>
        <w:jc w:val="both"/>
        <w:rPr>
          <w:rFonts w:asciiTheme="majorHAnsi" w:hAnsiTheme="majorHAnsi"/>
          <w:noProof/>
          <w:lang w:val="sr-Cyrl-RS"/>
        </w:rPr>
      </w:pPr>
    </w:p>
    <w:p w:rsidR="00716C69" w:rsidRPr="00573794" w:rsidRDefault="00716C69" w:rsidP="00573794">
      <w:pPr>
        <w:pStyle w:val="paragraph"/>
        <w:spacing w:beforeLines="60" w:before="144" w:afterLines="60" w:after="144"/>
        <w:ind w:left="0"/>
        <w:rPr>
          <w:rFonts w:ascii="Cambria" w:hAnsi="Cambria"/>
          <w:noProof/>
          <w:szCs w:val="22"/>
          <w:lang w:val="sr-Cyrl-RS"/>
        </w:rPr>
      </w:pPr>
      <w:r w:rsidRPr="00573794">
        <w:rPr>
          <w:rFonts w:ascii="Cambria" w:hAnsi="Cambria"/>
          <w:noProof/>
          <w:szCs w:val="22"/>
          <w:lang w:val="sr-Cyrl-RS"/>
        </w:rPr>
        <w:t>Тим за социјално укључивање и смањење сиромаштва овом приликом, у име читаве Комисије</w:t>
      </w:r>
      <w:r w:rsidR="00387B72" w:rsidRPr="00573794">
        <w:rPr>
          <w:rFonts w:ascii="Cambria" w:hAnsi="Cambria"/>
          <w:noProof/>
          <w:szCs w:val="22"/>
          <w:lang w:val="sr-Cyrl-RS"/>
        </w:rPr>
        <w:t>,</w:t>
      </w:r>
      <w:r w:rsidRPr="00573794">
        <w:rPr>
          <w:rFonts w:ascii="Cambria" w:hAnsi="Cambria"/>
          <w:noProof/>
          <w:szCs w:val="22"/>
          <w:lang w:val="sr-Cyrl-RS"/>
        </w:rPr>
        <w:t xml:space="preserve"> честита победницима конкурса, захваљује се свим апликантима на учешћу и охрабрује остале учеснике да и даље прате активности</w:t>
      </w:r>
      <w:r w:rsidR="00B83100">
        <w:rPr>
          <w:rFonts w:ascii="Cambria" w:hAnsi="Cambria"/>
          <w:noProof/>
          <w:szCs w:val="22"/>
          <w:lang w:val="sr-Cyrl-RS"/>
        </w:rPr>
        <w:t xml:space="preserve"> Владе и партнера у области запошљавања и запошљивости младих</w:t>
      </w:r>
      <w:r w:rsidRPr="00573794">
        <w:rPr>
          <w:rFonts w:ascii="Cambria" w:hAnsi="Cambria"/>
          <w:noProof/>
          <w:szCs w:val="22"/>
          <w:lang w:val="sr-Cyrl-RS"/>
        </w:rPr>
        <w:t xml:space="preserve">. </w:t>
      </w:r>
    </w:p>
    <w:p w:rsidR="00573794" w:rsidRDefault="00573794" w:rsidP="00573794">
      <w:pPr>
        <w:pStyle w:val="paragraph"/>
        <w:spacing w:beforeLines="60" w:before="144" w:afterLines="60" w:after="144"/>
        <w:ind w:left="0"/>
        <w:rPr>
          <w:rFonts w:ascii="Cambria" w:hAnsi="Cambria"/>
          <w:noProof/>
          <w:szCs w:val="22"/>
          <w:lang w:val="sr-Cyrl-RS"/>
        </w:rPr>
      </w:pPr>
      <w:r w:rsidRPr="00573794">
        <w:rPr>
          <w:rFonts w:ascii="Cambria" w:hAnsi="Cambria"/>
          <w:noProof/>
          <w:szCs w:val="22"/>
          <w:lang w:val="sr-Cyrl-RS"/>
        </w:rPr>
        <w:t xml:space="preserve">Конкурс </w:t>
      </w:r>
      <w:r>
        <w:rPr>
          <w:rFonts w:ascii="Cambria" w:hAnsi="Cambria"/>
          <w:noProof/>
          <w:szCs w:val="22"/>
          <w:lang w:val="sr-Cyrl-RS"/>
        </w:rPr>
        <w:t xml:space="preserve"> је спроведен у оквиру </w:t>
      </w:r>
      <w:r w:rsidRPr="00573794">
        <w:rPr>
          <w:rFonts w:ascii="Cambria" w:hAnsi="Cambria"/>
          <w:noProof/>
          <w:szCs w:val="22"/>
          <w:lang w:val="sr-Cyrl-RS"/>
        </w:rPr>
        <w:t xml:space="preserve">почетне фазе </w:t>
      </w:r>
      <w:r w:rsidRPr="00A40315">
        <w:rPr>
          <w:rFonts w:ascii="Cambria" w:hAnsi="Cambria"/>
          <w:noProof/>
          <w:szCs w:val="22"/>
          <w:lang w:val="sr-Cyrl-RS"/>
        </w:rPr>
        <w:t>пројект</w:t>
      </w:r>
      <w:r>
        <w:rPr>
          <w:rFonts w:ascii="Cambria" w:hAnsi="Cambria"/>
          <w:noProof/>
          <w:szCs w:val="22"/>
          <w:lang w:val="sr-Cyrl-RS"/>
        </w:rPr>
        <w:t xml:space="preserve">а </w:t>
      </w:r>
      <w:r>
        <w:rPr>
          <w:rFonts w:ascii="Cambria" w:hAnsi="Cambria"/>
          <w:noProof/>
          <w:szCs w:val="22"/>
          <w:lang w:val="sr-Cyrl-RS"/>
        </w:rPr>
        <w:t>(</w:t>
      </w:r>
      <w:r w:rsidRPr="00A40315">
        <w:rPr>
          <w:rFonts w:ascii="Cambria" w:hAnsi="Cambria"/>
          <w:noProof/>
          <w:szCs w:val="22"/>
          <w:lang w:val="sr-Cyrl-RS"/>
        </w:rPr>
        <w:t>октоб</w:t>
      </w:r>
      <w:r>
        <w:rPr>
          <w:rFonts w:ascii="Cambria" w:hAnsi="Cambria"/>
          <w:noProof/>
          <w:szCs w:val="22"/>
          <w:lang w:val="sr-Cyrl-RS"/>
        </w:rPr>
        <w:t>а</w:t>
      </w:r>
      <w:r w:rsidRPr="00A40315">
        <w:rPr>
          <w:rFonts w:ascii="Cambria" w:hAnsi="Cambria"/>
          <w:noProof/>
          <w:szCs w:val="22"/>
          <w:lang w:val="sr-Cyrl-RS"/>
        </w:rPr>
        <w:t xml:space="preserve">р 2015. </w:t>
      </w:r>
      <w:r>
        <w:rPr>
          <w:rFonts w:ascii="Cambria" w:hAnsi="Cambria"/>
          <w:noProof/>
          <w:szCs w:val="22"/>
          <w:lang w:val="sr-Cyrl-RS"/>
        </w:rPr>
        <w:t xml:space="preserve">- </w:t>
      </w:r>
      <w:r w:rsidRPr="00A40315">
        <w:rPr>
          <w:rFonts w:ascii="Cambria" w:hAnsi="Cambria"/>
          <w:noProof/>
          <w:szCs w:val="22"/>
          <w:lang w:val="sr-Cyrl-RS"/>
        </w:rPr>
        <w:t>октоб</w:t>
      </w:r>
      <w:r>
        <w:rPr>
          <w:rFonts w:ascii="Cambria" w:hAnsi="Cambria"/>
          <w:noProof/>
          <w:szCs w:val="22"/>
          <w:lang w:val="sr-Cyrl-RS"/>
        </w:rPr>
        <w:t>а</w:t>
      </w:r>
      <w:r w:rsidRPr="00A40315">
        <w:rPr>
          <w:rFonts w:ascii="Cambria" w:hAnsi="Cambria"/>
          <w:noProof/>
          <w:szCs w:val="22"/>
          <w:lang w:val="sr-Cyrl-RS"/>
        </w:rPr>
        <w:t>р 2016.</w:t>
      </w:r>
      <w:r>
        <w:rPr>
          <w:rFonts w:ascii="Cambria" w:hAnsi="Cambria"/>
          <w:noProof/>
          <w:szCs w:val="22"/>
          <w:lang w:val="sr-Cyrl-RS"/>
        </w:rPr>
        <w:t>)</w:t>
      </w:r>
      <w:r w:rsidR="002F7FDF">
        <w:rPr>
          <w:rFonts w:ascii="Cambria" w:hAnsi="Cambria"/>
          <w:noProof/>
          <w:szCs w:val="22"/>
          <w:lang w:val="sr-Cyrl-RS"/>
        </w:rPr>
        <w:t xml:space="preserve"> који </w:t>
      </w:r>
      <w:r w:rsidR="00A05399" w:rsidRPr="00A40315">
        <w:rPr>
          <w:rFonts w:ascii="Cambria" w:hAnsi="Cambria"/>
          <w:noProof/>
          <w:szCs w:val="22"/>
          <w:lang w:val="sr-Cyrl-RS"/>
        </w:rPr>
        <w:t xml:space="preserve">је део ширег програма </w:t>
      </w:r>
      <w:r w:rsidR="00A05399" w:rsidRPr="000820F9">
        <w:rPr>
          <w:rFonts w:asciiTheme="majorHAnsi" w:hAnsiTheme="majorHAnsi"/>
          <w:noProof/>
          <w:szCs w:val="22"/>
          <w:lang w:val="sr-Cyrl-RS"/>
        </w:rPr>
        <w:t>СДЦ</w:t>
      </w:r>
      <w:r w:rsidR="00A05399" w:rsidRPr="00A05399">
        <w:rPr>
          <w:rFonts w:ascii="Cambria" w:hAnsi="Cambria"/>
          <w:noProof/>
          <w:szCs w:val="22"/>
          <w:lang w:val="sr-Cyrl-RS"/>
        </w:rPr>
        <w:t>-</w:t>
      </w:r>
      <w:r w:rsidR="00A05399" w:rsidRPr="00A40315">
        <w:rPr>
          <w:rFonts w:ascii="Cambria" w:hAnsi="Cambria"/>
          <w:noProof/>
          <w:szCs w:val="22"/>
          <w:lang w:val="sr-Cyrl-RS"/>
        </w:rPr>
        <w:t xml:space="preserve">а из априла 2015. године, под називом „Од образовања до запошљавања: развој вештина младих и приватно-јавних партнерстава у Републици Србији”. </w:t>
      </w:r>
    </w:p>
    <w:p w:rsidR="00A05399" w:rsidRPr="00A40315" w:rsidRDefault="00A05399" w:rsidP="00A05399">
      <w:pPr>
        <w:pStyle w:val="paragraph"/>
        <w:tabs>
          <w:tab w:val="clear" w:pos="851"/>
          <w:tab w:val="left" w:pos="-1080"/>
        </w:tabs>
        <w:spacing w:beforeLines="60" w:before="144" w:afterLines="60" w:after="144"/>
        <w:ind w:left="0"/>
        <w:rPr>
          <w:rFonts w:ascii="Cambria" w:hAnsi="Cambria"/>
          <w:bCs/>
          <w:noProof/>
          <w:szCs w:val="22"/>
          <w:lang w:val="sr-Cyrl-RS"/>
        </w:rPr>
      </w:pPr>
      <w:bookmarkStart w:id="0" w:name="_GoBack"/>
      <w:bookmarkEnd w:id="0"/>
      <w:r w:rsidRPr="00A40315">
        <w:rPr>
          <w:rFonts w:ascii="Cambria" w:hAnsi="Cambria"/>
          <w:bCs/>
          <w:noProof/>
          <w:szCs w:val="22"/>
          <w:lang w:val="sr-Cyrl-RS"/>
        </w:rPr>
        <w:t xml:space="preserve">На основу резултата, искустава, научених лекција и решења остварених у почетној фази, укључујући и резултате овог конкурса, биће прикупљене информације и подаци важни за предлагање мера јавних политика на локалном нивоу у области запошљавања, образовања, социјалне и омладинске политике. </w:t>
      </w:r>
    </w:p>
    <w:p w:rsidR="00A05399" w:rsidRPr="000820F9" w:rsidRDefault="00A05399" w:rsidP="000820F9">
      <w:pPr>
        <w:jc w:val="both"/>
        <w:rPr>
          <w:rFonts w:asciiTheme="majorHAnsi" w:hAnsiTheme="majorHAnsi"/>
          <w:lang w:val="sr-Latn-RS"/>
        </w:rPr>
      </w:pPr>
    </w:p>
    <w:p w:rsidR="00716C69" w:rsidRPr="000820F9" w:rsidRDefault="00716C69" w:rsidP="000820F9">
      <w:pPr>
        <w:spacing w:line="240" w:lineRule="auto"/>
        <w:jc w:val="both"/>
        <w:rPr>
          <w:rFonts w:asciiTheme="majorHAnsi" w:hAnsiTheme="majorHAnsi"/>
          <w:noProof/>
          <w:lang w:val="sr-Cyrl-RS"/>
        </w:rPr>
      </w:pPr>
    </w:p>
    <w:sectPr w:rsidR="00716C69" w:rsidRPr="000820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D7" w:rsidRDefault="00180BD7" w:rsidP="004C0E80">
      <w:pPr>
        <w:spacing w:after="0" w:line="240" w:lineRule="auto"/>
      </w:pPr>
      <w:r>
        <w:separator/>
      </w:r>
    </w:p>
  </w:endnote>
  <w:endnote w:type="continuationSeparator" w:id="0">
    <w:p w:rsidR="00180BD7" w:rsidRDefault="00180BD7" w:rsidP="004C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80" w:rsidRPr="00493AAD" w:rsidRDefault="004C0E80" w:rsidP="004C0E80">
    <w:pPr>
      <w:tabs>
        <w:tab w:val="center" w:pos="4680"/>
        <w:tab w:val="right" w:pos="9360"/>
      </w:tabs>
      <w:spacing w:after="0" w:line="240" w:lineRule="auto"/>
      <w:jc w:val="center"/>
      <w:rPr>
        <w:rFonts w:ascii="Book Antiqua" w:hAnsi="Book Antiqua"/>
        <w:sz w:val="16"/>
        <w:szCs w:val="16"/>
        <w:lang w:val="sr-Cyrl-RS"/>
      </w:rPr>
    </w:pPr>
    <w:r w:rsidRPr="00904A01">
      <w:rPr>
        <w:rFonts w:ascii="Book Antiqua" w:hAnsi="Book Antiqua"/>
        <w:b/>
        <w:color w:val="CC0000"/>
        <w:sz w:val="18"/>
        <w:szCs w:val="18"/>
        <w:lang w:val="sr-Latn-CS"/>
      </w:rPr>
      <w:t>www.socijalnoukljucivanje.gov.rs</w:t>
    </w:r>
  </w:p>
  <w:p w:rsidR="004C0E80" w:rsidRPr="00904A01" w:rsidRDefault="004C0E80" w:rsidP="004C0E80">
    <w:pPr>
      <w:tabs>
        <w:tab w:val="center" w:pos="4680"/>
        <w:tab w:val="right" w:pos="9360"/>
      </w:tabs>
      <w:spacing w:after="0" w:line="240" w:lineRule="auto"/>
      <w:rPr>
        <w:rFonts w:ascii="Book Antiqua" w:hAnsi="Book Antiqua"/>
        <w:sz w:val="4"/>
        <w:szCs w:val="4"/>
        <w:lang w:val="sr-Latn-CS"/>
      </w:rPr>
    </w:pPr>
  </w:p>
  <w:p w:rsidR="004C0E80" w:rsidRPr="00904A01" w:rsidRDefault="004C0E80" w:rsidP="004C0E80">
    <w:pPr>
      <w:tabs>
        <w:tab w:val="center" w:pos="4680"/>
        <w:tab w:val="right" w:pos="9360"/>
      </w:tabs>
      <w:spacing w:after="0" w:line="240" w:lineRule="auto"/>
      <w:jc w:val="center"/>
      <w:rPr>
        <w:rFonts w:ascii="Book Antiqua" w:hAnsi="Book Antiqua"/>
        <w:sz w:val="16"/>
        <w:szCs w:val="16"/>
        <w:lang w:val="sr-Latn-CS"/>
      </w:rPr>
    </w:pPr>
    <w:r w:rsidRPr="00904A01">
      <w:rPr>
        <w:rFonts w:ascii="Book Antiqua" w:hAnsi="Book Antiqua"/>
        <w:sz w:val="16"/>
        <w:szCs w:val="16"/>
        <w:lang w:val="sr-Cyrl-CS"/>
      </w:rPr>
      <w:t xml:space="preserve">▪ </w:t>
    </w:r>
    <w:r>
      <w:rPr>
        <w:rFonts w:ascii="Book Antiqua" w:hAnsi="Book Antiqua"/>
        <w:sz w:val="16"/>
        <w:szCs w:val="16"/>
        <w:lang w:val="sr-Latn-RS"/>
      </w:rPr>
      <w:t>Vlada Republike Srbije</w:t>
    </w:r>
    <w:r w:rsidRPr="00904A01">
      <w:rPr>
        <w:rFonts w:ascii="Book Antiqua" w:hAnsi="Book Antiqua"/>
        <w:sz w:val="16"/>
        <w:szCs w:val="16"/>
        <w:lang w:val="sr-Cyrl-CS"/>
      </w:rPr>
      <w:t xml:space="preserve"> </w:t>
    </w:r>
    <w:r w:rsidRPr="00904A01">
      <w:rPr>
        <w:rFonts w:ascii="Book Antiqua" w:hAnsi="Book Antiqua"/>
        <w:sz w:val="16"/>
        <w:szCs w:val="16"/>
        <w:lang w:val="sr-Latn-CS"/>
      </w:rPr>
      <w:t xml:space="preserve">▪ Government of the Republic of Serbia ▪  </w:t>
    </w:r>
  </w:p>
  <w:p w:rsidR="004C0E80" w:rsidRPr="00904A01" w:rsidRDefault="004C0E80" w:rsidP="004C0E80">
    <w:pPr>
      <w:tabs>
        <w:tab w:val="center" w:pos="4680"/>
        <w:tab w:val="right" w:pos="9360"/>
      </w:tabs>
      <w:spacing w:after="0" w:line="240" w:lineRule="auto"/>
      <w:jc w:val="center"/>
      <w:rPr>
        <w:rFonts w:ascii="Book Antiqua" w:hAnsi="Book Antiqua"/>
        <w:sz w:val="16"/>
        <w:szCs w:val="16"/>
        <w:lang w:val="sr-Latn-CS"/>
      </w:rPr>
    </w:pPr>
    <w:r>
      <w:rPr>
        <w:rFonts w:ascii="Book Antiqua" w:hAnsi="Book Antiqua"/>
        <w:sz w:val="16"/>
        <w:szCs w:val="16"/>
        <w:lang w:val="sr-Latn-RS"/>
      </w:rPr>
      <w:t>Tim za socijalno uključivanje i smanjenje siromaštva</w:t>
    </w:r>
    <w:r w:rsidRPr="00904A01">
      <w:rPr>
        <w:rFonts w:ascii="Book Antiqua" w:hAnsi="Book Antiqua"/>
        <w:sz w:val="16"/>
        <w:szCs w:val="16"/>
        <w:lang w:val="sr-Cyrl-CS"/>
      </w:rPr>
      <w:t xml:space="preserve"> </w:t>
    </w:r>
    <w:r w:rsidRPr="00904A01">
      <w:rPr>
        <w:rFonts w:ascii="Book Antiqua" w:hAnsi="Book Antiqua"/>
        <w:sz w:val="16"/>
        <w:szCs w:val="16"/>
        <w:lang w:val="sr-Latn-CS"/>
      </w:rPr>
      <w:t>▪  Social Inclusion and Poverty Reduction Unit</w:t>
    </w:r>
    <w:r w:rsidRPr="00904A01">
      <w:rPr>
        <w:rFonts w:ascii="Book Antiqua" w:hAnsi="Book Antiqua"/>
        <w:sz w:val="16"/>
        <w:szCs w:val="16"/>
        <w:lang w:val="sr-Cyrl-CS"/>
      </w:rPr>
      <w:t xml:space="preserve"> </w:t>
    </w:r>
    <w:r w:rsidRPr="00904A01">
      <w:rPr>
        <w:rFonts w:ascii="Book Antiqua" w:hAnsi="Book Antiqua"/>
        <w:sz w:val="16"/>
        <w:szCs w:val="16"/>
        <w:lang w:val="sr-Latn-CS"/>
      </w:rPr>
      <w:t xml:space="preserve">▪ </w:t>
    </w:r>
  </w:p>
  <w:p w:rsidR="004C0E80" w:rsidRPr="00904A01" w:rsidRDefault="004C0E80" w:rsidP="004C0E80">
    <w:pPr>
      <w:tabs>
        <w:tab w:val="center" w:pos="4680"/>
        <w:tab w:val="right" w:pos="9360"/>
      </w:tabs>
      <w:spacing w:after="0" w:line="240" w:lineRule="auto"/>
      <w:jc w:val="center"/>
      <w:rPr>
        <w:rFonts w:ascii="Book Antiqua" w:hAnsi="Book Antiqua"/>
        <w:lang w:val="sr-Latn-CS"/>
      </w:rPr>
    </w:pPr>
    <w:r>
      <w:rPr>
        <w:rFonts w:ascii="Book Antiqua" w:hAnsi="Book Antiqua"/>
        <w:sz w:val="16"/>
        <w:szCs w:val="16"/>
        <w:lang w:val="sr-Latn-RS"/>
      </w:rPr>
      <w:t>Vlajkovićeva 10</w:t>
    </w:r>
    <w:r w:rsidRPr="00904A01">
      <w:rPr>
        <w:rFonts w:ascii="Book Antiqua" w:hAnsi="Book Antiqua"/>
        <w:sz w:val="16"/>
        <w:szCs w:val="16"/>
        <w:lang w:val="sr-Cyrl-CS"/>
      </w:rPr>
      <w:t xml:space="preserve">, </w:t>
    </w:r>
    <w:r>
      <w:rPr>
        <w:rFonts w:ascii="Book Antiqua" w:hAnsi="Book Antiqua"/>
        <w:sz w:val="16"/>
        <w:szCs w:val="16"/>
        <w:lang w:val="sl-SI"/>
      </w:rPr>
      <w:t>Beograd</w:t>
    </w:r>
    <w:r w:rsidRPr="00904A01">
      <w:rPr>
        <w:rFonts w:ascii="Book Antiqua" w:hAnsi="Book Antiqua"/>
        <w:sz w:val="16"/>
        <w:szCs w:val="16"/>
        <w:lang w:val="sr-Cyrl-CS"/>
      </w:rPr>
      <w:t xml:space="preserve"> ▪ </w:t>
    </w:r>
    <w:r>
      <w:rPr>
        <w:rFonts w:ascii="Book Antiqua" w:hAnsi="Book Antiqua"/>
        <w:sz w:val="16"/>
        <w:szCs w:val="16"/>
        <w:lang w:val="sr-Cyrl-CS"/>
      </w:rPr>
      <w:t xml:space="preserve">10 </w:t>
    </w:r>
    <w:proofErr w:type="spellStart"/>
    <w:r>
      <w:rPr>
        <w:rFonts w:ascii="Book Antiqua" w:hAnsi="Book Antiqua"/>
        <w:sz w:val="16"/>
        <w:szCs w:val="16"/>
        <w:lang w:val="en-US"/>
      </w:rPr>
      <w:t>Vlajkoviceva</w:t>
    </w:r>
    <w:proofErr w:type="spellEnd"/>
    <w:r>
      <w:rPr>
        <w:rFonts w:ascii="Book Antiqua" w:hAnsi="Book Antiqua"/>
        <w:sz w:val="16"/>
        <w:szCs w:val="16"/>
        <w:lang w:val="en-US"/>
      </w:rPr>
      <w:t xml:space="preserve"> Street</w:t>
    </w:r>
    <w:r w:rsidRPr="00904A01">
      <w:rPr>
        <w:rFonts w:ascii="Book Antiqua" w:hAnsi="Book Antiqua"/>
        <w:sz w:val="16"/>
        <w:szCs w:val="16"/>
        <w:lang w:val="sr-Latn-CS"/>
      </w:rPr>
      <w:t>, Belgrade ▪ Tel: +381 11 311 47</w:t>
    </w:r>
    <w:r>
      <w:rPr>
        <w:rFonts w:ascii="Book Antiqua" w:hAnsi="Book Antiqua"/>
        <w:sz w:val="16"/>
        <w:szCs w:val="16"/>
        <w:lang w:val="sr-Latn-CS"/>
      </w:rPr>
      <w:t xml:space="preserve"> </w:t>
    </w:r>
    <w:r w:rsidRPr="00904A01">
      <w:rPr>
        <w:rFonts w:ascii="Book Antiqua" w:hAnsi="Book Antiqua"/>
        <w:sz w:val="16"/>
        <w:szCs w:val="16"/>
        <w:lang w:val="sr-Latn-CS"/>
      </w:rPr>
      <w:t>98; Fax: +381 11 213</w:t>
    </w:r>
    <w:r>
      <w:rPr>
        <w:rFonts w:ascii="Book Antiqua" w:hAnsi="Book Antiqua"/>
        <w:sz w:val="16"/>
        <w:szCs w:val="16"/>
        <w:lang w:val="sr-Latn-CS"/>
      </w:rPr>
      <w:t xml:space="preserve"> </w:t>
    </w:r>
    <w:r w:rsidRPr="00904A01">
      <w:rPr>
        <w:rFonts w:ascii="Book Antiqua" w:hAnsi="Book Antiqua"/>
        <w:sz w:val="16"/>
        <w:szCs w:val="16"/>
        <w:lang w:val="sr-Latn-CS"/>
      </w:rPr>
      <w:t>97</w:t>
    </w:r>
    <w:r>
      <w:rPr>
        <w:rFonts w:ascii="Book Antiqua" w:hAnsi="Book Antiqua"/>
        <w:sz w:val="16"/>
        <w:szCs w:val="16"/>
        <w:lang w:val="sr-Latn-CS"/>
      </w:rPr>
      <w:t xml:space="preserve"> </w:t>
    </w:r>
    <w:r w:rsidRPr="00904A01">
      <w:rPr>
        <w:rFonts w:ascii="Book Antiqua" w:hAnsi="Book Antiqua"/>
        <w:sz w:val="16"/>
        <w:szCs w:val="16"/>
        <w:lang w:val="sr-Latn-CS"/>
      </w:rP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D7" w:rsidRDefault="00180BD7" w:rsidP="004C0E80">
      <w:pPr>
        <w:spacing w:after="0" w:line="240" w:lineRule="auto"/>
      </w:pPr>
      <w:r>
        <w:separator/>
      </w:r>
    </w:p>
  </w:footnote>
  <w:footnote w:type="continuationSeparator" w:id="0">
    <w:p w:rsidR="00180BD7" w:rsidRDefault="00180BD7" w:rsidP="004C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80" w:rsidRPr="00FE3103" w:rsidRDefault="004C0E80" w:rsidP="004C0E80">
    <w:pPr>
      <w:pStyle w:val="paragraph"/>
      <w:spacing w:beforeLines="60" w:before="144" w:afterLines="60" w:after="144"/>
      <w:ind w:left="0"/>
      <w:rPr>
        <w:rFonts w:ascii="Calibri" w:hAnsi="Calibri"/>
      </w:rPr>
    </w:pPr>
    <w:r>
      <w:rPr>
        <w:noProof/>
        <w:lang w:val="sr-Latn-CS" w:eastAsia="sr-Latn-CS"/>
      </w:rPr>
      <w:drawing>
        <wp:anchor distT="0" distB="0" distL="114300" distR="114300" simplePos="0" relativeHeight="251659264" behindDoc="0" locked="0" layoutInCell="1" allowOverlap="1">
          <wp:simplePos x="0" y="0"/>
          <wp:positionH relativeFrom="column">
            <wp:posOffset>3966845</wp:posOffset>
          </wp:positionH>
          <wp:positionV relativeFrom="paragraph">
            <wp:posOffset>163195</wp:posOffset>
          </wp:positionV>
          <wp:extent cx="1741805" cy="755015"/>
          <wp:effectExtent l="0" t="0" r="0" b="6985"/>
          <wp:wrapNone/>
          <wp:docPr id="6" name="Picture 6" descr="SD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C logo 20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103">
      <w:rPr>
        <w:szCs w:val="22"/>
      </w:rPr>
      <w:t xml:space="preserve">         </w:t>
    </w:r>
    <w:r>
      <w:rPr>
        <w:noProof/>
        <w:szCs w:val="22"/>
        <w:lang w:val="sr-Latn-CS" w:eastAsia="sr-Latn-CS"/>
      </w:rPr>
      <w:drawing>
        <wp:inline distT="0" distB="0" distL="0" distR="0">
          <wp:extent cx="716280" cy="793750"/>
          <wp:effectExtent l="0" t="0" r="7620" b="6350"/>
          <wp:docPr id="5"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3750"/>
                  </a:xfrm>
                  <a:prstGeom prst="rect">
                    <a:avLst/>
                  </a:prstGeom>
                  <a:noFill/>
                  <a:ln>
                    <a:noFill/>
                  </a:ln>
                </pic:spPr>
              </pic:pic>
            </a:graphicData>
          </a:graphic>
        </wp:inline>
      </w:drawing>
    </w:r>
    <w:r w:rsidRPr="00FE3103">
      <w:rPr>
        <w:szCs w:val="22"/>
      </w:rPr>
      <w:t xml:space="preserve">                     </w:t>
    </w:r>
    <w:r w:rsidR="00E42A87">
      <w:rPr>
        <w:noProof/>
        <w:szCs w:val="22"/>
        <w:lang w:val="sr-Latn-CS" w:eastAsia="sr-Latn-CS"/>
      </w:rPr>
      <w:drawing>
        <wp:inline distT="0" distB="0" distL="0" distR="0">
          <wp:extent cx="1914525" cy="425451"/>
          <wp:effectExtent l="0" t="0" r="0" b="0"/>
          <wp:docPr id="1" name="Picture 1" descr="Z:\1. FAZA II (2013-2017)\OFFICE MANAGER\15. VIZUELNI IDENTITET - SIPRU\NOVO - Memos, Logos, etc\TIM logo_JPG\TIM logo_JPG\TIM_colou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FAZA II (2013-2017)\OFFICE MANAGER\15. VIZUELNI IDENTITET - SIPRU\NOVO - Memos, Logos, etc\TIM logo_JPG\TIM logo_JPG\TIM_colour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560" cy="429237"/>
                  </a:xfrm>
                  <a:prstGeom prst="rect">
                    <a:avLst/>
                  </a:prstGeom>
                  <a:noFill/>
                  <a:ln>
                    <a:noFill/>
                  </a:ln>
                </pic:spPr>
              </pic:pic>
            </a:graphicData>
          </a:graphic>
        </wp:inline>
      </w:drawing>
    </w:r>
  </w:p>
  <w:p w:rsidR="00E42A87" w:rsidRPr="00E42A87" w:rsidRDefault="00E42A87" w:rsidP="001A3A6D">
    <w:pPr>
      <w:tabs>
        <w:tab w:val="left" w:pos="3719"/>
      </w:tabs>
      <w:spacing w:after="0"/>
      <w:rPr>
        <w:rFonts w:ascii="Times New Roman" w:hAnsi="Times New Roman"/>
        <w:lang w:val="sr-Cyrl-CS"/>
      </w:rPr>
    </w:pPr>
    <w:r w:rsidRPr="00E42A87">
      <w:rPr>
        <w:rFonts w:ascii="Times New Roman" w:hAnsi="Times New Roman"/>
        <w:lang w:val="sr-Cyrl-CS"/>
      </w:rPr>
      <w:t xml:space="preserve">             Влада </w:t>
    </w:r>
  </w:p>
  <w:p w:rsidR="004C0E80" w:rsidRPr="00E42A87" w:rsidRDefault="00E42A87" w:rsidP="001A3A6D">
    <w:pPr>
      <w:tabs>
        <w:tab w:val="left" w:pos="3719"/>
      </w:tabs>
      <w:spacing w:after="0"/>
      <w:rPr>
        <w:rFonts w:ascii="Times New Roman" w:hAnsi="Times New Roman"/>
        <w:lang w:val="sr-Cyrl-CS"/>
      </w:rPr>
    </w:pPr>
    <w:r w:rsidRPr="00E42A87">
      <w:rPr>
        <w:rFonts w:ascii="Times New Roman" w:hAnsi="Times New Roman"/>
        <w:lang w:val="sr-Cyrl-CS"/>
      </w:rPr>
      <w:t xml:space="preserve">     Републике Србије</w:t>
    </w:r>
  </w:p>
  <w:p w:rsidR="004C0E80" w:rsidRDefault="004C0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7BF8"/>
    <w:multiLevelType w:val="hybridMultilevel"/>
    <w:tmpl w:val="36F8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7770"/>
    <w:multiLevelType w:val="multilevel"/>
    <w:tmpl w:val="C7E2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2D1FFE"/>
    <w:multiLevelType w:val="multilevel"/>
    <w:tmpl w:val="0DD8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F"/>
    <w:rsid w:val="000441FC"/>
    <w:rsid w:val="000820F9"/>
    <w:rsid w:val="000F7282"/>
    <w:rsid w:val="00172F7C"/>
    <w:rsid w:val="0017414D"/>
    <w:rsid w:val="00180BD7"/>
    <w:rsid w:val="001A3A6D"/>
    <w:rsid w:val="001C2789"/>
    <w:rsid w:val="001C6692"/>
    <w:rsid w:val="001D23F0"/>
    <w:rsid w:val="00217279"/>
    <w:rsid w:val="002D39DE"/>
    <w:rsid w:val="002F2111"/>
    <w:rsid w:val="002F7FDF"/>
    <w:rsid w:val="003167C4"/>
    <w:rsid w:val="00320568"/>
    <w:rsid w:val="00387B72"/>
    <w:rsid w:val="00397EFB"/>
    <w:rsid w:val="004C0E80"/>
    <w:rsid w:val="00566C50"/>
    <w:rsid w:val="00573794"/>
    <w:rsid w:val="005966CE"/>
    <w:rsid w:val="005A2BB8"/>
    <w:rsid w:val="005E4687"/>
    <w:rsid w:val="00626D7F"/>
    <w:rsid w:val="00695034"/>
    <w:rsid w:val="006B0F4A"/>
    <w:rsid w:val="006D111F"/>
    <w:rsid w:val="006E4F3C"/>
    <w:rsid w:val="00716C69"/>
    <w:rsid w:val="00763AA7"/>
    <w:rsid w:val="00773DB2"/>
    <w:rsid w:val="00774FA6"/>
    <w:rsid w:val="00776DB9"/>
    <w:rsid w:val="00796EF3"/>
    <w:rsid w:val="007F0C70"/>
    <w:rsid w:val="00892070"/>
    <w:rsid w:val="008D073F"/>
    <w:rsid w:val="00936C0F"/>
    <w:rsid w:val="0096268F"/>
    <w:rsid w:val="00974607"/>
    <w:rsid w:val="00A05399"/>
    <w:rsid w:val="00A464A2"/>
    <w:rsid w:val="00A61237"/>
    <w:rsid w:val="00A655AA"/>
    <w:rsid w:val="00A96691"/>
    <w:rsid w:val="00B370E3"/>
    <w:rsid w:val="00B55104"/>
    <w:rsid w:val="00B83100"/>
    <w:rsid w:val="00BE37B6"/>
    <w:rsid w:val="00C31182"/>
    <w:rsid w:val="00C445B5"/>
    <w:rsid w:val="00D22BCE"/>
    <w:rsid w:val="00D72328"/>
    <w:rsid w:val="00D8129F"/>
    <w:rsid w:val="00E42A87"/>
    <w:rsid w:val="00E971D8"/>
    <w:rsid w:val="00EB64C1"/>
    <w:rsid w:val="00F0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8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C0E80"/>
    <w:pPr>
      <w:tabs>
        <w:tab w:val="left" w:pos="567"/>
      </w:tabs>
      <w:spacing w:before="120" w:after="160" w:line="240" w:lineRule="exact"/>
      <w:ind w:left="1584" w:hanging="504"/>
    </w:pPr>
    <w:rPr>
      <w:rFonts w:ascii="Arial" w:hAnsi="Arial"/>
      <w:b/>
      <w:bCs/>
      <w:color w:val="000000"/>
    </w:rPr>
  </w:style>
  <w:style w:type="paragraph" w:customStyle="1" w:styleId="paragraph">
    <w:name w:val="paragraph"/>
    <w:basedOn w:val="Normal"/>
    <w:rsid w:val="004C0E80"/>
    <w:pPr>
      <w:tabs>
        <w:tab w:val="left" w:pos="851"/>
        <w:tab w:val="left" w:pos="1701"/>
        <w:tab w:val="left" w:pos="2552"/>
        <w:tab w:val="left" w:pos="3402"/>
      </w:tabs>
      <w:spacing w:before="60" w:after="60" w:line="240" w:lineRule="auto"/>
      <w:ind w:left="851"/>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4C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0"/>
    <w:rPr>
      <w:rFonts w:ascii="Tahoma" w:eastAsia="Calibri" w:hAnsi="Tahoma" w:cs="Tahoma"/>
      <w:sz w:val="16"/>
      <w:szCs w:val="16"/>
      <w:lang w:val="en-GB"/>
    </w:rPr>
  </w:style>
  <w:style w:type="paragraph" w:styleId="Header">
    <w:name w:val="header"/>
    <w:basedOn w:val="Normal"/>
    <w:link w:val="HeaderChar"/>
    <w:uiPriority w:val="99"/>
    <w:unhideWhenUsed/>
    <w:rsid w:val="004C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80"/>
    <w:rPr>
      <w:rFonts w:ascii="Calibri" w:eastAsia="Calibri" w:hAnsi="Calibri" w:cs="Times New Roman"/>
      <w:lang w:val="en-GB"/>
    </w:rPr>
  </w:style>
  <w:style w:type="paragraph" w:styleId="Footer">
    <w:name w:val="footer"/>
    <w:basedOn w:val="Normal"/>
    <w:link w:val="FooterChar"/>
    <w:uiPriority w:val="99"/>
    <w:unhideWhenUsed/>
    <w:rsid w:val="004C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80"/>
    <w:rPr>
      <w:rFonts w:ascii="Calibri" w:eastAsia="Calibri" w:hAnsi="Calibri" w:cs="Times New Roman"/>
      <w:lang w:val="en-GB"/>
    </w:rPr>
  </w:style>
  <w:style w:type="character" w:customStyle="1" w:styleId="apple-converted-space">
    <w:name w:val="apple-converted-space"/>
    <w:basedOn w:val="DefaultParagraphFont"/>
    <w:rsid w:val="002F2111"/>
  </w:style>
  <w:style w:type="character" w:styleId="Strong">
    <w:name w:val="Strong"/>
    <w:basedOn w:val="DefaultParagraphFont"/>
    <w:uiPriority w:val="22"/>
    <w:qFormat/>
    <w:rsid w:val="002F2111"/>
    <w:rPr>
      <w:b/>
      <w:bCs/>
    </w:rPr>
  </w:style>
  <w:style w:type="paragraph" w:styleId="NormalWeb">
    <w:name w:val="Normal (Web)"/>
    <w:basedOn w:val="Normal"/>
    <w:uiPriority w:val="99"/>
    <w:semiHidden/>
    <w:unhideWhenUsed/>
    <w:rsid w:val="002F211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72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8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C0E80"/>
    <w:pPr>
      <w:tabs>
        <w:tab w:val="left" w:pos="567"/>
      </w:tabs>
      <w:spacing w:before="120" w:after="160" w:line="240" w:lineRule="exact"/>
      <w:ind w:left="1584" w:hanging="504"/>
    </w:pPr>
    <w:rPr>
      <w:rFonts w:ascii="Arial" w:hAnsi="Arial"/>
      <w:b/>
      <w:bCs/>
      <w:color w:val="000000"/>
    </w:rPr>
  </w:style>
  <w:style w:type="paragraph" w:customStyle="1" w:styleId="paragraph">
    <w:name w:val="paragraph"/>
    <w:basedOn w:val="Normal"/>
    <w:rsid w:val="004C0E80"/>
    <w:pPr>
      <w:tabs>
        <w:tab w:val="left" w:pos="851"/>
        <w:tab w:val="left" w:pos="1701"/>
        <w:tab w:val="left" w:pos="2552"/>
        <w:tab w:val="left" w:pos="3402"/>
      </w:tabs>
      <w:spacing w:before="60" w:after="60" w:line="240" w:lineRule="auto"/>
      <w:ind w:left="851"/>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4C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0"/>
    <w:rPr>
      <w:rFonts w:ascii="Tahoma" w:eastAsia="Calibri" w:hAnsi="Tahoma" w:cs="Tahoma"/>
      <w:sz w:val="16"/>
      <w:szCs w:val="16"/>
      <w:lang w:val="en-GB"/>
    </w:rPr>
  </w:style>
  <w:style w:type="paragraph" w:styleId="Header">
    <w:name w:val="header"/>
    <w:basedOn w:val="Normal"/>
    <w:link w:val="HeaderChar"/>
    <w:uiPriority w:val="99"/>
    <w:unhideWhenUsed/>
    <w:rsid w:val="004C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80"/>
    <w:rPr>
      <w:rFonts w:ascii="Calibri" w:eastAsia="Calibri" w:hAnsi="Calibri" w:cs="Times New Roman"/>
      <w:lang w:val="en-GB"/>
    </w:rPr>
  </w:style>
  <w:style w:type="paragraph" w:styleId="Footer">
    <w:name w:val="footer"/>
    <w:basedOn w:val="Normal"/>
    <w:link w:val="FooterChar"/>
    <w:uiPriority w:val="99"/>
    <w:unhideWhenUsed/>
    <w:rsid w:val="004C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80"/>
    <w:rPr>
      <w:rFonts w:ascii="Calibri" w:eastAsia="Calibri" w:hAnsi="Calibri" w:cs="Times New Roman"/>
      <w:lang w:val="en-GB"/>
    </w:rPr>
  </w:style>
  <w:style w:type="character" w:customStyle="1" w:styleId="apple-converted-space">
    <w:name w:val="apple-converted-space"/>
    <w:basedOn w:val="DefaultParagraphFont"/>
    <w:rsid w:val="002F2111"/>
  </w:style>
  <w:style w:type="character" w:styleId="Strong">
    <w:name w:val="Strong"/>
    <w:basedOn w:val="DefaultParagraphFont"/>
    <w:uiPriority w:val="22"/>
    <w:qFormat/>
    <w:rsid w:val="002F2111"/>
    <w:rPr>
      <w:b/>
      <w:bCs/>
    </w:rPr>
  </w:style>
  <w:style w:type="paragraph" w:styleId="NormalWeb">
    <w:name w:val="Normal (Web)"/>
    <w:basedOn w:val="Normal"/>
    <w:uiPriority w:val="99"/>
    <w:semiHidden/>
    <w:unhideWhenUsed/>
    <w:rsid w:val="002F211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7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1314">
      <w:bodyDiv w:val="1"/>
      <w:marLeft w:val="0"/>
      <w:marRight w:val="0"/>
      <w:marTop w:val="0"/>
      <w:marBottom w:val="0"/>
      <w:divBdr>
        <w:top w:val="none" w:sz="0" w:space="0" w:color="auto"/>
        <w:left w:val="none" w:sz="0" w:space="0" w:color="auto"/>
        <w:bottom w:val="none" w:sz="0" w:space="0" w:color="auto"/>
        <w:right w:val="none" w:sz="0" w:space="0" w:color="auto"/>
      </w:divBdr>
    </w:div>
    <w:div w:id="1120565998">
      <w:bodyDiv w:val="1"/>
      <w:marLeft w:val="0"/>
      <w:marRight w:val="0"/>
      <w:marTop w:val="0"/>
      <w:marBottom w:val="0"/>
      <w:divBdr>
        <w:top w:val="none" w:sz="0" w:space="0" w:color="auto"/>
        <w:left w:val="none" w:sz="0" w:space="0" w:color="auto"/>
        <w:bottom w:val="none" w:sz="0" w:space="0" w:color="auto"/>
        <w:right w:val="none" w:sz="0" w:space="0" w:color="auto"/>
      </w:divBdr>
    </w:div>
    <w:div w:id="1727878734">
      <w:bodyDiv w:val="1"/>
      <w:marLeft w:val="0"/>
      <w:marRight w:val="0"/>
      <w:marTop w:val="0"/>
      <w:marBottom w:val="0"/>
      <w:divBdr>
        <w:top w:val="none" w:sz="0" w:space="0" w:color="auto"/>
        <w:left w:val="none" w:sz="0" w:space="0" w:color="auto"/>
        <w:bottom w:val="none" w:sz="0" w:space="0" w:color="auto"/>
        <w:right w:val="none" w:sz="0" w:space="0" w:color="auto"/>
      </w:divBdr>
    </w:div>
    <w:div w:id="1776316984">
      <w:bodyDiv w:val="1"/>
      <w:marLeft w:val="0"/>
      <w:marRight w:val="0"/>
      <w:marTop w:val="0"/>
      <w:marBottom w:val="0"/>
      <w:divBdr>
        <w:top w:val="none" w:sz="0" w:space="0" w:color="auto"/>
        <w:left w:val="none" w:sz="0" w:space="0" w:color="auto"/>
        <w:bottom w:val="none" w:sz="0" w:space="0" w:color="auto"/>
        <w:right w:val="none" w:sz="0" w:space="0" w:color="auto"/>
      </w:divBdr>
    </w:div>
    <w:div w:id="2014720433">
      <w:bodyDiv w:val="1"/>
      <w:marLeft w:val="0"/>
      <w:marRight w:val="0"/>
      <w:marTop w:val="0"/>
      <w:marBottom w:val="0"/>
      <w:divBdr>
        <w:top w:val="none" w:sz="0" w:space="0" w:color="auto"/>
        <w:left w:val="none" w:sz="0" w:space="0" w:color="auto"/>
        <w:bottom w:val="none" w:sz="0" w:space="0" w:color="auto"/>
        <w:right w:val="none" w:sz="0" w:space="0" w:color="auto"/>
      </w:divBdr>
    </w:div>
    <w:div w:id="21056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Roncevic</dc:creator>
  <cp:lastModifiedBy>Jelena Milovanovic</cp:lastModifiedBy>
  <cp:revision>10</cp:revision>
  <cp:lastPrinted>2016-01-29T16:02:00Z</cp:lastPrinted>
  <dcterms:created xsi:type="dcterms:W3CDTF">2016-01-29T16:15:00Z</dcterms:created>
  <dcterms:modified xsi:type="dcterms:W3CDTF">2016-01-29T16:27:00Z</dcterms:modified>
</cp:coreProperties>
</file>