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6648C" w14:textId="5BBC2991" w:rsidR="009E721B" w:rsidRDefault="009E721B">
      <w:r>
        <w:rPr>
          <w:noProof/>
          <w:lang w:eastAsia="en-US"/>
        </w:rPr>
        <w:drawing>
          <wp:anchor distT="0" distB="0" distL="114300" distR="114300" simplePos="0" relativeHeight="251675648" behindDoc="1" locked="0" layoutInCell="1" allowOverlap="1" wp14:anchorId="1A656A60" wp14:editId="1A105667">
            <wp:simplePos x="904875" y="904875"/>
            <wp:positionH relativeFrom="page">
              <wp:align>left</wp:align>
            </wp:positionH>
            <wp:positionV relativeFrom="page">
              <wp:align>top</wp:align>
            </wp:positionV>
            <wp:extent cx="7559932" cy="106893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ica8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32" cy="10689335"/>
                    </a:xfrm>
                    <a:prstGeom prst="rect">
                      <a:avLst/>
                    </a:prstGeom>
                  </pic:spPr>
                </pic:pic>
              </a:graphicData>
            </a:graphic>
            <wp14:sizeRelH relativeFrom="margin">
              <wp14:pctWidth>0</wp14:pctWidth>
            </wp14:sizeRelH>
            <wp14:sizeRelV relativeFrom="margin">
              <wp14:pctHeight>0</wp14:pctHeight>
            </wp14:sizeRelV>
          </wp:anchor>
        </w:drawing>
      </w:r>
      <w:r>
        <w:br w:type="page"/>
      </w:r>
    </w:p>
    <w:sdt>
      <w:sdtPr>
        <w:rPr>
          <w:color w:val="4F81BD" w:themeColor="accent1"/>
        </w:rPr>
        <w:id w:val="14245279"/>
        <w:docPartObj>
          <w:docPartGallery w:val="Cover Pages"/>
          <w:docPartUnique/>
        </w:docPartObj>
      </w:sdtPr>
      <w:sdtEndPr>
        <w:rPr>
          <w:rFonts w:ascii="Cambria" w:hAnsi="Cambria"/>
          <w:b/>
          <w:color w:val="auto"/>
        </w:rPr>
      </w:sdtEndPr>
      <w:sdtContent>
        <w:p w14:paraId="50B683D6" w14:textId="5DE28AF7" w:rsidR="00133D2C" w:rsidRPr="002B7710" w:rsidRDefault="00D8244E" w:rsidP="009E721B">
          <w:pPr>
            <w:rPr>
              <w:rFonts w:ascii="Arial" w:eastAsiaTheme="majorEastAsia" w:hAnsi="Arial" w:cstheme="majorBidi"/>
              <w:b/>
              <w:color w:val="4F81BD" w:themeColor="accent1"/>
              <w:sz w:val="21"/>
              <w:szCs w:val="21"/>
            </w:rPr>
          </w:pPr>
          <w:sdt>
            <w:sdtPr>
              <w:rPr>
                <w:rStyle w:val="BookTitle"/>
                <w:rFonts w:ascii="Arial" w:hAnsi="Arial"/>
                <w:b w:val="0"/>
                <w:color w:val="4F81BD" w:themeColor="accent1"/>
                <w:sz w:val="21"/>
                <w:szCs w:val="21"/>
              </w:rPr>
              <w:alias w:val="Title"/>
              <w:id w:val="95299055"/>
              <w:dataBinding w:prefixMappings="xmlns:ns0='http://schemas.openxmlformats.org/package/2006/metadata/core-properties' xmlns:ns1='http://purl.org/dc/elements/1.1/'" w:xpath="/ns0:coreProperties[1]/ns1:title[1]" w:storeItemID="{6C3C8BC8-F283-45AE-878A-BAB7291924A1}"/>
              <w:text/>
            </w:sdtPr>
            <w:sdtEndPr>
              <w:rPr>
                <w:rStyle w:val="BookTitle"/>
              </w:rPr>
            </w:sdtEndPr>
            <w:sdtContent>
              <w:r w:rsidR="00867812" w:rsidRPr="002B7710">
                <w:rPr>
                  <w:rStyle w:val="BookTitle"/>
                  <w:rFonts w:ascii="Arial" w:hAnsi="Arial"/>
                  <w:b w:val="0"/>
                  <w:color w:val="4F81BD" w:themeColor="accent1"/>
                  <w:sz w:val="21"/>
                  <w:szCs w:val="21"/>
                </w:rPr>
                <w:t>Monitoring Social Inclusion in the Republic of Serbia – Indicators in the field of pensions</w:t>
              </w:r>
            </w:sdtContent>
          </w:sdt>
        </w:p>
        <w:p w14:paraId="04EC946B" w14:textId="77777777" w:rsidR="002860D3" w:rsidRDefault="002860D3" w:rsidP="002860D3">
          <w:pPr>
            <w:spacing w:line="264" w:lineRule="auto"/>
            <w:jc w:val="center"/>
            <w:rPr>
              <w:rFonts w:ascii="Cambria" w:hAnsi="Cambria"/>
              <w:b/>
            </w:rPr>
          </w:pPr>
        </w:p>
        <w:p w14:paraId="03068106" w14:textId="77777777" w:rsidR="002860D3" w:rsidRPr="0041773C" w:rsidRDefault="002860D3" w:rsidP="000910F4">
          <w:pPr>
            <w:rPr>
              <w:rFonts w:ascii="Arial" w:hAnsi="Arial" w:cs="Arial"/>
              <w:b/>
              <w:sz w:val="21"/>
              <w:szCs w:val="21"/>
              <w:lang w:val="en-GB"/>
            </w:rPr>
          </w:pPr>
          <w:r w:rsidRPr="0041773C">
            <w:rPr>
              <w:rFonts w:ascii="Arial" w:hAnsi="Arial"/>
              <w:b/>
              <w:sz w:val="21"/>
              <w:lang w:val="en-GB"/>
            </w:rPr>
            <w:t>Publisher:</w:t>
          </w:r>
        </w:p>
        <w:p w14:paraId="2B9086D7" w14:textId="77777777" w:rsidR="002860D3" w:rsidRPr="0041773C" w:rsidRDefault="002860D3" w:rsidP="000910F4">
          <w:pPr>
            <w:rPr>
              <w:rFonts w:ascii="Arial" w:hAnsi="Arial" w:cs="Arial"/>
              <w:sz w:val="21"/>
              <w:szCs w:val="21"/>
              <w:lang w:val="en-GB"/>
            </w:rPr>
          </w:pPr>
          <w:r w:rsidRPr="0041773C">
            <w:rPr>
              <w:rFonts w:ascii="Arial" w:hAnsi="Arial"/>
              <w:sz w:val="21"/>
              <w:lang w:val="en-GB"/>
            </w:rPr>
            <w:t xml:space="preserve">Social Inclusion and Poverty Reduction Unit </w:t>
          </w:r>
        </w:p>
        <w:p w14:paraId="6291C0C5" w14:textId="77777777" w:rsidR="002860D3" w:rsidRDefault="002860D3" w:rsidP="000910F4">
          <w:pPr>
            <w:rPr>
              <w:rFonts w:ascii="Arial" w:hAnsi="Arial"/>
              <w:sz w:val="21"/>
              <w:lang w:val="en-GB"/>
            </w:rPr>
          </w:pPr>
          <w:r w:rsidRPr="0041773C">
            <w:rPr>
              <w:rFonts w:ascii="Arial" w:hAnsi="Arial"/>
              <w:sz w:val="21"/>
              <w:lang w:val="en-GB"/>
            </w:rPr>
            <w:t>Government of the Republic of Serbia</w:t>
          </w:r>
        </w:p>
        <w:p w14:paraId="0C9D2E2B" w14:textId="77777777" w:rsidR="002860D3" w:rsidRPr="0041773C" w:rsidRDefault="002860D3" w:rsidP="000910F4">
          <w:pPr>
            <w:rPr>
              <w:rFonts w:ascii="Arial" w:hAnsi="Arial" w:cs="Arial"/>
              <w:sz w:val="21"/>
              <w:szCs w:val="21"/>
              <w:lang w:val="en-GB"/>
            </w:rPr>
          </w:pPr>
        </w:p>
        <w:p w14:paraId="0500F0FB" w14:textId="53646C3A" w:rsidR="002860D3" w:rsidRDefault="002860D3" w:rsidP="000910F4">
          <w:pPr>
            <w:rPr>
              <w:rFonts w:ascii="Arial" w:hAnsi="Arial"/>
              <w:b/>
              <w:sz w:val="21"/>
              <w:lang w:val="en-GB"/>
            </w:rPr>
          </w:pPr>
          <w:r>
            <w:rPr>
              <w:rFonts w:ascii="Arial" w:hAnsi="Arial"/>
              <w:b/>
              <w:sz w:val="21"/>
              <w:lang w:val="en-GB"/>
            </w:rPr>
            <w:t>Author:</w:t>
          </w:r>
        </w:p>
        <w:p w14:paraId="102979FE" w14:textId="77777777" w:rsidR="002860D3" w:rsidRDefault="00785DEE" w:rsidP="000910F4">
          <w:pPr>
            <w:rPr>
              <w:rFonts w:ascii="Arial" w:hAnsi="Arial" w:cs="Arial"/>
              <w:sz w:val="21"/>
              <w:szCs w:val="21"/>
              <w:lang w:val="en-GB"/>
            </w:rPr>
          </w:pPr>
          <w:r>
            <w:rPr>
              <w:rFonts w:ascii="Arial" w:hAnsi="Arial" w:cs="Arial"/>
              <w:sz w:val="21"/>
              <w:szCs w:val="21"/>
              <w:lang w:val="en-GB"/>
            </w:rPr>
            <w:t>Katarina Stanić</w:t>
          </w:r>
        </w:p>
        <w:p w14:paraId="2239D094" w14:textId="77777777" w:rsidR="002860D3" w:rsidRDefault="002860D3" w:rsidP="000910F4">
          <w:pPr>
            <w:rPr>
              <w:rFonts w:ascii="Arial" w:hAnsi="Arial"/>
              <w:b/>
              <w:sz w:val="21"/>
              <w:lang w:val="en-GB"/>
            </w:rPr>
          </w:pPr>
        </w:p>
        <w:p w14:paraId="1F03864C" w14:textId="77777777" w:rsidR="002860D3" w:rsidRPr="0041773C" w:rsidRDefault="002860D3" w:rsidP="000910F4">
          <w:pPr>
            <w:rPr>
              <w:rFonts w:ascii="Arial" w:hAnsi="Arial" w:cs="Arial"/>
              <w:b/>
              <w:sz w:val="21"/>
              <w:szCs w:val="21"/>
              <w:lang w:val="en-GB"/>
            </w:rPr>
          </w:pPr>
          <w:r w:rsidRPr="0041773C">
            <w:rPr>
              <w:rFonts w:ascii="Arial" w:hAnsi="Arial"/>
              <w:b/>
              <w:sz w:val="21"/>
              <w:lang w:val="en-GB"/>
            </w:rPr>
            <w:t>Editor:</w:t>
          </w:r>
        </w:p>
        <w:p w14:paraId="6543E4DA" w14:textId="77777777" w:rsidR="002860D3" w:rsidRPr="0041773C" w:rsidRDefault="00DA5536" w:rsidP="000910F4">
          <w:pPr>
            <w:rPr>
              <w:rFonts w:ascii="Arial" w:hAnsi="Arial" w:cs="Arial"/>
              <w:sz w:val="21"/>
              <w:szCs w:val="21"/>
              <w:lang w:val="en-GB"/>
            </w:rPr>
          </w:pPr>
          <w:r>
            <w:rPr>
              <w:rFonts w:ascii="Arial" w:hAnsi="Arial"/>
              <w:sz w:val="21"/>
              <w:lang w:val="en-GB"/>
            </w:rPr>
            <w:t>Biljana Mladenović</w:t>
          </w:r>
        </w:p>
        <w:p w14:paraId="78AF77D4" w14:textId="77777777" w:rsidR="002860D3" w:rsidRPr="0041773C" w:rsidRDefault="002860D3" w:rsidP="000910F4">
          <w:pPr>
            <w:rPr>
              <w:rFonts w:ascii="Arial" w:hAnsi="Arial" w:cs="Arial"/>
              <w:sz w:val="21"/>
              <w:szCs w:val="21"/>
              <w:lang w:val="en-GB"/>
            </w:rPr>
          </w:pPr>
        </w:p>
        <w:p w14:paraId="7E94EAC9" w14:textId="77777777" w:rsidR="002860D3" w:rsidRPr="0041773C" w:rsidRDefault="002860D3" w:rsidP="000910F4">
          <w:pPr>
            <w:rPr>
              <w:rFonts w:ascii="Arial" w:hAnsi="Arial" w:cs="Arial"/>
              <w:b/>
              <w:sz w:val="21"/>
              <w:szCs w:val="21"/>
              <w:lang w:val="en-GB"/>
            </w:rPr>
          </w:pPr>
          <w:r w:rsidRPr="0041773C">
            <w:rPr>
              <w:rFonts w:ascii="Arial" w:hAnsi="Arial"/>
              <w:b/>
              <w:sz w:val="21"/>
              <w:lang w:val="en-GB"/>
            </w:rPr>
            <w:t xml:space="preserve">Design and prepress: </w:t>
          </w:r>
        </w:p>
        <w:p w14:paraId="5A34FE58" w14:textId="494FCCD9" w:rsidR="000910F4" w:rsidRPr="000910F4" w:rsidRDefault="000910F4" w:rsidP="000910F4">
          <w:pPr>
            <w:rPr>
              <w:rFonts w:ascii="Arial" w:eastAsia="Times New Roman" w:hAnsi="Arial" w:cs="Arial"/>
              <w:sz w:val="21"/>
              <w:szCs w:val="21"/>
              <w:lang w:eastAsia="en-US"/>
            </w:rPr>
          </w:pPr>
          <w:r w:rsidRPr="000910F4">
            <w:rPr>
              <w:rFonts w:ascii="Arial" w:eastAsia="Times New Roman" w:hAnsi="Arial" w:cs="Arial"/>
              <w:sz w:val="21"/>
              <w:szCs w:val="21"/>
              <w:lang w:eastAsia="en-US"/>
            </w:rPr>
            <w:t>Dalibor Jovanović (</w:t>
          </w:r>
          <w:r>
            <w:rPr>
              <w:rFonts w:ascii="Arial" w:eastAsia="Times New Roman" w:hAnsi="Arial" w:cs="Arial"/>
              <w:sz w:val="21"/>
              <w:szCs w:val="21"/>
              <w:lang w:eastAsia="en-US"/>
            </w:rPr>
            <w:t>P</w:t>
          </w:r>
          <w:r w:rsidRPr="000910F4">
            <w:rPr>
              <w:rFonts w:ascii="Arial" w:eastAsia="Times New Roman" w:hAnsi="Arial" w:cs="Arial"/>
              <w:sz w:val="21"/>
              <w:szCs w:val="21"/>
              <w:lang w:eastAsia="en-US"/>
            </w:rPr>
            <w:t xml:space="preserve">agination), Miloš Radulović </w:t>
          </w:r>
          <w:r>
            <w:rPr>
              <w:rFonts w:ascii="Arial" w:eastAsia="Times New Roman" w:hAnsi="Arial" w:cs="Arial"/>
              <w:sz w:val="21"/>
              <w:szCs w:val="21"/>
              <w:lang w:eastAsia="en-US"/>
            </w:rPr>
            <w:t>(</w:t>
          </w:r>
          <w:r w:rsidRPr="000910F4">
            <w:rPr>
              <w:rFonts w:ascii="Arial" w:eastAsia="Times New Roman" w:hAnsi="Arial" w:cs="Arial"/>
              <w:sz w:val="21"/>
              <w:szCs w:val="21"/>
              <w:lang w:eastAsia="en-US"/>
            </w:rPr>
            <w:t>Book cover</w:t>
          </w:r>
          <w:r>
            <w:rPr>
              <w:rFonts w:ascii="Arial" w:eastAsia="Times New Roman" w:hAnsi="Arial" w:cs="Arial"/>
              <w:sz w:val="21"/>
              <w:szCs w:val="21"/>
              <w:lang w:eastAsia="en-US"/>
            </w:rPr>
            <w:t>s</w:t>
          </w:r>
          <w:r w:rsidRPr="000910F4">
            <w:rPr>
              <w:rFonts w:ascii="Arial" w:eastAsia="Times New Roman" w:hAnsi="Arial" w:cs="Arial"/>
              <w:sz w:val="21"/>
              <w:szCs w:val="21"/>
              <w:lang w:eastAsia="en-US"/>
            </w:rPr>
            <w:t>)</w:t>
          </w:r>
        </w:p>
        <w:p w14:paraId="491BA40F" w14:textId="77777777" w:rsidR="002860D3" w:rsidRDefault="002860D3" w:rsidP="002860D3">
          <w:pPr>
            <w:spacing w:line="264" w:lineRule="auto"/>
            <w:jc w:val="center"/>
            <w:rPr>
              <w:rFonts w:ascii="Cambria" w:hAnsi="Cambria"/>
              <w:b/>
            </w:rPr>
          </w:pPr>
        </w:p>
        <w:p w14:paraId="4471AC77" w14:textId="77777777" w:rsidR="002860D3" w:rsidRDefault="002860D3" w:rsidP="002860D3">
          <w:pPr>
            <w:spacing w:line="264" w:lineRule="auto"/>
            <w:jc w:val="center"/>
            <w:rPr>
              <w:rFonts w:ascii="Cambria" w:hAnsi="Cambria"/>
              <w:b/>
            </w:rPr>
          </w:pPr>
        </w:p>
        <w:p w14:paraId="57F222FA" w14:textId="77777777" w:rsidR="002860D3" w:rsidRDefault="002860D3" w:rsidP="002860D3">
          <w:pPr>
            <w:spacing w:line="264" w:lineRule="auto"/>
            <w:jc w:val="center"/>
            <w:rPr>
              <w:rFonts w:ascii="Cambria" w:hAnsi="Cambria"/>
              <w:b/>
            </w:rPr>
          </w:pPr>
        </w:p>
        <w:p w14:paraId="7F34B12D" w14:textId="77777777" w:rsidR="002860D3" w:rsidRDefault="002860D3" w:rsidP="002860D3">
          <w:pPr>
            <w:spacing w:line="264" w:lineRule="auto"/>
            <w:jc w:val="center"/>
            <w:rPr>
              <w:rFonts w:ascii="Cambria" w:hAnsi="Cambria"/>
              <w:b/>
            </w:rPr>
          </w:pPr>
        </w:p>
        <w:p w14:paraId="237DFBD1" w14:textId="77777777" w:rsidR="002860D3" w:rsidRDefault="002860D3" w:rsidP="002860D3">
          <w:pPr>
            <w:spacing w:line="264" w:lineRule="auto"/>
            <w:jc w:val="center"/>
            <w:rPr>
              <w:rFonts w:ascii="Cambria" w:hAnsi="Cambria"/>
              <w:b/>
            </w:rPr>
          </w:pPr>
        </w:p>
        <w:p w14:paraId="33324D21" w14:textId="77777777" w:rsidR="002860D3" w:rsidRDefault="002860D3" w:rsidP="002860D3">
          <w:pPr>
            <w:spacing w:line="264" w:lineRule="auto"/>
            <w:jc w:val="center"/>
            <w:rPr>
              <w:rFonts w:ascii="Cambria" w:hAnsi="Cambria"/>
              <w:b/>
            </w:rPr>
          </w:pPr>
        </w:p>
        <w:p w14:paraId="2BC5BA6A" w14:textId="77777777" w:rsidR="002860D3" w:rsidRDefault="002860D3" w:rsidP="002860D3">
          <w:pPr>
            <w:spacing w:line="264" w:lineRule="auto"/>
            <w:jc w:val="center"/>
            <w:rPr>
              <w:rFonts w:ascii="Cambria" w:hAnsi="Cambria"/>
              <w:b/>
            </w:rPr>
          </w:pPr>
        </w:p>
        <w:p w14:paraId="5B8D3CAA" w14:textId="77777777" w:rsidR="002860D3" w:rsidRDefault="002860D3" w:rsidP="002860D3">
          <w:pPr>
            <w:spacing w:line="264" w:lineRule="auto"/>
            <w:jc w:val="center"/>
            <w:rPr>
              <w:rFonts w:ascii="Cambria" w:hAnsi="Cambria"/>
              <w:b/>
            </w:rPr>
          </w:pPr>
        </w:p>
        <w:p w14:paraId="545D1C86" w14:textId="77777777" w:rsidR="002860D3" w:rsidRDefault="002860D3" w:rsidP="002860D3">
          <w:pPr>
            <w:spacing w:line="264" w:lineRule="auto"/>
            <w:jc w:val="center"/>
            <w:rPr>
              <w:rFonts w:ascii="Cambria" w:hAnsi="Cambria"/>
              <w:b/>
            </w:rPr>
          </w:pPr>
        </w:p>
        <w:p w14:paraId="131C278F" w14:textId="77777777" w:rsidR="002860D3" w:rsidRDefault="002860D3" w:rsidP="002860D3">
          <w:pPr>
            <w:spacing w:line="264" w:lineRule="auto"/>
            <w:jc w:val="center"/>
            <w:rPr>
              <w:rFonts w:ascii="Cambria" w:hAnsi="Cambria"/>
              <w:b/>
            </w:rPr>
          </w:pPr>
        </w:p>
        <w:p w14:paraId="3A265B7C" w14:textId="77777777" w:rsidR="002860D3" w:rsidRDefault="002860D3" w:rsidP="002860D3">
          <w:pPr>
            <w:spacing w:line="264" w:lineRule="auto"/>
            <w:jc w:val="center"/>
            <w:rPr>
              <w:rFonts w:ascii="Cambria" w:hAnsi="Cambria"/>
              <w:b/>
            </w:rPr>
          </w:pPr>
        </w:p>
        <w:p w14:paraId="6C908946" w14:textId="77777777" w:rsidR="002860D3" w:rsidRDefault="002860D3" w:rsidP="00D63514">
          <w:pPr>
            <w:spacing w:line="264" w:lineRule="auto"/>
            <w:rPr>
              <w:rFonts w:ascii="Cambria" w:hAnsi="Cambria"/>
              <w:b/>
            </w:rPr>
          </w:pPr>
        </w:p>
        <w:p w14:paraId="7FEF2B7A" w14:textId="77777777" w:rsidR="00E80A88" w:rsidRDefault="00E80A88" w:rsidP="002860D3">
          <w:pPr>
            <w:spacing w:line="264" w:lineRule="auto"/>
            <w:jc w:val="center"/>
            <w:rPr>
              <w:rFonts w:ascii="Cambria" w:hAnsi="Cambria"/>
              <w:b/>
            </w:rPr>
          </w:pPr>
        </w:p>
        <w:p w14:paraId="1563DAA3" w14:textId="77777777" w:rsidR="00E80A88" w:rsidRDefault="00E80A88" w:rsidP="002860D3">
          <w:pPr>
            <w:spacing w:line="264" w:lineRule="auto"/>
            <w:jc w:val="center"/>
            <w:rPr>
              <w:rFonts w:ascii="Cambria" w:hAnsi="Cambria"/>
              <w:b/>
            </w:rPr>
          </w:pPr>
        </w:p>
        <w:p w14:paraId="32C767AC" w14:textId="77777777" w:rsidR="00E80A88" w:rsidRDefault="00E80A88" w:rsidP="002860D3">
          <w:pPr>
            <w:spacing w:line="264" w:lineRule="auto"/>
            <w:jc w:val="center"/>
            <w:rPr>
              <w:rFonts w:ascii="Cambria" w:hAnsi="Cambria"/>
              <w:b/>
            </w:rPr>
          </w:pPr>
        </w:p>
        <w:p w14:paraId="26E0FDC3" w14:textId="77777777" w:rsidR="002860D3" w:rsidRDefault="002860D3" w:rsidP="002860D3">
          <w:pPr>
            <w:spacing w:line="264" w:lineRule="auto"/>
            <w:jc w:val="center"/>
            <w:rPr>
              <w:rFonts w:ascii="Cambria" w:hAnsi="Cambria"/>
              <w:b/>
            </w:rPr>
          </w:pPr>
        </w:p>
        <w:p w14:paraId="2073F83C" w14:textId="77777777" w:rsidR="002860D3" w:rsidRDefault="002860D3" w:rsidP="002860D3">
          <w:pPr>
            <w:spacing w:line="264" w:lineRule="auto"/>
            <w:jc w:val="center"/>
            <w:rPr>
              <w:rFonts w:ascii="Cambria" w:hAnsi="Cambria"/>
              <w:b/>
            </w:rPr>
          </w:pPr>
        </w:p>
        <w:p w14:paraId="352116C8" w14:textId="57E89EA3" w:rsidR="002860D3" w:rsidRDefault="002860D3" w:rsidP="000910F4">
          <w:pPr>
            <w:spacing w:line="264" w:lineRule="auto"/>
            <w:rPr>
              <w:rFonts w:ascii="Cambria" w:hAnsi="Cambria"/>
              <w:b/>
            </w:rPr>
          </w:pPr>
        </w:p>
        <w:p w14:paraId="5173B765" w14:textId="121AC004" w:rsidR="002860D3" w:rsidRDefault="00DA33FF" w:rsidP="002860D3">
          <w:pPr>
            <w:spacing w:line="264" w:lineRule="auto"/>
            <w:jc w:val="center"/>
            <w:rPr>
              <w:rFonts w:ascii="Cambria" w:hAnsi="Cambria"/>
              <w:b/>
            </w:rPr>
          </w:pPr>
          <w:r>
            <w:rPr>
              <w:rFonts w:ascii="Arial" w:hAnsi="Arial" w:cs="Arial"/>
              <w:noProof/>
              <w:sz w:val="21"/>
              <w:szCs w:val="21"/>
              <w:lang w:eastAsia="en-US"/>
            </w:rPr>
            <w:drawing>
              <wp:anchor distT="0" distB="0" distL="114300" distR="114300" simplePos="0" relativeHeight="251667456" behindDoc="1" locked="0" layoutInCell="1" allowOverlap="1" wp14:anchorId="6D327AA4" wp14:editId="5F17B07B">
                <wp:simplePos x="0" y="0"/>
                <wp:positionH relativeFrom="margin">
                  <wp:posOffset>-95250</wp:posOffset>
                </wp:positionH>
                <wp:positionV relativeFrom="paragraph">
                  <wp:posOffset>85725</wp:posOffset>
                </wp:positionV>
                <wp:extent cx="438785" cy="648970"/>
                <wp:effectExtent l="0" t="0" r="0" b="0"/>
                <wp:wrapThrough wrapText="bothSides">
                  <wp:wrapPolygon edited="0">
                    <wp:start x="0" y="0"/>
                    <wp:lineTo x="0" y="20924"/>
                    <wp:lineTo x="20631" y="20924"/>
                    <wp:lineTo x="206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8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4F7522" w14:textId="34A0E1CF" w:rsidR="00E80A88" w:rsidRPr="000910F4" w:rsidRDefault="00DA33FF" w:rsidP="00E80A88">
          <w:pPr>
            <w:spacing w:line="288" w:lineRule="auto"/>
            <w:rPr>
              <w:rFonts w:ascii="Arial" w:hAnsi="Arial" w:cs="Arial"/>
              <w:color w:val="000000"/>
              <w:sz w:val="21"/>
              <w:szCs w:val="21"/>
              <w:shd w:val="clear" w:color="auto" w:fill="FFFFFF"/>
              <w:lang w:val="en-GB"/>
            </w:rPr>
          </w:pPr>
          <w:r>
            <w:rPr>
              <w:noProof/>
              <w:lang w:eastAsia="en-US"/>
            </w:rPr>
            <mc:AlternateContent>
              <mc:Choice Requires="wpg">
                <w:drawing>
                  <wp:anchor distT="0" distB="0" distL="114300" distR="114300" simplePos="0" relativeHeight="251677696" behindDoc="0" locked="0" layoutInCell="1" allowOverlap="1" wp14:anchorId="0EB27304" wp14:editId="1BD032E3">
                    <wp:simplePos x="0" y="0"/>
                    <wp:positionH relativeFrom="column">
                      <wp:posOffset>1466850</wp:posOffset>
                    </wp:positionH>
                    <wp:positionV relativeFrom="paragraph">
                      <wp:posOffset>15875</wp:posOffset>
                    </wp:positionV>
                    <wp:extent cx="4799330" cy="484505"/>
                    <wp:effectExtent l="0" t="0" r="1270" b="0"/>
                    <wp:wrapNone/>
                    <wp:docPr id="2" name="Group 2"/>
                    <wp:cNvGraphicFramePr/>
                    <a:graphic xmlns:a="http://schemas.openxmlformats.org/drawingml/2006/main">
                      <a:graphicData uri="http://schemas.microsoft.com/office/word/2010/wordprocessingGroup">
                        <wpg:wgp>
                          <wpg:cNvGrpSpPr/>
                          <wpg:grpSpPr>
                            <a:xfrm>
                              <a:off x="0" y="0"/>
                              <a:ext cx="4799330" cy="484505"/>
                              <a:chOff x="0" y="0"/>
                              <a:chExt cx="4799330" cy="484505"/>
                            </a:xfrm>
                          </wpg:grpSpPr>
                          <pic:pic xmlns:pic="http://schemas.openxmlformats.org/drawingml/2006/picture">
                            <pic:nvPicPr>
                              <pic:cNvPr id="7" name="Picture 7" descr="TIM_colour0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9525"/>
                                <a:ext cx="1929130" cy="420370"/>
                              </a:xfrm>
                              <a:prstGeom prst="rect">
                                <a:avLst/>
                              </a:prstGeom>
                              <a:noFill/>
                              <a:ln>
                                <a:noFill/>
                              </a:ln>
                            </pic:spPr>
                          </pic:pic>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028825" y="114300"/>
                                <a:ext cx="1069340" cy="283210"/>
                              </a:xfrm>
                              <a:prstGeom prst="rect">
                                <a:avLst/>
                              </a:prstGeom>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181350" y="0"/>
                                <a:ext cx="1617980" cy="484505"/>
                              </a:xfrm>
                              <a:prstGeom prst="rect">
                                <a:avLst/>
                              </a:prstGeom>
                            </pic:spPr>
                          </pic:pic>
                        </wpg:wgp>
                      </a:graphicData>
                    </a:graphic>
                  </wp:anchor>
                </w:drawing>
              </mc:Choice>
              <mc:Fallback>
                <w:pict>
                  <v:group w14:anchorId="4A884B34" id="Group 2" o:spid="_x0000_s1026" style="position:absolute;margin-left:115.5pt;margin-top:1.25pt;width:377.9pt;height:38.15pt;z-index:251677696" coordsize="47993,484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TIM_colour01" style="position:absolute;top:95;width:19291;height:4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FRabCAAAA2gAAAA8AAABkcnMvZG93bnJldi54bWxEj92KwjAUhO+FfYdwFryz6Qr+0DWWsv4g&#10;qBfafYBDc2yLzUlponbffiMIXg4z8w2zSHvTiDt1rras4CuKQRAXVtdcKvjNN6M5COeRNTaWScEf&#10;OUiXH4MFJto++ET3sy9FgLBLUEHlfZtI6YqKDLrItsTBu9jOoA+yK6Xu8BHgppHjOJ5KgzWHhQpb&#10;+qmouJ5vRsFhLbfFKmuPdj+x9TyX+WpNuVLDzz77BuGp9+/wq73TCmbwvBJu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hUWmwgAAANoAAAAPAAAAAAAAAAAAAAAAAJ8C&#10;AABkcnMvZG93bnJldi54bWxQSwUGAAAAAAQABAD3AAAAjgMAAAAA&#10;">
                      <v:imagedata r:id="rId13" o:title="TIM_colour01"/>
                      <v:path arrowok="t"/>
                    </v:shape>
                    <v:shape id="Picture 8" o:spid="_x0000_s1028" type="#_x0000_t75" style="position:absolute;left:20288;top:1143;width:10693;height:2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8E+a6AAAA2gAAAA8AAABkcnMvZG93bnJldi54bWxET0sKwjAQ3QveIYzgRjTVhUg1ih8Ud+Ln&#10;AEMytqXNpDTR1tubheDy8f6rTWcr8abGF44VTCcJCGLtTMGZgsf9OF6A8AHZYOWYFHzIw2bd760w&#10;Na7lK71vIRMxhH2KCvIQ6lRKr3Oy6CeuJo7c0zUWQ4RNJk2DbQy3lZwlyVxaLDg25FjTPidd3l5W&#10;welSP0oM7QET52w52mncvbRSw0G3XYII1IW/+Oc+GwVxa7wSb4BcfwE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erwT5roAAADaAAAADwAAAAAAAAAAAAAAAACfAgAAZHJzL2Rv&#10;d25yZXYueG1sUEsFBgAAAAAEAAQA9wAAAIYDAAAAAA==&#10;">
                      <v:imagedata r:id="rId14" o:title=""/>
                      <v:path arrowok="t"/>
                    </v:shape>
                    <v:shape id="Picture 9" o:spid="_x0000_s1029" type="#_x0000_t75" style="position:absolute;left:31813;width:16180;height:4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ew67BAAAA2gAAAA8AAABkcnMvZG93bnJldi54bWxEj09rAjEUxO8Fv0N4Qm81aymlrkYRqeip&#10;pf7B62Pz3F3cvIQkavz2piB4HGbmN8xklkwnLuRDa1nBcFCAIK6sbrlWsNsu375AhIissbNMCm4U&#10;YDbtvUyw1PbKf3TZxFpkCIcSFTQxulLKUDVkMAysI87e0XqDMUtfS+3xmuGmk+9F8SkNtpwXGnS0&#10;aKg6bc5GQXJo1mf/ffhwq2r1k8zyd77bK/XaT/MxiEgpPsOP9lorGMH/lXwD5PQ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ew67BAAAA2gAAAA8AAAAAAAAAAAAAAAAAnwIA&#10;AGRycy9kb3ducmV2LnhtbFBLBQYAAAAABAAEAPcAAACNAwAAAAA=&#10;">
                      <v:imagedata r:id="rId15" o:title=""/>
                      <v:path arrowok="t"/>
                    </v:shape>
                  </v:group>
                </w:pict>
              </mc:Fallback>
            </mc:AlternateContent>
          </w:r>
          <w:r w:rsidR="00E80A88" w:rsidRPr="000910F4">
            <w:rPr>
              <w:rFonts w:ascii="Arial" w:hAnsi="Arial"/>
              <w:color w:val="000000"/>
              <w:sz w:val="21"/>
              <w:szCs w:val="21"/>
              <w:shd w:val="clear" w:color="auto" w:fill="FFFFFF"/>
              <w:lang w:val="en-GB"/>
            </w:rPr>
            <w:t xml:space="preserve">Government </w:t>
          </w:r>
        </w:p>
        <w:p w14:paraId="064D7238" w14:textId="4A91E3EB" w:rsidR="00E80A88" w:rsidRPr="000910F4" w:rsidRDefault="00E80A88" w:rsidP="00752F97">
          <w:pPr>
            <w:tabs>
              <w:tab w:val="left" w:pos="7680"/>
            </w:tabs>
            <w:spacing w:line="288" w:lineRule="auto"/>
            <w:rPr>
              <w:rFonts w:ascii="Arial" w:hAnsi="Arial" w:cs="Arial"/>
              <w:color w:val="000000"/>
              <w:sz w:val="21"/>
              <w:szCs w:val="21"/>
              <w:shd w:val="clear" w:color="auto" w:fill="FFFFFF"/>
              <w:lang w:val="en-GB"/>
            </w:rPr>
          </w:pPr>
          <w:r w:rsidRPr="000910F4">
            <w:rPr>
              <w:rFonts w:ascii="Arial" w:hAnsi="Arial"/>
              <w:color w:val="000000"/>
              <w:sz w:val="21"/>
              <w:szCs w:val="21"/>
              <w:shd w:val="clear" w:color="auto" w:fill="FFFFFF"/>
              <w:lang w:val="en-GB"/>
            </w:rPr>
            <w:t>of the Republic</w:t>
          </w:r>
          <w:r w:rsidRPr="000910F4">
            <w:rPr>
              <w:noProof/>
              <w:sz w:val="21"/>
              <w:szCs w:val="21"/>
              <w:lang w:eastAsia="en-US"/>
            </w:rPr>
            <w:drawing>
              <wp:anchor distT="0" distB="0" distL="114300" distR="114300" simplePos="0" relativeHeight="251674624" behindDoc="1" locked="0" layoutInCell="1" allowOverlap="1" wp14:anchorId="4D2C5973" wp14:editId="39705DBB">
                <wp:simplePos x="0" y="0"/>
                <wp:positionH relativeFrom="column">
                  <wp:align>center</wp:align>
                </wp:positionH>
                <wp:positionV relativeFrom="paragraph">
                  <wp:posOffset>6858635</wp:posOffset>
                </wp:positionV>
                <wp:extent cx="1967230" cy="436245"/>
                <wp:effectExtent l="0" t="0" r="0" b="1905"/>
                <wp:wrapNone/>
                <wp:docPr id="26" name="Picture 13" descr="Description: TIM_colou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TIM_colour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7230" cy="436245"/>
                        </a:xfrm>
                        <a:prstGeom prst="rect">
                          <a:avLst/>
                        </a:prstGeom>
                        <a:noFill/>
                        <a:ln>
                          <a:noFill/>
                        </a:ln>
                      </pic:spPr>
                    </pic:pic>
                  </a:graphicData>
                </a:graphic>
              </wp:anchor>
            </w:drawing>
          </w:r>
          <w:r w:rsidRPr="000910F4">
            <w:rPr>
              <w:noProof/>
              <w:sz w:val="21"/>
              <w:szCs w:val="21"/>
              <w:lang w:eastAsia="en-US"/>
            </w:rPr>
            <w:drawing>
              <wp:anchor distT="0" distB="0" distL="114300" distR="114300" simplePos="0" relativeHeight="251673600" behindDoc="1" locked="0" layoutInCell="1" allowOverlap="1" wp14:anchorId="26C89751" wp14:editId="7861C3BB">
                <wp:simplePos x="0" y="0"/>
                <wp:positionH relativeFrom="column">
                  <wp:posOffset>2210435</wp:posOffset>
                </wp:positionH>
                <wp:positionV relativeFrom="paragraph">
                  <wp:posOffset>6858635</wp:posOffset>
                </wp:positionV>
                <wp:extent cx="1967230" cy="436245"/>
                <wp:effectExtent l="0" t="0" r="0" b="1905"/>
                <wp:wrapNone/>
                <wp:docPr id="25" name="Picture 12" descr="Description: TIM_colou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TIM_colour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7230" cy="436245"/>
                        </a:xfrm>
                        <a:prstGeom prst="rect">
                          <a:avLst/>
                        </a:prstGeom>
                        <a:noFill/>
                        <a:ln>
                          <a:noFill/>
                        </a:ln>
                      </pic:spPr>
                    </pic:pic>
                  </a:graphicData>
                </a:graphic>
              </wp:anchor>
            </w:drawing>
          </w:r>
          <w:r w:rsidRPr="000910F4">
            <w:rPr>
              <w:noProof/>
              <w:sz w:val="21"/>
              <w:szCs w:val="21"/>
              <w:lang w:eastAsia="en-US"/>
            </w:rPr>
            <w:drawing>
              <wp:anchor distT="0" distB="0" distL="114300" distR="114300" simplePos="0" relativeHeight="251672576" behindDoc="0" locked="0" layoutInCell="1" allowOverlap="1" wp14:anchorId="599EDDCF" wp14:editId="3EB03839">
                <wp:simplePos x="0" y="0"/>
                <wp:positionH relativeFrom="column">
                  <wp:posOffset>2210435</wp:posOffset>
                </wp:positionH>
                <wp:positionV relativeFrom="paragraph">
                  <wp:posOffset>6858635</wp:posOffset>
                </wp:positionV>
                <wp:extent cx="1967230" cy="436245"/>
                <wp:effectExtent l="0" t="0" r="0" b="1905"/>
                <wp:wrapNone/>
                <wp:docPr id="27" name="Picture 7" descr="Description: TIM_colou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IM_colour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7230" cy="436245"/>
                        </a:xfrm>
                        <a:prstGeom prst="rect">
                          <a:avLst/>
                        </a:prstGeom>
                        <a:noFill/>
                        <a:ln>
                          <a:noFill/>
                        </a:ln>
                      </pic:spPr>
                    </pic:pic>
                  </a:graphicData>
                </a:graphic>
              </wp:anchor>
            </w:drawing>
          </w:r>
          <w:r w:rsidR="00752F97">
            <w:rPr>
              <w:rFonts w:ascii="Arial" w:hAnsi="Arial"/>
              <w:color w:val="000000"/>
              <w:sz w:val="21"/>
              <w:szCs w:val="21"/>
              <w:shd w:val="clear" w:color="auto" w:fill="FFFFFF"/>
              <w:lang w:val="en-GB"/>
            </w:rPr>
            <w:tab/>
          </w:r>
        </w:p>
        <w:p w14:paraId="43AACAC5" w14:textId="61DD10BE" w:rsidR="002860D3" w:rsidRPr="00752F97" w:rsidRDefault="00E80A88" w:rsidP="00752F97">
          <w:pPr>
            <w:tabs>
              <w:tab w:val="left" w:pos="284"/>
            </w:tabs>
            <w:spacing w:line="360" w:lineRule="auto"/>
            <w:rPr>
              <w:rFonts w:ascii="Arial" w:hAnsi="Arial" w:cs="Arial"/>
              <w:b/>
              <w:bCs/>
              <w:sz w:val="21"/>
              <w:szCs w:val="21"/>
              <w:lang w:val="en-GB"/>
            </w:rPr>
          </w:pPr>
          <w:r w:rsidRPr="000910F4">
            <w:rPr>
              <w:rFonts w:ascii="Arial" w:hAnsi="Arial"/>
              <w:color w:val="000000"/>
              <w:sz w:val="21"/>
              <w:szCs w:val="21"/>
              <w:shd w:val="clear" w:color="auto" w:fill="FFFFFF"/>
              <w:lang w:val="en-GB"/>
            </w:rPr>
            <w:t>of Serbia</w:t>
          </w:r>
        </w:p>
        <w:p w14:paraId="0A31B0ED" w14:textId="2603AB1B" w:rsidR="002860D3" w:rsidRPr="000910F4" w:rsidRDefault="002860D3" w:rsidP="002860D3">
          <w:pPr>
            <w:spacing w:line="264" w:lineRule="auto"/>
            <w:jc w:val="center"/>
            <w:rPr>
              <w:rFonts w:ascii="Cambria" w:hAnsi="Cambria"/>
              <w:b/>
              <w:sz w:val="21"/>
              <w:szCs w:val="21"/>
            </w:rPr>
          </w:pPr>
        </w:p>
        <w:p w14:paraId="2F5D20E8" w14:textId="75C7FDA4" w:rsidR="00E80A88" w:rsidRPr="000910F4" w:rsidRDefault="00DA33FF" w:rsidP="00E80A88">
          <w:pPr>
            <w:rPr>
              <w:sz w:val="21"/>
              <w:szCs w:val="21"/>
              <w:lang w:val="en-GB"/>
            </w:rPr>
          </w:pPr>
          <w:r w:rsidRPr="00AF1F13">
            <w:rPr>
              <w:rFonts w:ascii="Arial" w:hAnsi="Arial" w:cs="Arial"/>
              <w:noProof/>
              <w:sz w:val="21"/>
              <w:szCs w:val="21"/>
              <w:lang w:eastAsia="en-US"/>
            </w:rPr>
            <w:drawing>
              <wp:anchor distT="0" distB="0" distL="114300" distR="114300" simplePos="0" relativeHeight="251665408" behindDoc="0" locked="0" layoutInCell="1" allowOverlap="1" wp14:anchorId="0969BD60" wp14:editId="65DF68D4">
                <wp:simplePos x="0" y="0"/>
                <wp:positionH relativeFrom="margin">
                  <wp:align>left</wp:align>
                </wp:positionH>
                <wp:positionV relativeFrom="paragraph">
                  <wp:posOffset>3175</wp:posOffset>
                </wp:positionV>
                <wp:extent cx="1884045" cy="700405"/>
                <wp:effectExtent l="0" t="0" r="1905" b="4445"/>
                <wp:wrapThrough wrapText="bothSides">
                  <wp:wrapPolygon edited="0">
                    <wp:start x="0" y="0"/>
                    <wp:lineTo x="0" y="21150"/>
                    <wp:lineTo x="21403" y="21150"/>
                    <wp:lineTo x="21403" y="0"/>
                    <wp:lineTo x="0" y="0"/>
                  </wp:wrapPolygon>
                </wp:wrapThrough>
                <wp:docPr id="14" name="Picture 14" descr="Description: 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titled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4045" cy="700405"/>
                        </a:xfrm>
                        <a:prstGeom prst="rect">
                          <a:avLst/>
                        </a:prstGeom>
                        <a:noFill/>
                        <a:ln>
                          <a:noFill/>
                        </a:ln>
                      </pic:spPr>
                    </pic:pic>
                  </a:graphicData>
                </a:graphic>
              </wp:anchor>
            </w:drawing>
          </w:r>
          <w:r w:rsidR="00E80A88" w:rsidRPr="000910F4">
            <w:rPr>
              <w:rFonts w:ascii="Arial" w:hAnsi="Arial"/>
              <w:b/>
              <w:color w:val="000000"/>
              <w:sz w:val="21"/>
              <w:szCs w:val="21"/>
              <w:shd w:val="clear" w:color="auto" w:fill="FFFFFF"/>
              <w:lang w:val="en-GB"/>
            </w:rPr>
            <w:t>SUPPORT:</w:t>
          </w:r>
          <w:r w:rsidR="00E80A88" w:rsidRPr="000910F4">
            <w:rPr>
              <w:rFonts w:ascii="Arial" w:hAnsi="Arial"/>
              <w:color w:val="000000"/>
              <w:sz w:val="21"/>
              <w:szCs w:val="21"/>
              <w:shd w:val="clear" w:color="auto" w:fill="FFFFFF"/>
              <w:lang w:val="en-GB"/>
            </w:rPr>
            <w:t xml:space="preserve"> The development of this publication was financially supported by the Swiss Agency for Development and Cooperation as part of the Support to Social Inclusion Policy in Serbia project.</w:t>
          </w:r>
        </w:p>
        <w:p w14:paraId="3CAC55B5" w14:textId="77777777" w:rsidR="005D5CCA" w:rsidRDefault="005D5CCA" w:rsidP="00E80A88">
          <w:pPr>
            <w:rPr>
              <w:rFonts w:ascii="Arial" w:hAnsi="Arial"/>
              <w:sz w:val="22"/>
              <w:szCs w:val="21"/>
              <w:lang w:val="en-GB"/>
            </w:rPr>
          </w:pPr>
        </w:p>
        <w:p w14:paraId="2E8123FB" w14:textId="77777777" w:rsidR="005D5CCA" w:rsidRDefault="005D5CCA" w:rsidP="00E80A88">
          <w:pPr>
            <w:rPr>
              <w:rFonts w:ascii="Arial" w:hAnsi="Arial"/>
              <w:sz w:val="22"/>
              <w:szCs w:val="21"/>
              <w:lang w:val="en-GB"/>
            </w:rPr>
          </w:pPr>
        </w:p>
        <w:p w14:paraId="3CC1FEFC" w14:textId="71225D05" w:rsidR="009E721B" w:rsidRPr="000910F4" w:rsidRDefault="000910F4" w:rsidP="00E80A88">
          <w:pPr>
            <w:rPr>
              <w:rFonts w:ascii="Arial" w:hAnsi="Arial"/>
              <w:sz w:val="21"/>
              <w:szCs w:val="21"/>
              <w:lang w:val="en-GB"/>
            </w:rPr>
            <w:sectPr w:rsidR="009E721B" w:rsidRPr="000910F4">
              <w:pgSz w:w="11900" w:h="16840"/>
              <w:pgMar w:top="1418" w:right="1418" w:bottom="1701" w:left="1418" w:header="708" w:footer="708" w:gutter="0"/>
              <w:pgNumType w:start="0"/>
              <w:cols w:space="708"/>
              <w:docGrid w:linePitch="326"/>
            </w:sectPr>
          </w:pPr>
          <w:r w:rsidRPr="000910F4">
            <w:rPr>
              <w:rFonts w:ascii="Arial" w:hAnsi="Arial"/>
              <w:b/>
              <w:sz w:val="21"/>
              <w:szCs w:val="21"/>
              <w:lang w:val="en-GB"/>
            </w:rPr>
            <w:t>NOTE:</w:t>
          </w:r>
          <w:r w:rsidRPr="000910F4">
            <w:rPr>
              <w:rFonts w:ascii="Arial" w:hAnsi="Arial"/>
              <w:sz w:val="21"/>
              <w:szCs w:val="21"/>
              <w:lang w:val="en-GB"/>
            </w:rPr>
            <w:t xml:space="preserve"> </w:t>
          </w:r>
          <w:r w:rsidR="00E80A88" w:rsidRPr="000910F4">
            <w:rPr>
              <w:rFonts w:ascii="Arial" w:hAnsi="Arial"/>
              <w:sz w:val="21"/>
              <w:szCs w:val="21"/>
              <w:lang w:val="en-GB"/>
            </w:rPr>
            <w:t>This analysis does not represent official views of the Government of the Republic of Serbia. All terms used in the text in the masculine gende</w:t>
          </w:r>
          <w:r w:rsidR="00F307D1" w:rsidRPr="000910F4">
            <w:rPr>
              <w:rFonts w:ascii="Arial" w:hAnsi="Arial"/>
              <w:sz w:val="21"/>
              <w:szCs w:val="21"/>
              <w:lang w:val="en-GB"/>
            </w:rPr>
            <w:t>r denote both males and females</w:t>
          </w:r>
          <w:r w:rsidR="00785DEE" w:rsidRPr="000910F4">
            <w:rPr>
              <w:rFonts w:ascii="Arial" w:hAnsi="Arial"/>
              <w:sz w:val="21"/>
              <w:szCs w:val="21"/>
              <w:lang w:val="en-GB"/>
            </w:rPr>
            <w:t>.</w:t>
          </w:r>
        </w:p>
        <w:p w14:paraId="7C42E2DE" w14:textId="725833A4" w:rsidR="00F307D1" w:rsidRPr="00D12E11" w:rsidRDefault="00F307D1" w:rsidP="00E80A88">
          <w:pPr>
            <w:rPr>
              <w:rFonts w:ascii="Arial" w:hAnsi="Arial"/>
              <w:sz w:val="20"/>
              <w:lang w:val="en-GB"/>
            </w:rPr>
            <w:sectPr w:rsidR="00F307D1" w:rsidRPr="00D12E11" w:rsidSect="009E721B">
              <w:footerReference w:type="default" r:id="rId18"/>
              <w:pgSz w:w="11900" w:h="16840"/>
              <w:pgMar w:top="1418" w:right="1418" w:bottom="1701" w:left="1418" w:header="708" w:footer="708" w:gutter="0"/>
              <w:pgNumType w:start="1"/>
              <w:cols w:space="708"/>
              <w:docGrid w:linePitch="326"/>
            </w:sectPr>
          </w:pPr>
        </w:p>
        <w:p w14:paraId="2D06496C" w14:textId="77777777" w:rsidR="002860D3" w:rsidRDefault="002860D3" w:rsidP="00594C19">
          <w:pPr>
            <w:spacing w:line="264" w:lineRule="auto"/>
            <w:rPr>
              <w:rFonts w:ascii="Cambria" w:hAnsi="Cambria"/>
              <w:b/>
            </w:rPr>
          </w:pPr>
        </w:p>
        <w:sdt>
          <w:sdtPr>
            <w:rPr>
              <w:rFonts w:asciiTheme="minorHAnsi" w:eastAsiaTheme="minorHAnsi" w:hAnsiTheme="minorHAnsi" w:cstheme="minorBidi"/>
              <w:b w:val="0"/>
              <w:bCs w:val="0"/>
              <w:color w:val="4F81BD" w:themeColor="accent1"/>
              <w:sz w:val="24"/>
              <w:szCs w:val="24"/>
            </w:rPr>
            <w:id w:val="14245304"/>
            <w:docPartObj>
              <w:docPartGallery w:val="Table of Contents"/>
              <w:docPartUnique/>
            </w:docPartObj>
          </w:sdtPr>
          <w:sdtEndPr>
            <w:rPr>
              <w:rFonts w:eastAsiaTheme="minorEastAsia"/>
              <w:color w:val="auto"/>
            </w:rPr>
          </w:sdtEndPr>
          <w:sdtContent>
            <w:p w14:paraId="653B87ED" w14:textId="77777777" w:rsidR="00133D2C" w:rsidRPr="002B7710" w:rsidRDefault="00BE3820">
              <w:pPr>
                <w:pStyle w:val="TOCHeading"/>
                <w:rPr>
                  <w:rFonts w:ascii="Arial" w:hAnsi="Arial" w:cs="Arial"/>
                  <w:color w:val="4F81BD" w:themeColor="accent1"/>
                  <w:sz w:val="21"/>
                  <w:szCs w:val="21"/>
                </w:rPr>
              </w:pPr>
              <w:r w:rsidRPr="002B7710">
                <w:rPr>
                  <w:rFonts w:ascii="Arial" w:hAnsi="Arial" w:cs="Arial"/>
                  <w:color w:val="4F81BD" w:themeColor="accent1"/>
                  <w:sz w:val="21"/>
                  <w:szCs w:val="21"/>
                </w:rPr>
                <w:t>CONTENTS</w:t>
              </w:r>
            </w:p>
            <w:p w14:paraId="37DA8B2E" w14:textId="77777777" w:rsidR="002C4ADF" w:rsidRPr="00785DEE" w:rsidRDefault="002C4ADF" w:rsidP="002C4ADF">
              <w:pPr>
                <w:rPr>
                  <w:rFonts w:ascii="Arial" w:hAnsi="Arial" w:cs="Arial"/>
                  <w:sz w:val="21"/>
                  <w:szCs w:val="21"/>
                </w:rPr>
              </w:pPr>
            </w:p>
            <w:p w14:paraId="6353AB1B" w14:textId="77777777" w:rsidR="00D12E11" w:rsidRPr="00D12E11" w:rsidRDefault="005E1367">
              <w:pPr>
                <w:pStyle w:val="TOC1"/>
                <w:tabs>
                  <w:tab w:val="left" w:pos="440"/>
                  <w:tab w:val="right" w:leader="dot" w:pos="9068"/>
                </w:tabs>
                <w:rPr>
                  <w:noProof/>
                  <w:sz w:val="21"/>
                  <w:szCs w:val="21"/>
                  <w:lang w:eastAsia="en-US"/>
                </w:rPr>
              </w:pPr>
              <w:r w:rsidRPr="00785DEE">
                <w:rPr>
                  <w:rFonts w:ascii="Arial" w:hAnsi="Arial" w:cs="Arial"/>
                  <w:sz w:val="21"/>
                  <w:szCs w:val="21"/>
                </w:rPr>
                <w:fldChar w:fldCharType="begin"/>
              </w:r>
              <w:r w:rsidR="00133D2C" w:rsidRPr="00785DEE">
                <w:rPr>
                  <w:rFonts w:ascii="Arial" w:hAnsi="Arial" w:cs="Arial"/>
                  <w:sz w:val="21"/>
                  <w:szCs w:val="21"/>
                </w:rPr>
                <w:instrText xml:space="preserve"> TOC \o "1-3" \h \z \u </w:instrText>
              </w:r>
              <w:r w:rsidRPr="00785DEE">
                <w:rPr>
                  <w:rFonts w:ascii="Arial" w:hAnsi="Arial" w:cs="Arial"/>
                  <w:sz w:val="21"/>
                  <w:szCs w:val="21"/>
                </w:rPr>
                <w:fldChar w:fldCharType="separate"/>
              </w:r>
              <w:hyperlink w:anchor="_Toc493760327" w:history="1">
                <w:r w:rsidR="00D12E11" w:rsidRPr="00D12E11">
                  <w:rPr>
                    <w:rStyle w:val="Hyperlink"/>
                    <w:rFonts w:ascii="Arial" w:hAnsi="Arial" w:cs="Symbol"/>
                    <w:noProof/>
                    <w:sz w:val="21"/>
                    <w:szCs w:val="21"/>
                  </w:rPr>
                  <w:t>1.</w:t>
                </w:r>
                <w:r w:rsidR="00D12E11" w:rsidRPr="00D12E11">
                  <w:rPr>
                    <w:noProof/>
                    <w:sz w:val="21"/>
                    <w:szCs w:val="21"/>
                    <w:lang w:eastAsia="en-US"/>
                  </w:rPr>
                  <w:tab/>
                </w:r>
                <w:r w:rsidR="00D12E11" w:rsidRPr="00D12E11">
                  <w:rPr>
                    <w:rStyle w:val="Hyperlink"/>
                    <w:rFonts w:ascii="Arial" w:hAnsi="Arial"/>
                    <w:noProof/>
                    <w:sz w:val="21"/>
                    <w:szCs w:val="21"/>
                  </w:rPr>
                  <w:t>ABREVIATIONS</w:t>
                </w:r>
                <w:r w:rsidR="00D12E11" w:rsidRPr="00D12E11">
                  <w:rPr>
                    <w:noProof/>
                    <w:webHidden/>
                    <w:sz w:val="21"/>
                    <w:szCs w:val="21"/>
                  </w:rPr>
                  <w:tab/>
                </w:r>
                <w:r w:rsidR="00D12E11" w:rsidRPr="00D12E11">
                  <w:rPr>
                    <w:noProof/>
                    <w:webHidden/>
                    <w:sz w:val="21"/>
                    <w:szCs w:val="21"/>
                  </w:rPr>
                  <w:fldChar w:fldCharType="begin"/>
                </w:r>
                <w:r w:rsidR="00D12E11" w:rsidRPr="00D12E11">
                  <w:rPr>
                    <w:noProof/>
                    <w:webHidden/>
                    <w:sz w:val="21"/>
                    <w:szCs w:val="21"/>
                  </w:rPr>
                  <w:instrText xml:space="preserve"> PAGEREF _Toc493760327 \h </w:instrText>
                </w:r>
                <w:r w:rsidR="00D12E11" w:rsidRPr="00D12E11">
                  <w:rPr>
                    <w:noProof/>
                    <w:webHidden/>
                    <w:sz w:val="21"/>
                    <w:szCs w:val="21"/>
                  </w:rPr>
                </w:r>
                <w:r w:rsidR="00D12E11" w:rsidRPr="00D12E11">
                  <w:rPr>
                    <w:noProof/>
                    <w:webHidden/>
                    <w:sz w:val="21"/>
                    <w:szCs w:val="21"/>
                  </w:rPr>
                  <w:fldChar w:fldCharType="separate"/>
                </w:r>
                <w:r w:rsidR="00D12E11" w:rsidRPr="00D12E11">
                  <w:rPr>
                    <w:noProof/>
                    <w:webHidden/>
                    <w:sz w:val="21"/>
                    <w:szCs w:val="21"/>
                  </w:rPr>
                  <w:t>2</w:t>
                </w:r>
                <w:r w:rsidR="00D12E11" w:rsidRPr="00D12E11">
                  <w:rPr>
                    <w:noProof/>
                    <w:webHidden/>
                    <w:sz w:val="21"/>
                    <w:szCs w:val="21"/>
                  </w:rPr>
                  <w:fldChar w:fldCharType="end"/>
                </w:r>
              </w:hyperlink>
            </w:p>
            <w:p w14:paraId="1BD810B7" w14:textId="77777777" w:rsidR="00D12E11" w:rsidRPr="00D12E11" w:rsidRDefault="00D8244E">
              <w:pPr>
                <w:pStyle w:val="TOC1"/>
                <w:tabs>
                  <w:tab w:val="left" w:pos="440"/>
                  <w:tab w:val="right" w:leader="dot" w:pos="9068"/>
                </w:tabs>
                <w:rPr>
                  <w:noProof/>
                  <w:sz w:val="21"/>
                  <w:szCs w:val="21"/>
                  <w:lang w:eastAsia="en-US"/>
                </w:rPr>
              </w:pPr>
              <w:hyperlink w:anchor="_Toc493760328" w:history="1">
                <w:r w:rsidR="00D12E11" w:rsidRPr="00D12E11">
                  <w:rPr>
                    <w:rStyle w:val="Hyperlink"/>
                    <w:rFonts w:ascii="Arial" w:hAnsi="Arial" w:cs="Symbol"/>
                    <w:noProof/>
                    <w:sz w:val="21"/>
                    <w:szCs w:val="21"/>
                  </w:rPr>
                  <w:t>2.</w:t>
                </w:r>
                <w:r w:rsidR="00D12E11" w:rsidRPr="00D12E11">
                  <w:rPr>
                    <w:noProof/>
                    <w:sz w:val="21"/>
                    <w:szCs w:val="21"/>
                    <w:lang w:eastAsia="en-US"/>
                  </w:rPr>
                  <w:tab/>
                </w:r>
                <w:r w:rsidR="00D12E11" w:rsidRPr="00D12E11">
                  <w:rPr>
                    <w:rStyle w:val="Hyperlink"/>
                    <w:rFonts w:ascii="Arial" w:hAnsi="Arial"/>
                    <w:noProof/>
                    <w:sz w:val="21"/>
                    <w:szCs w:val="21"/>
                  </w:rPr>
                  <w:t>INTRODUCTION</w:t>
                </w:r>
                <w:r w:rsidR="00D12E11" w:rsidRPr="00D12E11">
                  <w:rPr>
                    <w:noProof/>
                    <w:webHidden/>
                    <w:sz w:val="21"/>
                    <w:szCs w:val="21"/>
                  </w:rPr>
                  <w:tab/>
                </w:r>
                <w:r w:rsidR="00D12E11" w:rsidRPr="00D12E11">
                  <w:rPr>
                    <w:noProof/>
                    <w:webHidden/>
                    <w:sz w:val="21"/>
                    <w:szCs w:val="21"/>
                  </w:rPr>
                  <w:fldChar w:fldCharType="begin"/>
                </w:r>
                <w:r w:rsidR="00D12E11" w:rsidRPr="00D12E11">
                  <w:rPr>
                    <w:noProof/>
                    <w:webHidden/>
                    <w:sz w:val="21"/>
                    <w:szCs w:val="21"/>
                  </w:rPr>
                  <w:instrText xml:space="preserve"> PAGEREF _Toc493760328 \h </w:instrText>
                </w:r>
                <w:r w:rsidR="00D12E11" w:rsidRPr="00D12E11">
                  <w:rPr>
                    <w:noProof/>
                    <w:webHidden/>
                    <w:sz w:val="21"/>
                    <w:szCs w:val="21"/>
                  </w:rPr>
                </w:r>
                <w:r w:rsidR="00D12E11" w:rsidRPr="00D12E11">
                  <w:rPr>
                    <w:noProof/>
                    <w:webHidden/>
                    <w:sz w:val="21"/>
                    <w:szCs w:val="21"/>
                  </w:rPr>
                  <w:fldChar w:fldCharType="separate"/>
                </w:r>
                <w:r w:rsidR="00D12E11" w:rsidRPr="00D12E11">
                  <w:rPr>
                    <w:noProof/>
                    <w:webHidden/>
                    <w:sz w:val="21"/>
                    <w:szCs w:val="21"/>
                  </w:rPr>
                  <w:t>3</w:t>
                </w:r>
                <w:r w:rsidR="00D12E11" w:rsidRPr="00D12E11">
                  <w:rPr>
                    <w:noProof/>
                    <w:webHidden/>
                    <w:sz w:val="21"/>
                    <w:szCs w:val="21"/>
                  </w:rPr>
                  <w:fldChar w:fldCharType="end"/>
                </w:r>
              </w:hyperlink>
            </w:p>
            <w:p w14:paraId="4B05F128" w14:textId="77777777" w:rsidR="00D12E11" w:rsidRPr="00D12E11" w:rsidRDefault="00D8244E">
              <w:pPr>
                <w:pStyle w:val="TOC1"/>
                <w:tabs>
                  <w:tab w:val="left" w:pos="440"/>
                  <w:tab w:val="right" w:leader="dot" w:pos="9068"/>
                </w:tabs>
                <w:rPr>
                  <w:noProof/>
                  <w:sz w:val="21"/>
                  <w:szCs w:val="21"/>
                  <w:lang w:eastAsia="en-US"/>
                </w:rPr>
              </w:pPr>
              <w:hyperlink w:anchor="_Toc493760329" w:history="1">
                <w:r w:rsidR="00D12E11" w:rsidRPr="00D12E11">
                  <w:rPr>
                    <w:rStyle w:val="Hyperlink"/>
                    <w:rFonts w:ascii="Arial" w:hAnsi="Arial" w:cs="Symbol"/>
                    <w:noProof/>
                    <w:sz w:val="21"/>
                    <w:szCs w:val="21"/>
                  </w:rPr>
                  <w:t>3.</w:t>
                </w:r>
                <w:r w:rsidR="00D12E11" w:rsidRPr="00D12E11">
                  <w:rPr>
                    <w:noProof/>
                    <w:sz w:val="21"/>
                    <w:szCs w:val="21"/>
                    <w:lang w:eastAsia="en-US"/>
                  </w:rPr>
                  <w:tab/>
                </w:r>
                <w:r w:rsidR="00D12E11" w:rsidRPr="00D12E11">
                  <w:rPr>
                    <w:rStyle w:val="Hyperlink"/>
                    <w:rFonts w:ascii="Arial" w:hAnsi="Arial"/>
                    <w:noProof/>
                    <w:sz w:val="21"/>
                    <w:szCs w:val="21"/>
                  </w:rPr>
                  <w:t>EU INDICATORS IN THE FIELD OF PENSIONS</w:t>
                </w:r>
                <w:r w:rsidR="00D12E11" w:rsidRPr="00D12E11">
                  <w:rPr>
                    <w:noProof/>
                    <w:webHidden/>
                    <w:sz w:val="21"/>
                    <w:szCs w:val="21"/>
                  </w:rPr>
                  <w:tab/>
                </w:r>
                <w:r w:rsidR="00D12E11" w:rsidRPr="00D12E11">
                  <w:rPr>
                    <w:noProof/>
                    <w:webHidden/>
                    <w:sz w:val="21"/>
                    <w:szCs w:val="21"/>
                  </w:rPr>
                  <w:fldChar w:fldCharType="begin"/>
                </w:r>
                <w:r w:rsidR="00D12E11" w:rsidRPr="00D12E11">
                  <w:rPr>
                    <w:noProof/>
                    <w:webHidden/>
                    <w:sz w:val="21"/>
                    <w:szCs w:val="21"/>
                  </w:rPr>
                  <w:instrText xml:space="preserve"> PAGEREF _Toc493760329 \h </w:instrText>
                </w:r>
                <w:r w:rsidR="00D12E11" w:rsidRPr="00D12E11">
                  <w:rPr>
                    <w:noProof/>
                    <w:webHidden/>
                    <w:sz w:val="21"/>
                    <w:szCs w:val="21"/>
                  </w:rPr>
                </w:r>
                <w:r w:rsidR="00D12E11" w:rsidRPr="00D12E11">
                  <w:rPr>
                    <w:noProof/>
                    <w:webHidden/>
                    <w:sz w:val="21"/>
                    <w:szCs w:val="21"/>
                  </w:rPr>
                  <w:fldChar w:fldCharType="separate"/>
                </w:r>
                <w:r w:rsidR="00D12E11" w:rsidRPr="00D12E11">
                  <w:rPr>
                    <w:noProof/>
                    <w:webHidden/>
                    <w:sz w:val="21"/>
                    <w:szCs w:val="21"/>
                  </w:rPr>
                  <w:t>4</w:t>
                </w:r>
                <w:r w:rsidR="00D12E11" w:rsidRPr="00D12E11">
                  <w:rPr>
                    <w:noProof/>
                    <w:webHidden/>
                    <w:sz w:val="21"/>
                    <w:szCs w:val="21"/>
                  </w:rPr>
                  <w:fldChar w:fldCharType="end"/>
                </w:r>
              </w:hyperlink>
            </w:p>
            <w:p w14:paraId="3E01599B" w14:textId="77777777" w:rsidR="00D12E11" w:rsidRPr="00D12E11" w:rsidRDefault="00D8244E">
              <w:pPr>
                <w:pStyle w:val="TOC2"/>
                <w:tabs>
                  <w:tab w:val="left" w:pos="880"/>
                  <w:tab w:val="right" w:leader="dot" w:pos="9068"/>
                </w:tabs>
                <w:rPr>
                  <w:noProof/>
                  <w:sz w:val="21"/>
                  <w:szCs w:val="21"/>
                  <w:lang w:eastAsia="en-US"/>
                </w:rPr>
              </w:pPr>
              <w:hyperlink w:anchor="_Toc493760330" w:history="1">
                <w:r w:rsidR="00D12E11" w:rsidRPr="00D12E11">
                  <w:rPr>
                    <w:rStyle w:val="Hyperlink"/>
                    <w:rFonts w:ascii="Arial" w:hAnsi="Arial"/>
                    <w:noProof/>
                    <w:sz w:val="21"/>
                    <w:szCs w:val="21"/>
                  </w:rPr>
                  <w:t>3.1.</w:t>
                </w:r>
                <w:r w:rsidR="00D12E11" w:rsidRPr="00D12E11">
                  <w:rPr>
                    <w:noProof/>
                    <w:sz w:val="21"/>
                    <w:szCs w:val="21"/>
                    <w:lang w:eastAsia="en-US"/>
                  </w:rPr>
                  <w:tab/>
                </w:r>
                <w:r w:rsidR="00D12E11" w:rsidRPr="00D12E11">
                  <w:rPr>
                    <w:rStyle w:val="Hyperlink"/>
                    <w:rFonts w:ascii="Arial" w:hAnsi="Arial"/>
                    <w:noProof/>
                    <w:sz w:val="21"/>
                    <w:szCs w:val="21"/>
                  </w:rPr>
                  <w:t>Pension portfolio of the EU Social Indicators</w:t>
                </w:r>
                <w:r w:rsidR="00D12E11" w:rsidRPr="00D12E11">
                  <w:rPr>
                    <w:noProof/>
                    <w:webHidden/>
                    <w:sz w:val="21"/>
                    <w:szCs w:val="21"/>
                  </w:rPr>
                  <w:tab/>
                </w:r>
                <w:r w:rsidR="00D12E11" w:rsidRPr="00D12E11">
                  <w:rPr>
                    <w:noProof/>
                    <w:webHidden/>
                    <w:sz w:val="21"/>
                    <w:szCs w:val="21"/>
                  </w:rPr>
                  <w:fldChar w:fldCharType="begin"/>
                </w:r>
                <w:r w:rsidR="00D12E11" w:rsidRPr="00D12E11">
                  <w:rPr>
                    <w:noProof/>
                    <w:webHidden/>
                    <w:sz w:val="21"/>
                    <w:szCs w:val="21"/>
                  </w:rPr>
                  <w:instrText xml:space="preserve"> PAGEREF _Toc493760330 \h </w:instrText>
                </w:r>
                <w:r w:rsidR="00D12E11" w:rsidRPr="00D12E11">
                  <w:rPr>
                    <w:noProof/>
                    <w:webHidden/>
                    <w:sz w:val="21"/>
                    <w:szCs w:val="21"/>
                  </w:rPr>
                </w:r>
                <w:r w:rsidR="00D12E11" w:rsidRPr="00D12E11">
                  <w:rPr>
                    <w:noProof/>
                    <w:webHidden/>
                    <w:sz w:val="21"/>
                    <w:szCs w:val="21"/>
                  </w:rPr>
                  <w:fldChar w:fldCharType="separate"/>
                </w:r>
                <w:r w:rsidR="00D12E11" w:rsidRPr="00D12E11">
                  <w:rPr>
                    <w:noProof/>
                    <w:webHidden/>
                    <w:sz w:val="21"/>
                    <w:szCs w:val="21"/>
                  </w:rPr>
                  <w:t>5</w:t>
                </w:r>
                <w:r w:rsidR="00D12E11" w:rsidRPr="00D12E11">
                  <w:rPr>
                    <w:noProof/>
                    <w:webHidden/>
                    <w:sz w:val="21"/>
                    <w:szCs w:val="21"/>
                  </w:rPr>
                  <w:fldChar w:fldCharType="end"/>
                </w:r>
              </w:hyperlink>
            </w:p>
            <w:p w14:paraId="54D7737D" w14:textId="77777777" w:rsidR="00D12E11" w:rsidRPr="00D12E11" w:rsidRDefault="00D8244E">
              <w:pPr>
                <w:pStyle w:val="TOC2"/>
                <w:tabs>
                  <w:tab w:val="left" w:pos="880"/>
                  <w:tab w:val="right" w:leader="dot" w:pos="9068"/>
                </w:tabs>
                <w:rPr>
                  <w:noProof/>
                  <w:sz w:val="21"/>
                  <w:szCs w:val="21"/>
                  <w:lang w:eastAsia="en-US"/>
                </w:rPr>
              </w:pPr>
              <w:hyperlink w:anchor="_Toc493760331" w:history="1">
                <w:r w:rsidR="00D12E11" w:rsidRPr="00D12E11">
                  <w:rPr>
                    <w:rStyle w:val="Hyperlink"/>
                    <w:rFonts w:ascii="Arial" w:hAnsi="Arial"/>
                    <w:noProof/>
                    <w:sz w:val="21"/>
                    <w:szCs w:val="21"/>
                  </w:rPr>
                  <w:t>3.2.</w:t>
                </w:r>
                <w:r w:rsidR="00D12E11" w:rsidRPr="00D12E11">
                  <w:rPr>
                    <w:noProof/>
                    <w:sz w:val="21"/>
                    <w:szCs w:val="21"/>
                    <w:lang w:eastAsia="en-US"/>
                  </w:rPr>
                  <w:tab/>
                </w:r>
                <w:r w:rsidR="00D12E11" w:rsidRPr="00D12E11">
                  <w:rPr>
                    <w:rStyle w:val="Hyperlink"/>
                    <w:rFonts w:ascii="Arial" w:hAnsi="Arial"/>
                    <w:noProof/>
                    <w:sz w:val="21"/>
                    <w:szCs w:val="21"/>
                  </w:rPr>
                  <w:t>Other relevant EU indicators</w:t>
                </w:r>
                <w:r w:rsidR="00D12E11" w:rsidRPr="00D12E11">
                  <w:rPr>
                    <w:noProof/>
                    <w:webHidden/>
                    <w:sz w:val="21"/>
                    <w:szCs w:val="21"/>
                  </w:rPr>
                  <w:tab/>
                </w:r>
                <w:r w:rsidR="00D12E11" w:rsidRPr="00D12E11">
                  <w:rPr>
                    <w:noProof/>
                    <w:webHidden/>
                    <w:sz w:val="21"/>
                    <w:szCs w:val="21"/>
                  </w:rPr>
                  <w:fldChar w:fldCharType="begin"/>
                </w:r>
                <w:r w:rsidR="00D12E11" w:rsidRPr="00D12E11">
                  <w:rPr>
                    <w:noProof/>
                    <w:webHidden/>
                    <w:sz w:val="21"/>
                    <w:szCs w:val="21"/>
                  </w:rPr>
                  <w:instrText xml:space="preserve"> PAGEREF _Toc493760331 \h </w:instrText>
                </w:r>
                <w:r w:rsidR="00D12E11" w:rsidRPr="00D12E11">
                  <w:rPr>
                    <w:noProof/>
                    <w:webHidden/>
                    <w:sz w:val="21"/>
                    <w:szCs w:val="21"/>
                  </w:rPr>
                </w:r>
                <w:r w:rsidR="00D12E11" w:rsidRPr="00D12E11">
                  <w:rPr>
                    <w:noProof/>
                    <w:webHidden/>
                    <w:sz w:val="21"/>
                    <w:szCs w:val="21"/>
                  </w:rPr>
                  <w:fldChar w:fldCharType="separate"/>
                </w:r>
                <w:r w:rsidR="00D12E11" w:rsidRPr="00D12E11">
                  <w:rPr>
                    <w:noProof/>
                    <w:webHidden/>
                    <w:sz w:val="21"/>
                    <w:szCs w:val="21"/>
                  </w:rPr>
                  <w:t>8</w:t>
                </w:r>
                <w:r w:rsidR="00D12E11" w:rsidRPr="00D12E11">
                  <w:rPr>
                    <w:noProof/>
                    <w:webHidden/>
                    <w:sz w:val="21"/>
                    <w:szCs w:val="21"/>
                  </w:rPr>
                  <w:fldChar w:fldCharType="end"/>
                </w:r>
              </w:hyperlink>
            </w:p>
            <w:p w14:paraId="687656A1" w14:textId="77777777" w:rsidR="00D12E11" w:rsidRPr="00D12E11" w:rsidRDefault="00D8244E">
              <w:pPr>
                <w:pStyle w:val="TOC1"/>
                <w:tabs>
                  <w:tab w:val="left" w:pos="440"/>
                  <w:tab w:val="right" w:leader="dot" w:pos="9068"/>
                </w:tabs>
                <w:rPr>
                  <w:noProof/>
                  <w:sz w:val="21"/>
                  <w:szCs w:val="21"/>
                  <w:lang w:eastAsia="en-US"/>
                </w:rPr>
              </w:pPr>
              <w:hyperlink w:anchor="_Toc493760332" w:history="1">
                <w:r w:rsidR="00D12E11" w:rsidRPr="00D12E11">
                  <w:rPr>
                    <w:rStyle w:val="Hyperlink"/>
                    <w:rFonts w:ascii="Arial" w:hAnsi="Arial" w:cs="Symbol"/>
                    <w:noProof/>
                    <w:sz w:val="21"/>
                    <w:szCs w:val="21"/>
                  </w:rPr>
                  <w:t>4.</w:t>
                </w:r>
                <w:r w:rsidR="00D12E11" w:rsidRPr="00D12E11">
                  <w:rPr>
                    <w:noProof/>
                    <w:sz w:val="21"/>
                    <w:szCs w:val="21"/>
                    <w:lang w:eastAsia="en-US"/>
                  </w:rPr>
                  <w:tab/>
                </w:r>
                <w:r w:rsidR="00D12E11" w:rsidRPr="00D12E11">
                  <w:rPr>
                    <w:rStyle w:val="Hyperlink"/>
                    <w:rFonts w:ascii="Arial" w:hAnsi="Arial"/>
                    <w:noProof/>
                    <w:sz w:val="21"/>
                    <w:szCs w:val="21"/>
                  </w:rPr>
                  <w:t>OTHER RELEVANT FRAMEWORKS</w:t>
                </w:r>
                <w:r w:rsidR="00D12E11" w:rsidRPr="00D12E11">
                  <w:rPr>
                    <w:noProof/>
                    <w:webHidden/>
                    <w:sz w:val="21"/>
                    <w:szCs w:val="21"/>
                  </w:rPr>
                  <w:tab/>
                </w:r>
                <w:r w:rsidR="00D12E11" w:rsidRPr="00D12E11">
                  <w:rPr>
                    <w:noProof/>
                    <w:webHidden/>
                    <w:sz w:val="21"/>
                    <w:szCs w:val="21"/>
                  </w:rPr>
                  <w:fldChar w:fldCharType="begin"/>
                </w:r>
                <w:r w:rsidR="00D12E11" w:rsidRPr="00D12E11">
                  <w:rPr>
                    <w:noProof/>
                    <w:webHidden/>
                    <w:sz w:val="21"/>
                    <w:szCs w:val="21"/>
                  </w:rPr>
                  <w:instrText xml:space="preserve"> PAGEREF _Toc493760332 \h </w:instrText>
                </w:r>
                <w:r w:rsidR="00D12E11" w:rsidRPr="00D12E11">
                  <w:rPr>
                    <w:noProof/>
                    <w:webHidden/>
                    <w:sz w:val="21"/>
                    <w:szCs w:val="21"/>
                  </w:rPr>
                </w:r>
                <w:r w:rsidR="00D12E11" w:rsidRPr="00D12E11">
                  <w:rPr>
                    <w:noProof/>
                    <w:webHidden/>
                    <w:sz w:val="21"/>
                    <w:szCs w:val="21"/>
                  </w:rPr>
                  <w:fldChar w:fldCharType="separate"/>
                </w:r>
                <w:r w:rsidR="00D12E11" w:rsidRPr="00D12E11">
                  <w:rPr>
                    <w:noProof/>
                    <w:webHidden/>
                    <w:sz w:val="21"/>
                    <w:szCs w:val="21"/>
                  </w:rPr>
                  <w:t>10</w:t>
                </w:r>
                <w:r w:rsidR="00D12E11" w:rsidRPr="00D12E11">
                  <w:rPr>
                    <w:noProof/>
                    <w:webHidden/>
                    <w:sz w:val="21"/>
                    <w:szCs w:val="21"/>
                  </w:rPr>
                  <w:fldChar w:fldCharType="end"/>
                </w:r>
              </w:hyperlink>
            </w:p>
            <w:p w14:paraId="1EE63EA0" w14:textId="77777777" w:rsidR="00D12E11" w:rsidRPr="00D12E11" w:rsidRDefault="00D8244E">
              <w:pPr>
                <w:pStyle w:val="TOC1"/>
                <w:tabs>
                  <w:tab w:val="left" w:pos="440"/>
                  <w:tab w:val="right" w:leader="dot" w:pos="9068"/>
                </w:tabs>
                <w:rPr>
                  <w:noProof/>
                  <w:sz w:val="21"/>
                  <w:szCs w:val="21"/>
                  <w:lang w:eastAsia="en-US"/>
                </w:rPr>
              </w:pPr>
              <w:hyperlink w:anchor="_Toc493760333" w:history="1">
                <w:r w:rsidR="00D12E11" w:rsidRPr="00D12E11">
                  <w:rPr>
                    <w:rStyle w:val="Hyperlink"/>
                    <w:rFonts w:ascii="Arial" w:hAnsi="Arial" w:cs="Symbol"/>
                    <w:noProof/>
                    <w:sz w:val="21"/>
                    <w:szCs w:val="21"/>
                  </w:rPr>
                  <w:t>5.</w:t>
                </w:r>
                <w:r w:rsidR="00D12E11" w:rsidRPr="00D12E11">
                  <w:rPr>
                    <w:noProof/>
                    <w:sz w:val="21"/>
                    <w:szCs w:val="21"/>
                    <w:lang w:eastAsia="en-US"/>
                  </w:rPr>
                  <w:tab/>
                </w:r>
                <w:r w:rsidR="00D12E11" w:rsidRPr="00D12E11">
                  <w:rPr>
                    <w:rStyle w:val="Hyperlink"/>
                    <w:rFonts w:ascii="Arial" w:hAnsi="Arial"/>
                    <w:noProof/>
                    <w:sz w:val="21"/>
                    <w:szCs w:val="21"/>
                  </w:rPr>
                  <w:t>DISCUSSION</w:t>
                </w:r>
                <w:r w:rsidR="00D12E11" w:rsidRPr="00D12E11">
                  <w:rPr>
                    <w:noProof/>
                    <w:webHidden/>
                    <w:sz w:val="21"/>
                    <w:szCs w:val="21"/>
                  </w:rPr>
                  <w:tab/>
                </w:r>
                <w:r w:rsidR="00D12E11" w:rsidRPr="00D12E11">
                  <w:rPr>
                    <w:noProof/>
                    <w:webHidden/>
                    <w:sz w:val="21"/>
                    <w:szCs w:val="21"/>
                  </w:rPr>
                  <w:fldChar w:fldCharType="begin"/>
                </w:r>
                <w:r w:rsidR="00D12E11" w:rsidRPr="00D12E11">
                  <w:rPr>
                    <w:noProof/>
                    <w:webHidden/>
                    <w:sz w:val="21"/>
                    <w:szCs w:val="21"/>
                  </w:rPr>
                  <w:instrText xml:space="preserve"> PAGEREF _Toc493760333 \h </w:instrText>
                </w:r>
                <w:r w:rsidR="00D12E11" w:rsidRPr="00D12E11">
                  <w:rPr>
                    <w:noProof/>
                    <w:webHidden/>
                    <w:sz w:val="21"/>
                    <w:szCs w:val="21"/>
                  </w:rPr>
                </w:r>
                <w:r w:rsidR="00D12E11" w:rsidRPr="00D12E11">
                  <w:rPr>
                    <w:noProof/>
                    <w:webHidden/>
                    <w:sz w:val="21"/>
                    <w:szCs w:val="21"/>
                  </w:rPr>
                  <w:fldChar w:fldCharType="separate"/>
                </w:r>
                <w:r w:rsidR="00D12E11" w:rsidRPr="00D12E11">
                  <w:rPr>
                    <w:noProof/>
                    <w:webHidden/>
                    <w:sz w:val="21"/>
                    <w:szCs w:val="21"/>
                  </w:rPr>
                  <w:t>14</w:t>
                </w:r>
                <w:r w:rsidR="00D12E11" w:rsidRPr="00D12E11">
                  <w:rPr>
                    <w:noProof/>
                    <w:webHidden/>
                    <w:sz w:val="21"/>
                    <w:szCs w:val="21"/>
                  </w:rPr>
                  <w:fldChar w:fldCharType="end"/>
                </w:r>
              </w:hyperlink>
            </w:p>
            <w:p w14:paraId="01FD3554" w14:textId="77777777" w:rsidR="00D12E11" w:rsidRPr="00D12E11" w:rsidRDefault="00D8244E">
              <w:pPr>
                <w:pStyle w:val="TOC1"/>
                <w:tabs>
                  <w:tab w:val="left" w:pos="440"/>
                  <w:tab w:val="right" w:leader="dot" w:pos="9068"/>
                </w:tabs>
                <w:rPr>
                  <w:noProof/>
                  <w:sz w:val="21"/>
                  <w:szCs w:val="21"/>
                  <w:lang w:eastAsia="en-US"/>
                </w:rPr>
              </w:pPr>
              <w:hyperlink w:anchor="_Toc493760334" w:history="1">
                <w:r w:rsidR="00D12E11" w:rsidRPr="00D12E11">
                  <w:rPr>
                    <w:rStyle w:val="Hyperlink"/>
                    <w:rFonts w:ascii="Arial" w:hAnsi="Arial" w:cs="Symbol"/>
                    <w:noProof/>
                    <w:sz w:val="21"/>
                    <w:szCs w:val="21"/>
                  </w:rPr>
                  <w:t>6.</w:t>
                </w:r>
                <w:r w:rsidR="00D12E11" w:rsidRPr="00D12E11">
                  <w:rPr>
                    <w:noProof/>
                    <w:sz w:val="21"/>
                    <w:szCs w:val="21"/>
                    <w:lang w:eastAsia="en-US"/>
                  </w:rPr>
                  <w:tab/>
                </w:r>
                <w:r w:rsidR="00D12E11" w:rsidRPr="00D12E11">
                  <w:rPr>
                    <w:rStyle w:val="Hyperlink"/>
                    <w:rFonts w:ascii="Arial" w:hAnsi="Arial"/>
                    <w:noProof/>
                    <w:sz w:val="21"/>
                    <w:szCs w:val="21"/>
                  </w:rPr>
                  <w:t>PENSION PORTFOLIO OF INDICATORS IN SERBIA</w:t>
                </w:r>
                <w:r w:rsidR="00D12E11" w:rsidRPr="00D12E11">
                  <w:rPr>
                    <w:noProof/>
                    <w:webHidden/>
                    <w:sz w:val="21"/>
                    <w:szCs w:val="21"/>
                  </w:rPr>
                  <w:tab/>
                </w:r>
                <w:r w:rsidR="00D12E11" w:rsidRPr="00D12E11">
                  <w:rPr>
                    <w:noProof/>
                    <w:webHidden/>
                    <w:sz w:val="21"/>
                    <w:szCs w:val="21"/>
                  </w:rPr>
                  <w:fldChar w:fldCharType="begin"/>
                </w:r>
                <w:r w:rsidR="00D12E11" w:rsidRPr="00D12E11">
                  <w:rPr>
                    <w:noProof/>
                    <w:webHidden/>
                    <w:sz w:val="21"/>
                    <w:szCs w:val="21"/>
                  </w:rPr>
                  <w:instrText xml:space="preserve"> PAGEREF _Toc493760334 \h </w:instrText>
                </w:r>
                <w:r w:rsidR="00D12E11" w:rsidRPr="00D12E11">
                  <w:rPr>
                    <w:noProof/>
                    <w:webHidden/>
                    <w:sz w:val="21"/>
                    <w:szCs w:val="21"/>
                  </w:rPr>
                </w:r>
                <w:r w:rsidR="00D12E11" w:rsidRPr="00D12E11">
                  <w:rPr>
                    <w:noProof/>
                    <w:webHidden/>
                    <w:sz w:val="21"/>
                    <w:szCs w:val="21"/>
                  </w:rPr>
                  <w:fldChar w:fldCharType="separate"/>
                </w:r>
                <w:r w:rsidR="00D12E11" w:rsidRPr="00D12E11">
                  <w:rPr>
                    <w:noProof/>
                    <w:webHidden/>
                    <w:sz w:val="21"/>
                    <w:szCs w:val="21"/>
                  </w:rPr>
                  <w:t>22</w:t>
                </w:r>
                <w:r w:rsidR="00D12E11" w:rsidRPr="00D12E11">
                  <w:rPr>
                    <w:noProof/>
                    <w:webHidden/>
                    <w:sz w:val="21"/>
                    <w:szCs w:val="21"/>
                  </w:rPr>
                  <w:fldChar w:fldCharType="end"/>
                </w:r>
              </w:hyperlink>
            </w:p>
            <w:p w14:paraId="69F389A4" w14:textId="77777777" w:rsidR="00D12E11" w:rsidRPr="00D12E11" w:rsidRDefault="00D8244E">
              <w:pPr>
                <w:pStyle w:val="TOC1"/>
                <w:tabs>
                  <w:tab w:val="left" w:pos="440"/>
                  <w:tab w:val="right" w:leader="dot" w:pos="9068"/>
                </w:tabs>
                <w:rPr>
                  <w:noProof/>
                  <w:sz w:val="21"/>
                  <w:szCs w:val="21"/>
                  <w:lang w:eastAsia="en-US"/>
                </w:rPr>
              </w:pPr>
              <w:hyperlink w:anchor="_Toc493760335" w:history="1">
                <w:r w:rsidR="00D12E11" w:rsidRPr="00D12E11">
                  <w:rPr>
                    <w:rStyle w:val="Hyperlink"/>
                    <w:rFonts w:ascii="Arial" w:hAnsi="Arial" w:cs="Symbol"/>
                    <w:noProof/>
                    <w:sz w:val="21"/>
                    <w:szCs w:val="21"/>
                  </w:rPr>
                  <w:t>7.</w:t>
                </w:r>
                <w:r w:rsidR="00D12E11" w:rsidRPr="00D12E11">
                  <w:rPr>
                    <w:noProof/>
                    <w:sz w:val="21"/>
                    <w:szCs w:val="21"/>
                    <w:lang w:eastAsia="en-US"/>
                  </w:rPr>
                  <w:tab/>
                </w:r>
                <w:r w:rsidR="00D12E11" w:rsidRPr="00D12E11">
                  <w:rPr>
                    <w:rStyle w:val="Hyperlink"/>
                    <w:rFonts w:ascii="Arial" w:hAnsi="Arial"/>
                    <w:noProof/>
                    <w:sz w:val="21"/>
                    <w:szCs w:val="21"/>
                  </w:rPr>
                  <w:t>LITERATURE</w:t>
                </w:r>
                <w:r w:rsidR="00D12E11" w:rsidRPr="00D12E11">
                  <w:rPr>
                    <w:noProof/>
                    <w:webHidden/>
                    <w:sz w:val="21"/>
                    <w:szCs w:val="21"/>
                  </w:rPr>
                  <w:tab/>
                </w:r>
                <w:r w:rsidR="00D12E11" w:rsidRPr="00D12E11">
                  <w:rPr>
                    <w:noProof/>
                    <w:webHidden/>
                    <w:sz w:val="21"/>
                    <w:szCs w:val="21"/>
                  </w:rPr>
                  <w:fldChar w:fldCharType="begin"/>
                </w:r>
                <w:r w:rsidR="00D12E11" w:rsidRPr="00D12E11">
                  <w:rPr>
                    <w:noProof/>
                    <w:webHidden/>
                    <w:sz w:val="21"/>
                    <w:szCs w:val="21"/>
                  </w:rPr>
                  <w:instrText xml:space="preserve"> PAGEREF _Toc493760335 \h </w:instrText>
                </w:r>
                <w:r w:rsidR="00D12E11" w:rsidRPr="00D12E11">
                  <w:rPr>
                    <w:noProof/>
                    <w:webHidden/>
                    <w:sz w:val="21"/>
                    <w:szCs w:val="21"/>
                  </w:rPr>
                </w:r>
                <w:r w:rsidR="00D12E11" w:rsidRPr="00D12E11">
                  <w:rPr>
                    <w:noProof/>
                    <w:webHidden/>
                    <w:sz w:val="21"/>
                    <w:szCs w:val="21"/>
                  </w:rPr>
                  <w:fldChar w:fldCharType="separate"/>
                </w:r>
                <w:r w:rsidR="00D12E11" w:rsidRPr="00D12E11">
                  <w:rPr>
                    <w:noProof/>
                    <w:webHidden/>
                    <w:sz w:val="21"/>
                    <w:szCs w:val="21"/>
                  </w:rPr>
                  <w:t>2</w:t>
                </w:r>
                <w:r w:rsidR="00D12E11" w:rsidRPr="00D12E11">
                  <w:rPr>
                    <w:noProof/>
                    <w:webHidden/>
                    <w:sz w:val="21"/>
                    <w:szCs w:val="21"/>
                  </w:rPr>
                  <w:fldChar w:fldCharType="end"/>
                </w:r>
              </w:hyperlink>
            </w:p>
            <w:p w14:paraId="5E099D6C" w14:textId="77777777" w:rsidR="00133D2C" w:rsidRDefault="005E1367">
              <w:r w:rsidRPr="00785DEE">
                <w:rPr>
                  <w:rFonts w:ascii="Arial" w:hAnsi="Arial" w:cs="Arial"/>
                  <w:sz w:val="21"/>
                  <w:szCs w:val="21"/>
                </w:rPr>
                <w:fldChar w:fldCharType="end"/>
              </w:r>
            </w:p>
          </w:sdtContent>
        </w:sdt>
        <w:p w14:paraId="31E91406" w14:textId="4DB19BE9" w:rsidR="00C338C1" w:rsidRPr="006A4CE9" w:rsidRDefault="00133D2C" w:rsidP="005753CF">
          <w:pPr>
            <w:spacing w:line="264" w:lineRule="auto"/>
            <w:jc w:val="center"/>
            <w:rPr>
              <w:rFonts w:ascii="Cambria" w:hAnsi="Cambria"/>
              <w:b/>
              <w:sz w:val="32"/>
            </w:rPr>
          </w:pPr>
          <w:r>
            <w:rPr>
              <w:rFonts w:ascii="Cambria" w:hAnsi="Cambria"/>
              <w:b/>
            </w:rPr>
            <w:br w:type="page"/>
          </w:r>
        </w:p>
      </w:sdtContent>
    </w:sdt>
    <w:p w14:paraId="55B1F136" w14:textId="77777777" w:rsidR="00C338C1" w:rsidRPr="00816E57" w:rsidRDefault="00C338C1" w:rsidP="00707BBB">
      <w:pPr>
        <w:pStyle w:val="Heading1"/>
        <w:numPr>
          <w:ilvl w:val="0"/>
          <w:numId w:val="5"/>
        </w:numPr>
        <w:tabs>
          <w:tab w:val="left" w:pos="568"/>
        </w:tabs>
        <w:ind w:left="426" w:hanging="426"/>
        <w:rPr>
          <w:rFonts w:ascii="Arial" w:hAnsi="Arial"/>
          <w:color w:val="4F81BD" w:themeColor="accent1"/>
          <w:sz w:val="24"/>
          <w:szCs w:val="24"/>
        </w:rPr>
      </w:pPr>
      <w:bookmarkStart w:id="0" w:name="_Toc493760327"/>
      <w:r w:rsidRPr="00816E57">
        <w:rPr>
          <w:rFonts w:ascii="Arial" w:hAnsi="Arial"/>
          <w:color w:val="4F81BD" w:themeColor="accent1"/>
          <w:sz w:val="24"/>
          <w:szCs w:val="24"/>
        </w:rPr>
        <w:lastRenderedPageBreak/>
        <w:t>ABREVIATIONS</w:t>
      </w:r>
      <w:bookmarkEnd w:id="0"/>
    </w:p>
    <w:p w14:paraId="267F85F3" w14:textId="77777777" w:rsidR="00C338C1" w:rsidRPr="00816E57" w:rsidRDefault="00C338C1" w:rsidP="00DC2FF4">
      <w:pPr>
        <w:spacing w:line="264" w:lineRule="auto"/>
        <w:outlineLvl w:val="0"/>
        <w:rPr>
          <w:rFonts w:ascii="Arial" w:hAnsi="Arial"/>
          <w:b/>
          <w:sz w:val="21"/>
          <w:szCs w:val="21"/>
        </w:rPr>
      </w:pPr>
    </w:p>
    <w:p w14:paraId="0542933F" w14:textId="77777777" w:rsidR="00F02E91" w:rsidRPr="00816E57" w:rsidRDefault="00F02E91" w:rsidP="00816E57">
      <w:pPr>
        <w:spacing w:line="360" w:lineRule="auto"/>
        <w:rPr>
          <w:rFonts w:ascii="Arial" w:hAnsi="Arial" w:cs="Arial"/>
          <w:sz w:val="21"/>
          <w:szCs w:val="21"/>
        </w:rPr>
      </w:pPr>
      <w:r w:rsidRPr="00816E57">
        <w:rPr>
          <w:rFonts w:ascii="Arial" w:hAnsi="Arial" w:cs="Arial"/>
          <w:b/>
          <w:sz w:val="21"/>
          <w:szCs w:val="21"/>
        </w:rPr>
        <w:t>AROP</w:t>
      </w:r>
      <w:r w:rsidRPr="00816E57">
        <w:rPr>
          <w:rFonts w:ascii="Arial" w:hAnsi="Arial" w:cs="Arial"/>
          <w:sz w:val="21"/>
          <w:szCs w:val="21"/>
        </w:rPr>
        <w:t xml:space="preserve"> – at risk of poverty</w:t>
      </w:r>
    </w:p>
    <w:p w14:paraId="661794CD" w14:textId="77777777" w:rsidR="00BF3E9A" w:rsidRPr="00816E57" w:rsidRDefault="00BF3E9A" w:rsidP="00816E57">
      <w:pPr>
        <w:spacing w:line="360" w:lineRule="auto"/>
        <w:rPr>
          <w:rFonts w:ascii="Arial" w:hAnsi="Arial" w:cs="Arial"/>
          <w:sz w:val="21"/>
          <w:szCs w:val="21"/>
        </w:rPr>
      </w:pPr>
      <w:r w:rsidRPr="00816E57">
        <w:rPr>
          <w:rFonts w:ascii="Arial" w:hAnsi="Arial" w:cs="Arial"/>
          <w:b/>
          <w:sz w:val="21"/>
          <w:szCs w:val="21"/>
        </w:rPr>
        <w:t>ARR</w:t>
      </w:r>
      <w:r w:rsidRPr="00816E57">
        <w:rPr>
          <w:rFonts w:ascii="Arial" w:hAnsi="Arial" w:cs="Arial"/>
          <w:sz w:val="21"/>
          <w:szCs w:val="21"/>
        </w:rPr>
        <w:t xml:space="preserve"> – </w:t>
      </w:r>
      <w:r w:rsidR="00585885">
        <w:rPr>
          <w:rFonts w:ascii="Arial" w:hAnsi="Arial" w:cs="Arial"/>
          <w:sz w:val="21"/>
          <w:szCs w:val="21"/>
        </w:rPr>
        <w:t xml:space="preserve"> </w:t>
      </w:r>
      <w:r w:rsidR="00605D60">
        <w:rPr>
          <w:rFonts w:ascii="Arial" w:hAnsi="Arial" w:cs="Arial"/>
          <w:sz w:val="21"/>
          <w:szCs w:val="21"/>
        </w:rPr>
        <w:t>a</w:t>
      </w:r>
      <w:r w:rsidRPr="00816E57">
        <w:rPr>
          <w:rFonts w:ascii="Arial" w:hAnsi="Arial" w:cs="Arial"/>
          <w:sz w:val="21"/>
          <w:szCs w:val="21"/>
        </w:rPr>
        <w:t>ggregate Replacement Rate</w:t>
      </w:r>
    </w:p>
    <w:p w14:paraId="31B4702A" w14:textId="77777777" w:rsidR="00800B89" w:rsidRPr="00816E57" w:rsidRDefault="00800B89" w:rsidP="00816E57">
      <w:pPr>
        <w:spacing w:line="360" w:lineRule="auto"/>
        <w:rPr>
          <w:rFonts w:ascii="Arial" w:hAnsi="Arial" w:cs="Arial"/>
          <w:sz w:val="21"/>
          <w:szCs w:val="21"/>
        </w:rPr>
      </w:pPr>
      <w:r w:rsidRPr="00816E57">
        <w:rPr>
          <w:rFonts w:ascii="Arial" w:hAnsi="Arial" w:cs="Arial"/>
          <w:b/>
          <w:sz w:val="21"/>
          <w:szCs w:val="21"/>
        </w:rPr>
        <w:t>AWG</w:t>
      </w:r>
      <w:r w:rsidRPr="00816E57">
        <w:rPr>
          <w:rFonts w:ascii="Arial" w:hAnsi="Arial" w:cs="Arial"/>
          <w:sz w:val="21"/>
          <w:szCs w:val="21"/>
        </w:rPr>
        <w:t xml:space="preserve"> – Aging Working Group </w:t>
      </w:r>
    </w:p>
    <w:p w14:paraId="723FC01D" w14:textId="77777777" w:rsidR="00884145" w:rsidRPr="00816E57" w:rsidRDefault="00884145" w:rsidP="00816E57">
      <w:pPr>
        <w:spacing w:line="360" w:lineRule="auto"/>
        <w:rPr>
          <w:rFonts w:ascii="Arial" w:hAnsi="Arial" w:cs="Arial"/>
          <w:sz w:val="21"/>
          <w:szCs w:val="21"/>
        </w:rPr>
      </w:pPr>
      <w:r w:rsidRPr="00816E57">
        <w:rPr>
          <w:rFonts w:ascii="Arial" w:hAnsi="Arial" w:cs="Arial"/>
          <w:b/>
          <w:sz w:val="21"/>
          <w:szCs w:val="21"/>
        </w:rPr>
        <w:t>DC</w:t>
      </w:r>
      <w:r w:rsidRPr="00816E57">
        <w:rPr>
          <w:rFonts w:ascii="Arial" w:hAnsi="Arial" w:cs="Arial"/>
          <w:sz w:val="21"/>
          <w:szCs w:val="21"/>
        </w:rPr>
        <w:t xml:space="preserve"> – Defined Contribution</w:t>
      </w:r>
    </w:p>
    <w:p w14:paraId="12BA15F8" w14:textId="77777777" w:rsidR="00800B89" w:rsidRPr="00816E57" w:rsidRDefault="00800B89" w:rsidP="00816E57">
      <w:pPr>
        <w:spacing w:line="360" w:lineRule="auto"/>
        <w:rPr>
          <w:rFonts w:ascii="Arial" w:hAnsi="Arial" w:cs="Arial"/>
          <w:sz w:val="21"/>
          <w:szCs w:val="21"/>
        </w:rPr>
      </w:pPr>
      <w:r w:rsidRPr="00816E57">
        <w:rPr>
          <w:rFonts w:ascii="Arial" w:hAnsi="Arial" w:cs="Arial"/>
          <w:b/>
          <w:sz w:val="21"/>
          <w:szCs w:val="21"/>
        </w:rPr>
        <w:t>DG ECFIN</w:t>
      </w:r>
      <w:r w:rsidRPr="00816E57">
        <w:rPr>
          <w:rFonts w:ascii="Arial" w:hAnsi="Arial" w:cs="Arial"/>
          <w:sz w:val="21"/>
          <w:szCs w:val="21"/>
        </w:rPr>
        <w:t xml:space="preserve"> – Directorate General for Economic and Financial Affairs</w:t>
      </w:r>
    </w:p>
    <w:p w14:paraId="07E98145" w14:textId="77777777" w:rsidR="00915BA5" w:rsidRPr="00816E57" w:rsidRDefault="00915BA5" w:rsidP="00816E57">
      <w:pPr>
        <w:spacing w:line="360" w:lineRule="auto"/>
        <w:rPr>
          <w:rFonts w:ascii="Arial" w:hAnsi="Arial" w:cs="Arial"/>
          <w:sz w:val="21"/>
          <w:szCs w:val="21"/>
        </w:rPr>
      </w:pPr>
      <w:r w:rsidRPr="00816E57">
        <w:rPr>
          <w:rFonts w:ascii="Arial" w:hAnsi="Arial" w:cs="Arial"/>
          <w:b/>
          <w:sz w:val="21"/>
          <w:szCs w:val="21"/>
        </w:rPr>
        <w:t>EC</w:t>
      </w:r>
      <w:r w:rsidRPr="00816E57">
        <w:rPr>
          <w:rFonts w:ascii="Arial" w:hAnsi="Arial" w:cs="Arial"/>
          <w:sz w:val="21"/>
          <w:szCs w:val="21"/>
        </w:rPr>
        <w:t xml:space="preserve"> – European Commission</w:t>
      </w:r>
    </w:p>
    <w:p w14:paraId="2410F40F" w14:textId="77777777" w:rsidR="00571291" w:rsidRPr="00816E57" w:rsidRDefault="00571291" w:rsidP="00816E57">
      <w:pPr>
        <w:spacing w:line="360" w:lineRule="auto"/>
        <w:rPr>
          <w:rFonts w:ascii="Arial" w:hAnsi="Arial" w:cs="Arial"/>
          <w:sz w:val="21"/>
          <w:szCs w:val="21"/>
        </w:rPr>
      </w:pPr>
      <w:r w:rsidRPr="00816E57">
        <w:rPr>
          <w:rFonts w:ascii="Arial" w:hAnsi="Arial" w:cs="Arial"/>
          <w:b/>
          <w:sz w:val="21"/>
          <w:szCs w:val="21"/>
        </w:rPr>
        <w:t>EPC</w:t>
      </w:r>
      <w:r w:rsidRPr="00816E57">
        <w:rPr>
          <w:rFonts w:ascii="Arial" w:hAnsi="Arial" w:cs="Arial"/>
          <w:sz w:val="21"/>
          <w:szCs w:val="21"/>
        </w:rPr>
        <w:t xml:space="preserve"> – Economic Policy Committee</w:t>
      </w:r>
    </w:p>
    <w:p w14:paraId="396F9B92" w14:textId="77777777" w:rsidR="001D6396" w:rsidRPr="00816E57" w:rsidRDefault="001D6396" w:rsidP="00816E57">
      <w:pPr>
        <w:spacing w:line="360" w:lineRule="auto"/>
        <w:rPr>
          <w:rFonts w:ascii="Arial" w:hAnsi="Arial" w:cs="Arial"/>
          <w:sz w:val="21"/>
          <w:szCs w:val="21"/>
        </w:rPr>
      </w:pPr>
      <w:r w:rsidRPr="00816E57">
        <w:rPr>
          <w:rFonts w:ascii="Arial" w:hAnsi="Arial" w:cs="Arial"/>
          <w:b/>
          <w:sz w:val="21"/>
          <w:szCs w:val="21"/>
        </w:rPr>
        <w:t>ESSPROS</w:t>
      </w:r>
      <w:r w:rsidRPr="00816E57">
        <w:rPr>
          <w:rFonts w:ascii="Arial" w:hAnsi="Arial" w:cs="Arial"/>
          <w:sz w:val="21"/>
          <w:szCs w:val="21"/>
        </w:rPr>
        <w:t xml:space="preserve"> – </w:t>
      </w:r>
      <w:r w:rsidRPr="00816E57">
        <w:rPr>
          <w:rStyle w:val="st"/>
          <w:rFonts w:ascii="Arial" w:hAnsi="Arial" w:cs="Arial"/>
          <w:sz w:val="21"/>
          <w:szCs w:val="21"/>
        </w:rPr>
        <w:t>European System of Integrated Social Protection Statistics</w:t>
      </w:r>
    </w:p>
    <w:p w14:paraId="09B00BC1" w14:textId="77777777" w:rsidR="00571291" w:rsidRPr="00816E57" w:rsidRDefault="00571291" w:rsidP="00816E57">
      <w:pPr>
        <w:spacing w:line="360" w:lineRule="auto"/>
        <w:rPr>
          <w:rFonts w:ascii="Arial" w:hAnsi="Arial" w:cs="Arial"/>
          <w:sz w:val="21"/>
          <w:szCs w:val="21"/>
        </w:rPr>
      </w:pPr>
      <w:r w:rsidRPr="00816E57">
        <w:rPr>
          <w:rFonts w:ascii="Arial" w:hAnsi="Arial" w:cs="Arial"/>
          <w:b/>
          <w:sz w:val="21"/>
          <w:szCs w:val="21"/>
        </w:rPr>
        <w:t>EU</w:t>
      </w:r>
      <w:r w:rsidRPr="00816E57">
        <w:rPr>
          <w:rFonts w:ascii="Arial" w:hAnsi="Arial" w:cs="Arial"/>
          <w:sz w:val="21"/>
          <w:szCs w:val="21"/>
        </w:rPr>
        <w:t xml:space="preserve"> – European Union</w:t>
      </w:r>
    </w:p>
    <w:p w14:paraId="41BFAB2D" w14:textId="77777777" w:rsidR="004E40CF" w:rsidRPr="00816E57" w:rsidRDefault="004E40CF" w:rsidP="00816E57">
      <w:pPr>
        <w:spacing w:line="360" w:lineRule="auto"/>
        <w:rPr>
          <w:rFonts w:ascii="Arial" w:hAnsi="Arial" w:cs="Arial"/>
          <w:sz w:val="21"/>
          <w:szCs w:val="21"/>
        </w:rPr>
      </w:pPr>
      <w:r w:rsidRPr="00816E57">
        <w:rPr>
          <w:rFonts w:ascii="Arial" w:hAnsi="Arial" w:cs="Arial"/>
          <w:b/>
          <w:color w:val="000000" w:themeColor="text1"/>
          <w:sz w:val="21"/>
          <w:szCs w:val="21"/>
        </w:rPr>
        <w:t>GDP</w:t>
      </w:r>
      <w:r w:rsidRPr="00816E57">
        <w:rPr>
          <w:rFonts w:ascii="Arial" w:hAnsi="Arial" w:cs="Arial"/>
          <w:color w:val="000000" w:themeColor="text1"/>
          <w:sz w:val="21"/>
          <w:szCs w:val="21"/>
        </w:rPr>
        <w:t xml:space="preserve"> – Gross Domestic Product</w:t>
      </w:r>
    </w:p>
    <w:p w14:paraId="7116C2CC" w14:textId="77777777" w:rsidR="00FE16CE" w:rsidRPr="00816E57" w:rsidRDefault="00FE16CE" w:rsidP="00816E57">
      <w:pPr>
        <w:spacing w:line="360" w:lineRule="auto"/>
        <w:rPr>
          <w:rFonts w:ascii="Arial" w:hAnsi="Arial" w:cs="Arial"/>
          <w:sz w:val="21"/>
          <w:szCs w:val="21"/>
        </w:rPr>
      </w:pPr>
      <w:r w:rsidRPr="00816E57">
        <w:rPr>
          <w:rFonts w:ascii="Arial" w:hAnsi="Arial" w:cs="Arial"/>
          <w:b/>
          <w:sz w:val="21"/>
          <w:szCs w:val="21"/>
        </w:rPr>
        <w:t>ILO</w:t>
      </w:r>
      <w:r w:rsidRPr="00816E57">
        <w:rPr>
          <w:rFonts w:ascii="Arial" w:hAnsi="Arial" w:cs="Arial"/>
          <w:sz w:val="21"/>
          <w:szCs w:val="21"/>
        </w:rPr>
        <w:t xml:space="preserve"> – International Labor Organization </w:t>
      </w:r>
    </w:p>
    <w:p w14:paraId="113C0A11" w14:textId="77777777" w:rsidR="00F02E91" w:rsidRPr="00816E57" w:rsidRDefault="00F02E91" w:rsidP="00816E57">
      <w:pPr>
        <w:spacing w:line="360" w:lineRule="auto"/>
        <w:rPr>
          <w:rFonts w:ascii="Arial" w:hAnsi="Arial" w:cs="Arial"/>
          <w:sz w:val="21"/>
          <w:szCs w:val="21"/>
        </w:rPr>
      </w:pPr>
      <w:r w:rsidRPr="00816E57">
        <w:rPr>
          <w:rFonts w:ascii="Arial" w:hAnsi="Arial" w:cs="Arial"/>
          <w:b/>
          <w:sz w:val="21"/>
          <w:szCs w:val="21"/>
        </w:rPr>
        <w:t>ISG</w:t>
      </w:r>
      <w:r w:rsidRPr="00816E57">
        <w:rPr>
          <w:rFonts w:ascii="Arial" w:hAnsi="Arial" w:cs="Arial"/>
          <w:sz w:val="21"/>
          <w:szCs w:val="21"/>
        </w:rPr>
        <w:t xml:space="preserve"> – Indicators Sub-Group</w:t>
      </w:r>
    </w:p>
    <w:p w14:paraId="475AEEB0" w14:textId="77777777" w:rsidR="009973AC" w:rsidRPr="00816E57" w:rsidRDefault="009973AC" w:rsidP="00816E57">
      <w:pPr>
        <w:spacing w:line="360" w:lineRule="auto"/>
        <w:rPr>
          <w:rFonts w:ascii="Arial" w:hAnsi="Arial" w:cs="Arial"/>
          <w:sz w:val="21"/>
          <w:szCs w:val="21"/>
        </w:rPr>
      </w:pPr>
      <w:r w:rsidRPr="00816E57">
        <w:rPr>
          <w:rFonts w:ascii="Arial" w:hAnsi="Arial" w:cs="Arial"/>
          <w:b/>
          <w:sz w:val="21"/>
          <w:szCs w:val="21"/>
        </w:rPr>
        <w:t>LFS</w:t>
      </w:r>
      <w:r w:rsidRPr="00816E57">
        <w:rPr>
          <w:rFonts w:ascii="Arial" w:hAnsi="Arial" w:cs="Arial"/>
          <w:sz w:val="21"/>
          <w:szCs w:val="21"/>
        </w:rPr>
        <w:t xml:space="preserve"> – Labor Force Survey</w:t>
      </w:r>
    </w:p>
    <w:p w14:paraId="0683BED7" w14:textId="77777777" w:rsidR="004E40CF" w:rsidRPr="00816E57" w:rsidRDefault="004E40CF" w:rsidP="00816E57">
      <w:pPr>
        <w:spacing w:line="360" w:lineRule="auto"/>
        <w:rPr>
          <w:rFonts w:ascii="Arial" w:hAnsi="Arial" w:cs="Arial"/>
          <w:color w:val="000000" w:themeColor="text1"/>
          <w:sz w:val="21"/>
          <w:szCs w:val="21"/>
        </w:rPr>
      </w:pPr>
      <w:r w:rsidRPr="00816E57">
        <w:rPr>
          <w:rFonts w:ascii="Arial" w:hAnsi="Arial" w:cs="Arial"/>
          <w:b/>
          <w:color w:val="000000" w:themeColor="text1"/>
          <w:sz w:val="21"/>
          <w:szCs w:val="21"/>
        </w:rPr>
        <w:t>NRP</w:t>
      </w:r>
      <w:r w:rsidRPr="00816E57">
        <w:rPr>
          <w:rFonts w:ascii="Arial" w:hAnsi="Arial" w:cs="Arial"/>
          <w:color w:val="000000" w:themeColor="text1"/>
          <w:sz w:val="21"/>
          <w:szCs w:val="21"/>
        </w:rPr>
        <w:t xml:space="preserve"> – National Reform Programmes </w:t>
      </w:r>
    </w:p>
    <w:p w14:paraId="073CFCF9" w14:textId="77777777" w:rsidR="00571291" w:rsidRPr="00816E57" w:rsidRDefault="00571291" w:rsidP="00816E57">
      <w:pPr>
        <w:spacing w:line="360" w:lineRule="auto"/>
        <w:rPr>
          <w:rFonts w:ascii="Arial" w:hAnsi="Arial" w:cs="Arial"/>
          <w:sz w:val="21"/>
          <w:szCs w:val="21"/>
        </w:rPr>
      </w:pPr>
      <w:r w:rsidRPr="00816E57">
        <w:rPr>
          <w:rFonts w:ascii="Arial" w:hAnsi="Arial" w:cs="Arial"/>
          <w:b/>
          <w:sz w:val="21"/>
          <w:szCs w:val="21"/>
        </w:rPr>
        <w:t>NSR</w:t>
      </w:r>
      <w:r w:rsidRPr="00816E57">
        <w:rPr>
          <w:rFonts w:ascii="Arial" w:hAnsi="Arial" w:cs="Arial"/>
          <w:sz w:val="21"/>
          <w:szCs w:val="21"/>
        </w:rPr>
        <w:t xml:space="preserve"> – National Strategy Reports </w:t>
      </w:r>
    </w:p>
    <w:p w14:paraId="49C19F25" w14:textId="77777777" w:rsidR="00FE16CE" w:rsidRPr="00816E57" w:rsidRDefault="00FE16CE" w:rsidP="00816E57">
      <w:pPr>
        <w:spacing w:line="360" w:lineRule="auto"/>
        <w:rPr>
          <w:rFonts w:ascii="Arial" w:hAnsi="Arial" w:cs="Arial"/>
          <w:sz w:val="21"/>
          <w:szCs w:val="21"/>
        </w:rPr>
      </w:pPr>
      <w:r w:rsidRPr="00816E57">
        <w:rPr>
          <w:rFonts w:ascii="Arial" w:hAnsi="Arial" w:cs="Arial"/>
          <w:b/>
          <w:sz w:val="21"/>
          <w:szCs w:val="21"/>
        </w:rPr>
        <w:t>OECD</w:t>
      </w:r>
      <w:r w:rsidRPr="00816E57">
        <w:rPr>
          <w:rFonts w:ascii="Arial" w:hAnsi="Arial" w:cs="Arial"/>
          <w:sz w:val="21"/>
          <w:szCs w:val="21"/>
        </w:rPr>
        <w:t xml:space="preserve"> – </w:t>
      </w:r>
      <w:r w:rsidR="008E0F51" w:rsidRPr="00816E57">
        <w:rPr>
          <w:rFonts w:ascii="Arial" w:hAnsi="Arial" w:cs="Arial"/>
          <w:sz w:val="21"/>
          <w:szCs w:val="21"/>
        </w:rPr>
        <w:t>Organization</w:t>
      </w:r>
      <w:r w:rsidRPr="00816E57">
        <w:rPr>
          <w:rFonts w:ascii="Arial" w:hAnsi="Arial" w:cs="Arial"/>
          <w:sz w:val="21"/>
          <w:szCs w:val="21"/>
        </w:rPr>
        <w:t xml:space="preserve"> for Economic Co-operation and Development</w:t>
      </w:r>
    </w:p>
    <w:p w14:paraId="24031B3F" w14:textId="77777777" w:rsidR="00915BA5" w:rsidRPr="00816E57" w:rsidRDefault="00915BA5" w:rsidP="00816E57">
      <w:pPr>
        <w:spacing w:line="360" w:lineRule="auto"/>
        <w:rPr>
          <w:rStyle w:val="st"/>
        </w:rPr>
      </w:pPr>
      <w:r w:rsidRPr="00816E57">
        <w:rPr>
          <w:rFonts w:ascii="Arial" w:hAnsi="Arial" w:cs="Arial"/>
          <w:b/>
          <w:sz w:val="21"/>
          <w:szCs w:val="21"/>
        </w:rPr>
        <w:t>OMC</w:t>
      </w:r>
      <w:r w:rsidRPr="00816E57">
        <w:rPr>
          <w:rFonts w:ascii="Arial" w:hAnsi="Arial" w:cs="Arial"/>
          <w:sz w:val="21"/>
          <w:szCs w:val="21"/>
        </w:rPr>
        <w:t xml:space="preserve"> – </w:t>
      </w:r>
      <w:r w:rsidRPr="00816E57">
        <w:rPr>
          <w:rStyle w:val="st"/>
          <w:rFonts w:ascii="Arial" w:hAnsi="Arial" w:cs="Arial"/>
          <w:sz w:val="21"/>
          <w:szCs w:val="21"/>
        </w:rPr>
        <w:t xml:space="preserve">Open Method of Co-Ordination </w:t>
      </w:r>
    </w:p>
    <w:p w14:paraId="2638FA55" w14:textId="77777777" w:rsidR="00605D60" w:rsidRDefault="00A84EF2" w:rsidP="00816E57">
      <w:pPr>
        <w:spacing w:line="360" w:lineRule="auto"/>
        <w:rPr>
          <w:rFonts w:ascii="Arial" w:hAnsi="Arial" w:cs="Arial"/>
          <w:sz w:val="21"/>
          <w:szCs w:val="21"/>
        </w:rPr>
      </w:pPr>
      <w:r w:rsidRPr="00816E57">
        <w:rPr>
          <w:rFonts w:ascii="Arial" w:hAnsi="Arial" w:cs="Arial"/>
          <w:b/>
          <w:sz w:val="21"/>
          <w:szCs w:val="21"/>
        </w:rPr>
        <w:t>PIO</w:t>
      </w:r>
      <w:r w:rsidRPr="00816E57">
        <w:rPr>
          <w:rFonts w:ascii="Arial" w:hAnsi="Arial" w:cs="Arial"/>
          <w:sz w:val="21"/>
          <w:szCs w:val="21"/>
        </w:rPr>
        <w:t xml:space="preserve"> </w:t>
      </w:r>
      <w:r w:rsidRPr="00816E57">
        <w:rPr>
          <w:rFonts w:ascii="Arial" w:hAnsi="Arial" w:cs="Arial"/>
          <w:b/>
          <w:sz w:val="21"/>
          <w:szCs w:val="21"/>
        </w:rPr>
        <w:t>fund</w:t>
      </w:r>
      <w:r w:rsidR="00605D60">
        <w:rPr>
          <w:rFonts w:ascii="Arial" w:hAnsi="Arial" w:cs="Arial"/>
          <w:sz w:val="21"/>
          <w:szCs w:val="21"/>
        </w:rPr>
        <w:t xml:space="preserve"> – Republic of Serbia</w:t>
      </w:r>
      <w:r w:rsidRPr="00816E57">
        <w:rPr>
          <w:rFonts w:ascii="Arial" w:hAnsi="Arial" w:cs="Arial"/>
          <w:sz w:val="21"/>
          <w:szCs w:val="21"/>
        </w:rPr>
        <w:t xml:space="preserve"> Pension</w:t>
      </w:r>
      <w:r w:rsidR="00605D60">
        <w:rPr>
          <w:rFonts w:ascii="Arial" w:hAnsi="Arial" w:cs="Arial"/>
          <w:sz w:val="21"/>
          <w:szCs w:val="21"/>
        </w:rPr>
        <w:t xml:space="preserve"> and Disabled Person Insurance </w:t>
      </w:r>
    </w:p>
    <w:p w14:paraId="72E85C6D" w14:textId="77777777" w:rsidR="00022785" w:rsidRPr="00816E57" w:rsidRDefault="00022785" w:rsidP="00816E57">
      <w:pPr>
        <w:spacing w:line="360" w:lineRule="auto"/>
        <w:rPr>
          <w:rFonts w:ascii="Arial" w:hAnsi="Arial" w:cs="Arial"/>
          <w:sz w:val="21"/>
          <w:szCs w:val="21"/>
        </w:rPr>
      </w:pPr>
      <w:r w:rsidRPr="00816E57">
        <w:rPr>
          <w:rFonts w:ascii="Arial" w:hAnsi="Arial" w:cs="Arial"/>
          <w:b/>
          <w:sz w:val="21"/>
          <w:szCs w:val="21"/>
        </w:rPr>
        <w:t>RMI</w:t>
      </w:r>
      <w:r w:rsidRPr="00816E57">
        <w:rPr>
          <w:rFonts w:ascii="Arial" w:hAnsi="Arial" w:cs="Arial"/>
          <w:sz w:val="21"/>
          <w:szCs w:val="21"/>
        </w:rPr>
        <w:t xml:space="preserve"> </w:t>
      </w:r>
      <w:r w:rsidR="00605D60">
        <w:rPr>
          <w:rFonts w:ascii="Arial" w:hAnsi="Arial" w:cs="Arial"/>
          <w:b/>
          <w:sz w:val="21"/>
          <w:szCs w:val="21"/>
        </w:rPr>
        <w:t>-</w:t>
      </w:r>
      <w:r w:rsidRPr="00816E57">
        <w:rPr>
          <w:rFonts w:ascii="Arial" w:hAnsi="Arial" w:cs="Arial"/>
          <w:sz w:val="21"/>
          <w:szCs w:val="21"/>
        </w:rPr>
        <w:t xml:space="preserve"> Relative Median Income </w:t>
      </w:r>
    </w:p>
    <w:p w14:paraId="572EC1B9" w14:textId="77777777" w:rsidR="00884145" w:rsidRPr="00816E57" w:rsidRDefault="00884145" w:rsidP="00816E57">
      <w:pPr>
        <w:spacing w:line="360" w:lineRule="auto"/>
        <w:rPr>
          <w:rFonts w:ascii="Arial" w:hAnsi="Arial" w:cs="Arial"/>
          <w:b/>
          <w:sz w:val="21"/>
          <w:szCs w:val="21"/>
        </w:rPr>
      </w:pPr>
      <w:r w:rsidRPr="00816E57">
        <w:rPr>
          <w:rFonts w:ascii="Arial" w:hAnsi="Arial" w:cs="Arial"/>
          <w:b/>
          <w:sz w:val="21"/>
          <w:szCs w:val="21"/>
        </w:rPr>
        <w:t xml:space="preserve">SDGs </w:t>
      </w:r>
      <w:r w:rsidRPr="00816E57">
        <w:rPr>
          <w:rFonts w:ascii="Arial" w:hAnsi="Arial" w:cs="Arial"/>
          <w:sz w:val="21"/>
          <w:szCs w:val="21"/>
        </w:rPr>
        <w:t>– United Nations Sustainable development goals</w:t>
      </w:r>
    </w:p>
    <w:p w14:paraId="37CAC76D" w14:textId="77777777" w:rsidR="00DB519E" w:rsidRPr="00816E57" w:rsidRDefault="00DB519E" w:rsidP="00816E57">
      <w:pPr>
        <w:spacing w:line="360" w:lineRule="auto"/>
        <w:rPr>
          <w:rFonts w:ascii="Arial" w:hAnsi="Arial" w:cs="Arial"/>
          <w:sz w:val="21"/>
          <w:szCs w:val="21"/>
        </w:rPr>
      </w:pPr>
      <w:r w:rsidRPr="00816E57">
        <w:rPr>
          <w:rFonts w:ascii="Arial" w:hAnsi="Arial" w:cs="Arial"/>
          <w:b/>
          <w:sz w:val="21"/>
          <w:szCs w:val="21"/>
        </w:rPr>
        <w:t>SDI</w:t>
      </w:r>
      <w:r w:rsidRPr="00816E57">
        <w:rPr>
          <w:rFonts w:ascii="Arial" w:hAnsi="Arial" w:cs="Arial"/>
          <w:sz w:val="21"/>
          <w:szCs w:val="21"/>
        </w:rPr>
        <w:t xml:space="preserve"> – Sustainable Development Indicators</w:t>
      </w:r>
    </w:p>
    <w:p w14:paraId="795165AE" w14:textId="77777777" w:rsidR="004E40CF" w:rsidRPr="00816E57" w:rsidRDefault="004E40CF" w:rsidP="00816E57">
      <w:pPr>
        <w:spacing w:line="360" w:lineRule="auto"/>
        <w:rPr>
          <w:rFonts w:ascii="Arial" w:hAnsi="Arial" w:cs="Arial"/>
          <w:sz w:val="21"/>
          <w:szCs w:val="21"/>
        </w:rPr>
      </w:pPr>
      <w:r w:rsidRPr="00816E57">
        <w:rPr>
          <w:rFonts w:ascii="Arial" w:hAnsi="Arial" w:cs="Arial"/>
          <w:b/>
          <w:sz w:val="21"/>
          <w:szCs w:val="21"/>
        </w:rPr>
        <w:t>SILC</w:t>
      </w:r>
      <w:r w:rsidRPr="00816E57">
        <w:rPr>
          <w:rFonts w:ascii="Arial" w:hAnsi="Arial" w:cs="Arial"/>
          <w:sz w:val="21"/>
          <w:szCs w:val="21"/>
        </w:rPr>
        <w:t xml:space="preserve"> – </w:t>
      </w:r>
      <w:r w:rsidRPr="00830768">
        <w:rPr>
          <w:rFonts w:ascii="Arial" w:hAnsi="Arial" w:cs="Arial"/>
          <w:iCs/>
          <w:sz w:val="21"/>
          <w:szCs w:val="21"/>
        </w:rPr>
        <w:t>Statistics</w:t>
      </w:r>
      <w:r w:rsidRPr="00830768">
        <w:rPr>
          <w:rFonts w:ascii="Arial" w:hAnsi="Arial" w:cs="Arial"/>
          <w:sz w:val="21"/>
          <w:szCs w:val="21"/>
        </w:rPr>
        <w:t xml:space="preserve"> on Income and </w:t>
      </w:r>
      <w:r w:rsidRPr="00830768">
        <w:rPr>
          <w:rFonts w:ascii="Arial" w:hAnsi="Arial" w:cs="Arial"/>
          <w:iCs/>
          <w:sz w:val="21"/>
          <w:szCs w:val="21"/>
        </w:rPr>
        <w:t>Living</w:t>
      </w:r>
      <w:r w:rsidRPr="00830768">
        <w:rPr>
          <w:rFonts w:ascii="Arial" w:hAnsi="Arial" w:cs="Arial"/>
          <w:sz w:val="21"/>
          <w:szCs w:val="21"/>
        </w:rPr>
        <w:t xml:space="preserve"> Conditions</w:t>
      </w:r>
    </w:p>
    <w:p w14:paraId="42B6B02F" w14:textId="77777777" w:rsidR="00915BA5" w:rsidRPr="00816E57" w:rsidRDefault="00915BA5" w:rsidP="00816E57">
      <w:pPr>
        <w:spacing w:line="360" w:lineRule="auto"/>
        <w:rPr>
          <w:rFonts w:ascii="Arial" w:hAnsi="Arial" w:cs="Arial"/>
          <w:sz w:val="21"/>
          <w:szCs w:val="21"/>
        </w:rPr>
      </w:pPr>
      <w:r w:rsidRPr="00816E57">
        <w:rPr>
          <w:rFonts w:ascii="Arial" w:hAnsi="Arial" w:cs="Arial"/>
          <w:b/>
          <w:sz w:val="21"/>
          <w:szCs w:val="21"/>
        </w:rPr>
        <w:t>SPC</w:t>
      </w:r>
      <w:r w:rsidRPr="00816E57">
        <w:rPr>
          <w:rFonts w:ascii="Arial" w:hAnsi="Arial" w:cs="Arial"/>
          <w:sz w:val="21"/>
          <w:szCs w:val="21"/>
        </w:rPr>
        <w:t xml:space="preserve"> – Social Protection Committee</w:t>
      </w:r>
    </w:p>
    <w:p w14:paraId="7591CB2B" w14:textId="77777777" w:rsidR="00F02E91" w:rsidRPr="00A3518B" w:rsidRDefault="00F02E91" w:rsidP="00A3518B">
      <w:pPr>
        <w:spacing w:line="360" w:lineRule="auto"/>
        <w:rPr>
          <w:rFonts w:ascii="Arial" w:hAnsi="Arial" w:cs="Arial"/>
          <w:b/>
          <w:sz w:val="21"/>
          <w:szCs w:val="21"/>
        </w:rPr>
      </w:pPr>
      <w:r w:rsidRPr="00816E57">
        <w:rPr>
          <w:rFonts w:ascii="Arial" w:hAnsi="Arial" w:cs="Arial"/>
          <w:b/>
          <w:sz w:val="21"/>
          <w:szCs w:val="21"/>
        </w:rPr>
        <w:t xml:space="preserve">SPPM </w:t>
      </w:r>
      <w:r w:rsidRPr="00A3518B">
        <w:rPr>
          <w:rFonts w:ascii="Arial" w:hAnsi="Arial" w:cs="Arial"/>
          <w:sz w:val="21"/>
          <w:szCs w:val="21"/>
        </w:rPr>
        <w:t>– Social Protection Performance Monitor</w:t>
      </w:r>
      <w:r w:rsidRPr="00816E57">
        <w:rPr>
          <w:rFonts w:ascii="Arial" w:hAnsi="Arial" w:cs="Arial"/>
          <w:b/>
          <w:sz w:val="21"/>
          <w:szCs w:val="21"/>
        </w:rPr>
        <w:t xml:space="preserve"> </w:t>
      </w:r>
    </w:p>
    <w:p w14:paraId="752C377D" w14:textId="77777777" w:rsidR="00A3518B" w:rsidRPr="00101B57" w:rsidRDefault="00A3518B" w:rsidP="00A3518B">
      <w:pPr>
        <w:spacing w:line="360" w:lineRule="auto"/>
        <w:rPr>
          <w:rFonts w:ascii="Calibri" w:hAnsi="Calibri"/>
          <w:sz w:val="22"/>
        </w:rPr>
      </w:pPr>
      <w:r w:rsidRPr="00101B57">
        <w:rPr>
          <w:rFonts w:ascii="Arial" w:hAnsi="Arial" w:cs="Arial"/>
          <w:b/>
          <w:sz w:val="22"/>
          <w:szCs w:val="21"/>
        </w:rPr>
        <w:t xml:space="preserve">SPSI </w:t>
      </w:r>
      <w:r w:rsidR="00101B57" w:rsidRPr="00101B57">
        <w:rPr>
          <w:rFonts w:ascii="Arial" w:hAnsi="Arial" w:cs="Arial"/>
          <w:sz w:val="22"/>
          <w:szCs w:val="21"/>
        </w:rPr>
        <w:t xml:space="preserve">– </w:t>
      </w:r>
      <w:r w:rsidRPr="00101B57">
        <w:rPr>
          <w:rFonts w:ascii="Calibri" w:hAnsi="Calibri"/>
          <w:sz w:val="22"/>
        </w:rPr>
        <w:t xml:space="preserve">Social </w:t>
      </w:r>
      <w:r w:rsidR="00101B57" w:rsidRPr="00101B57">
        <w:rPr>
          <w:rFonts w:ascii="Calibri" w:hAnsi="Calibri"/>
          <w:sz w:val="22"/>
        </w:rPr>
        <w:t>Protection and Social Inclusion</w:t>
      </w:r>
    </w:p>
    <w:p w14:paraId="3C59B4D1" w14:textId="77777777" w:rsidR="00FE16CE" w:rsidRPr="00816E57" w:rsidRDefault="00FE16CE" w:rsidP="00A3518B">
      <w:pPr>
        <w:spacing w:line="360" w:lineRule="auto"/>
        <w:rPr>
          <w:rFonts w:ascii="Arial" w:hAnsi="Arial" w:cs="Arial"/>
          <w:sz w:val="21"/>
          <w:szCs w:val="21"/>
        </w:rPr>
      </w:pPr>
      <w:r w:rsidRPr="00816E57">
        <w:rPr>
          <w:rFonts w:ascii="Arial" w:hAnsi="Arial" w:cs="Arial"/>
          <w:b/>
          <w:sz w:val="21"/>
          <w:szCs w:val="21"/>
        </w:rPr>
        <w:t xml:space="preserve">TRR </w:t>
      </w:r>
      <w:r w:rsidR="00A3518B">
        <w:rPr>
          <w:rFonts w:ascii="Arial" w:hAnsi="Arial" w:cs="Arial"/>
          <w:sz w:val="21"/>
          <w:szCs w:val="21"/>
        </w:rPr>
        <w:t>– Theoretical Replacement Rate</w:t>
      </w:r>
      <w:r w:rsidRPr="00816E57">
        <w:rPr>
          <w:rFonts w:ascii="Arial" w:hAnsi="Arial" w:cs="Arial"/>
          <w:sz w:val="21"/>
          <w:szCs w:val="21"/>
        </w:rPr>
        <w:t xml:space="preserve"> </w:t>
      </w:r>
    </w:p>
    <w:p w14:paraId="587A79E2" w14:textId="77777777" w:rsidR="00884145" w:rsidRPr="00816E57" w:rsidRDefault="00884145" w:rsidP="00A3518B">
      <w:pPr>
        <w:spacing w:line="360" w:lineRule="auto"/>
        <w:rPr>
          <w:rFonts w:ascii="Arial" w:hAnsi="Arial" w:cs="Arial"/>
          <w:sz w:val="21"/>
          <w:szCs w:val="21"/>
        </w:rPr>
      </w:pPr>
      <w:r w:rsidRPr="00816E57">
        <w:rPr>
          <w:rFonts w:ascii="Arial" w:hAnsi="Arial" w:cs="Arial"/>
          <w:b/>
          <w:sz w:val="21"/>
          <w:szCs w:val="21"/>
        </w:rPr>
        <w:t>UN</w:t>
      </w:r>
      <w:r w:rsidRPr="00816E57">
        <w:rPr>
          <w:rFonts w:ascii="Arial" w:hAnsi="Arial" w:cs="Arial"/>
          <w:sz w:val="21"/>
          <w:szCs w:val="21"/>
        </w:rPr>
        <w:t xml:space="preserve"> – United Nations </w:t>
      </w:r>
    </w:p>
    <w:p w14:paraId="6DA2C9A3" w14:textId="77777777" w:rsidR="00F02E91" w:rsidRDefault="00F02E91" w:rsidP="00915BA5"/>
    <w:p w14:paraId="191E59B2" w14:textId="77777777" w:rsidR="00F02E91" w:rsidRDefault="00F02E91" w:rsidP="00915BA5"/>
    <w:p w14:paraId="3C63AF4C" w14:textId="77777777" w:rsidR="00583A6C" w:rsidRPr="003A5C62" w:rsidRDefault="00C338C1" w:rsidP="003A5C62">
      <w:pPr>
        <w:pStyle w:val="Heading1"/>
        <w:numPr>
          <w:ilvl w:val="0"/>
          <w:numId w:val="5"/>
        </w:numPr>
        <w:spacing w:before="0"/>
        <w:ind w:left="426" w:hanging="357"/>
        <w:rPr>
          <w:rFonts w:ascii="Arial" w:hAnsi="Arial"/>
          <w:color w:val="4F81BD" w:themeColor="accent1"/>
          <w:sz w:val="24"/>
          <w:szCs w:val="24"/>
        </w:rPr>
      </w:pPr>
      <w:r>
        <w:br w:type="page"/>
      </w:r>
      <w:bookmarkStart w:id="1" w:name="_Toc493760328"/>
      <w:r w:rsidRPr="003A5C62">
        <w:rPr>
          <w:rFonts w:ascii="Arial" w:hAnsi="Arial"/>
          <w:color w:val="4F81BD" w:themeColor="accent1"/>
          <w:sz w:val="24"/>
          <w:szCs w:val="24"/>
        </w:rPr>
        <w:lastRenderedPageBreak/>
        <w:t>INTRODUCTION</w:t>
      </w:r>
      <w:bookmarkEnd w:id="1"/>
      <w:r w:rsidRPr="003A5C62">
        <w:rPr>
          <w:rFonts w:ascii="Arial" w:hAnsi="Arial"/>
          <w:color w:val="4F81BD" w:themeColor="accent1"/>
          <w:sz w:val="24"/>
          <w:szCs w:val="24"/>
        </w:rPr>
        <w:t xml:space="preserve"> </w:t>
      </w:r>
    </w:p>
    <w:p w14:paraId="5748C1D6" w14:textId="77777777" w:rsidR="00583A6C" w:rsidRPr="006A4CE9" w:rsidRDefault="00583A6C" w:rsidP="005753CF">
      <w:pPr>
        <w:widowControl w:val="0"/>
        <w:autoSpaceDE w:val="0"/>
        <w:autoSpaceDN w:val="0"/>
        <w:adjustRightInd w:val="0"/>
        <w:spacing w:line="264" w:lineRule="auto"/>
        <w:rPr>
          <w:rFonts w:ascii="Cambria" w:hAnsi="Cambria" w:cs="Times New Roman"/>
          <w:sz w:val="22"/>
          <w:szCs w:val="22"/>
        </w:rPr>
      </w:pPr>
    </w:p>
    <w:p w14:paraId="1D4116AC" w14:textId="77777777" w:rsidR="00282349" w:rsidRPr="00282349" w:rsidRDefault="009068E4" w:rsidP="00B272E2">
      <w:pPr>
        <w:spacing w:after="240" w:line="360" w:lineRule="auto"/>
        <w:jc w:val="both"/>
        <w:rPr>
          <w:rFonts w:ascii="Arial" w:hAnsi="Arial" w:cs="Microsoft Sans Serif"/>
          <w:sz w:val="21"/>
          <w:szCs w:val="21"/>
          <w:lang w:val="en-GB"/>
        </w:rPr>
      </w:pPr>
      <w:r w:rsidRPr="00282349">
        <w:rPr>
          <w:rFonts w:ascii="Arial" w:hAnsi="Arial" w:cs="Microsoft Sans Serif"/>
          <w:sz w:val="21"/>
          <w:szCs w:val="21"/>
          <w:lang w:val="en-GB"/>
        </w:rPr>
        <w:t xml:space="preserve">As the pension system has multiple objectives, there </w:t>
      </w:r>
      <w:r w:rsidR="00F12944" w:rsidRPr="00282349">
        <w:rPr>
          <w:rFonts w:ascii="Arial" w:hAnsi="Arial" w:cs="Microsoft Sans Serif"/>
          <w:sz w:val="21"/>
          <w:szCs w:val="21"/>
          <w:lang w:val="en-GB"/>
        </w:rPr>
        <w:t>is</w:t>
      </w:r>
      <w:r w:rsidRPr="00282349">
        <w:rPr>
          <w:rFonts w:ascii="Arial" w:hAnsi="Arial" w:cs="Microsoft Sans Serif"/>
          <w:sz w:val="21"/>
          <w:szCs w:val="21"/>
          <w:lang w:val="en-GB"/>
        </w:rPr>
        <w:t xml:space="preserve"> a number of pension system indicators </w:t>
      </w:r>
      <w:r w:rsidR="00F12944" w:rsidRPr="00282349">
        <w:rPr>
          <w:rFonts w:ascii="Arial" w:hAnsi="Arial" w:cs="Microsoft Sans Serif"/>
          <w:sz w:val="21"/>
          <w:szCs w:val="21"/>
          <w:lang w:val="en-GB"/>
        </w:rPr>
        <w:t>that</w:t>
      </w:r>
      <w:r w:rsidRPr="00282349">
        <w:rPr>
          <w:rFonts w:ascii="Arial" w:hAnsi="Arial" w:cs="Microsoft Sans Serif"/>
          <w:sz w:val="21"/>
          <w:szCs w:val="21"/>
          <w:lang w:val="en-GB"/>
        </w:rPr>
        <w:t xml:space="preserve"> might be used to measure different characteristics of pension programs. Pension indicators are complementary and should be </w:t>
      </w:r>
      <w:r w:rsidR="00F12944" w:rsidRPr="00282349">
        <w:rPr>
          <w:rFonts w:ascii="Arial" w:hAnsi="Arial" w:cs="Microsoft Sans Serif"/>
          <w:sz w:val="21"/>
          <w:szCs w:val="21"/>
          <w:lang w:val="en-GB"/>
        </w:rPr>
        <w:t>considered</w:t>
      </w:r>
      <w:r w:rsidRPr="00282349">
        <w:rPr>
          <w:rFonts w:ascii="Arial" w:hAnsi="Arial" w:cs="Microsoft Sans Serif"/>
          <w:sz w:val="21"/>
          <w:szCs w:val="21"/>
          <w:lang w:val="en-GB"/>
        </w:rPr>
        <w:t xml:space="preserve"> together for a better understanding of any pension system</w:t>
      </w:r>
      <w:r w:rsidR="00D84F49">
        <w:rPr>
          <w:rFonts w:ascii="Arial" w:hAnsi="Arial" w:cs="Microsoft Sans Serif"/>
          <w:sz w:val="21"/>
          <w:szCs w:val="21"/>
          <w:lang w:val="en-GB"/>
        </w:rPr>
        <w:t xml:space="preserve"> </w:t>
      </w:r>
      <w:r w:rsidR="00D84F49" w:rsidRPr="00D84F49">
        <w:rPr>
          <w:rFonts w:ascii="Arial" w:hAnsi="Arial" w:cs="Microsoft Sans Serif"/>
          <w:sz w:val="21"/>
          <w:szCs w:val="21"/>
          <w:lang w:val="en-GB"/>
        </w:rPr>
        <w:t xml:space="preserve">(EC, 2006). </w:t>
      </w:r>
    </w:p>
    <w:p w14:paraId="650F757C" w14:textId="77777777" w:rsidR="00282349" w:rsidRPr="00D84F49" w:rsidRDefault="00B640AD" w:rsidP="00B272E2">
      <w:pPr>
        <w:spacing w:after="240" w:line="360" w:lineRule="auto"/>
        <w:jc w:val="both"/>
        <w:rPr>
          <w:rFonts w:ascii="Arial" w:hAnsi="Arial" w:cs="Microsoft Sans Serif"/>
          <w:sz w:val="21"/>
          <w:szCs w:val="21"/>
          <w:lang w:val="en-GB"/>
        </w:rPr>
      </w:pPr>
      <w:r w:rsidRPr="00282349">
        <w:rPr>
          <w:rFonts w:ascii="Arial" w:hAnsi="Arial" w:cs="Microsoft Sans Serif"/>
          <w:sz w:val="21"/>
          <w:szCs w:val="21"/>
          <w:lang w:val="en-GB"/>
        </w:rPr>
        <w:t>T</w:t>
      </w:r>
      <w:r w:rsidR="00BD4611" w:rsidRPr="00282349">
        <w:rPr>
          <w:rFonts w:ascii="Arial" w:hAnsi="Arial" w:cs="Microsoft Sans Serif"/>
          <w:sz w:val="21"/>
          <w:szCs w:val="21"/>
          <w:lang w:val="en-GB"/>
        </w:rPr>
        <w:t xml:space="preserve">he most important </w:t>
      </w:r>
      <w:r w:rsidR="009068E4" w:rsidRPr="00282349">
        <w:rPr>
          <w:rFonts w:ascii="Arial" w:hAnsi="Arial" w:cs="Microsoft Sans Serif"/>
          <w:sz w:val="21"/>
          <w:szCs w:val="21"/>
          <w:lang w:val="en-GB"/>
        </w:rPr>
        <w:t>goal of pension policy is</w:t>
      </w:r>
      <w:r w:rsidR="00BD4611" w:rsidRPr="00282349">
        <w:rPr>
          <w:rFonts w:ascii="Arial" w:hAnsi="Arial" w:cs="Microsoft Sans Serif"/>
          <w:sz w:val="21"/>
          <w:szCs w:val="21"/>
          <w:lang w:val="en-GB"/>
        </w:rPr>
        <w:t xml:space="preserve"> poverty prevention/reduction and consumption smoothing. A pension system is therefore said to be adequate when it manages to accomplish these two major goals: to provide the </w:t>
      </w:r>
      <w:r w:rsidR="00BD4611" w:rsidRPr="00282349">
        <w:rPr>
          <w:rFonts w:ascii="Arial" w:hAnsi="Arial" w:cs="Microsoft Sans Serif"/>
          <w:i/>
          <w:sz w:val="21"/>
          <w:szCs w:val="21"/>
          <w:lang w:val="en-GB"/>
        </w:rPr>
        <w:t>absolute level of retirement income</w:t>
      </w:r>
      <w:r w:rsidR="00BD4611" w:rsidRPr="00282349">
        <w:rPr>
          <w:rFonts w:ascii="Arial" w:hAnsi="Arial" w:cs="Microsoft Sans Serif"/>
          <w:sz w:val="21"/>
          <w:szCs w:val="21"/>
          <w:lang w:val="en-GB"/>
        </w:rPr>
        <w:t xml:space="preserve"> (preventing/reducing old-age poverty), and to provide the </w:t>
      </w:r>
      <w:r w:rsidR="00BD4611" w:rsidRPr="00282349">
        <w:rPr>
          <w:rFonts w:ascii="Arial" w:hAnsi="Arial" w:cs="Microsoft Sans Serif"/>
          <w:i/>
          <w:sz w:val="21"/>
          <w:szCs w:val="21"/>
          <w:lang w:val="en-GB"/>
        </w:rPr>
        <w:t>relative level of retirement income</w:t>
      </w:r>
      <w:r w:rsidR="00BD4611" w:rsidRPr="00282349">
        <w:rPr>
          <w:rFonts w:ascii="Arial" w:hAnsi="Arial" w:cs="Microsoft Sans Serif"/>
          <w:sz w:val="21"/>
          <w:szCs w:val="21"/>
          <w:lang w:val="en-GB"/>
        </w:rPr>
        <w:t xml:space="preserve"> (income replacement or </w:t>
      </w:r>
      <w:r w:rsidR="00BD4611" w:rsidRPr="00D84F49">
        <w:rPr>
          <w:rFonts w:ascii="Arial" w:hAnsi="Arial" w:cs="Microsoft Sans Serif"/>
          <w:sz w:val="21"/>
          <w:szCs w:val="21"/>
          <w:lang w:val="en-GB"/>
        </w:rPr>
        <w:t>maintaining the relative standard of living)</w:t>
      </w:r>
      <w:r w:rsidR="00D84F49">
        <w:rPr>
          <w:rFonts w:ascii="Arial" w:hAnsi="Arial" w:cs="Microsoft Sans Serif"/>
          <w:sz w:val="21"/>
          <w:szCs w:val="21"/>
          <w:lang w:val="en-GB"/>
        </w:rPr>
        <w:t xml:space="preserve"> </w:t>
      </w:r>
      <w:r w:rsidR="00D84F49" w:rsidRPr="00D84F49">
        <w:rPr>
          <w:rFonts w:ascii="Arial" w:hAnsi="Arial" w:cs="Microsoft Sans Serif"/>
          <w:sz w:val="21"/>
          <w:lang w:val="en-GB"/>
        </w:rPr>
        <w:t>(Stanić, 2012 as in Holzmann and Hinz, 2005).</w:t>
      </w:r>
      <w:r w:rsidR="00BD4611" w:rsidRPr="00D84F49">
        <w:rPr>
          <w:rFonts w:ascii="Arial" w:hAnsi="Arial" w:cs="Microsoft Sans Serif"/>
          <w:sz w:val="21"/>
          <w:szCs w:val="21"/>
          <w:lang w:val="en-GB"/>
        </w:rPr>
        <w:t>.</w:t>
      </w:r>
    </w:p>
    <w:p w14:paraId="1D1B0E4F" w14:textId="77777777" w:rsidR="00282349" w:rsidRPr="00282349" w:rsidRDefault="00C308FD" w:rsidP="00B272E2">
      <w:pPr>
        <w:spacing w:after="240" w:line="360" w:lineRule="auto"/>
        <w:jc w:val="both"/>
        <w:rPr>
          <w:rFonts w:ascii="Arial" w:hAnsi="Arial" w:cs="Microsoft Sans Serif"/>
          <w:sz w:val="21"/>
          <w:szCs w:val="21"/>
          <w:lang w:val="en-GB"/>
        </w:rPr>
      </w:pPr>
      <w:r w:rsidRPr="00282349">
        <w:rPr>
          <w:rFonts w:ascii="Arial" w:hAnsi="Arial" w:cs="Microsoft Sans Serif"/>
          <w:sz w:val="21"/>
          <w:szCs w:val="21"/>
          <w:lang w:val="en-GB"/>
        </w:rPr>
        <w:t>Beside</w:t>
      </w:r>
      <w:r w:rsidR="00F25D7E" w:rsidRPr="00282349">
        <w:rPr>
          <w:rFonts w:ascii="Arial" w:hAnsi="Arial" w:cs="Microsoft Sans Serif"/>
          <w:sz w:val="21"/>
          <w:szCs w:val="21"/>
          <w:lang w:val="en-GB"/>
        </w:rPr>
        <w:t>s</w:t>
      </w:r>
      <w:r w:rsidRPr="00282349">
        <w:rPr>
          <w:rFonts w:ascii="Arial" w:hAnsi="Arial" w:cs="Microsoft Sans Serif"/>
          <w:sz w:val="21"/>
          <w:szCs w:val="21"/>
          <w:lang w:val="en-GB"/>
        </w:rPr>
        <w:t xml:space="preserve"> being adequate, pension systems nowadays are constrained with the demand </w:t>
      </w:r>
      <w:r w:rsidR="00F25D7E" w:rsidRPr="00282349">
        <w:rPr>
          <w:rFonts w:ascii="Arial" w:hAnsi="Arial" w:cs="Microsoft Sans Serif"/>
          <w:sz w:val="21"/>
          <w:szCs w:val="21"/>
          <w:lang w:val="en-GB"/>
        </w:rPr>
        <w:t>for</w:t>
      </w:r>
      <w:r w:rsidRPr="00282349">
        <w:rPr>
          <w:rFonts w:ascii="Arial" w:hAnsi="Arial" w:cs="Microsoft Sans Serif"/>
          <w:sz w:val="21"/>
          <w:szCs w:val="21"/>
          <w:lang w:val="en-GB"/>
        </w:rPr>
        <w:t xml:space="preserve"> financial sustainability. “Adequate and financially sustainable pensions are considered the priority of EU pension policy proclaimed by the process of open method of coordination. Achieving these objectives in an ageing Europe is a major challenge. What complicates pension policy is the fact that the two objectives are conflicting. Provision of adequate pension level comes at expense of affordability and sustainability of pension systems. On the other hand, cutbacks that contribute to sustainability of pension systems make the adequacy of pensions uncertain. A good pension design must strike the right balance between these two contradictory objectives”</w:t>
      </w:r>
      <w:r w:rsidR="00D84F49">
        <w:rPr>
          <w:rFonts w:ascii="Arial" w:hAnsi="Arial" w:cs="Microsoft Sans Serif"/>
          <w:sz w:val="21"/>
          <w:szCs w:val="21"/>
          <w:lang w:val="en-GB"/>
        </w:rPr>
        <w:t xml:space="preserve"> </w:t>
      </w:r>
      <w:r w:rsidR="00D84F49" w:rsidRPr="00D84F49">
        <w:rPr>
          <w:rFonts w:ascii="Arial" w:hAnsi="Arial" w:cs="Microsoft Sans Serif"/>
          <w:sz w:val="21"/>
          <w:szCs w:val="21"/>
          <w:lang w:val="en-GB"/>
        </w:rPr>
        <w:t>(Stanić, 2010).</w:t>
      </w:r>
    </w:p>
    <w:p w14:paraId="3200B4A2" w14:textId="77777777" w:rsidR="00583A6C" w:rsidRPr="00282349" w:rsidRDefault="00D5545C" w:rsidP="00B272E2">
      <w:pPr>
        <w:spacing w:after="240" w:line="360" w:lineRule="auto"/>
        <w:jc w:val="both"/>
        <w:rPr>
          <w:rFonts w:ascii="Arial" w:hAnsi="Arial" w:cs="Microsoft Sans Serif"/>
          <w:sz w:val="21"/>
          <w:szCs w:val="21"/>
          <w:lang w:val="en-GB"/>
        </w:rPr>
      </w:pPr>
      <w:r w:rsidRPr="00282349">
        <w:rPr>
          <w:rFonts w:ascii="Arial" w:hAnsi="Arial" w:cs="Microsoft Sans Serif"/>
          <w:sz w:val="21"/>
          <w:szCs w:val="21"/>
          <w:lang w:val="en-GB"/>
        </w:rPr>
        <w:t xml:space="preserve">In what follows is description of pension indicators within EU framework, then description of pension indicators developed by </w:t>
      </w:r>
      <w:r w:rsidR="004029A9" w:rsidRPr="00282349">
        <w:rPr>
          <w:rFonts w:ascii="Arial" w:hAnsi="Arial" w:cs="Microsoft Sans Serif"/>
          <w:sz w:val="21"/>
          <w:szCs w:val="21"/>
          <w:lang w:val="en-GB"/>
        </w:rPr>
        <w:t xml:space="preserve">other international institutions recognized for their work on pensions; discussion on the previously explained sets of indicators and measurement issues, and finally proposal of a set of pension indicators </w:t>
      </w:r>
      <w:r w:rsidR="009068E4" w:rsidRPr="00282349">
        <w:rPr>
          <w:rFonts w:ascii="Arial" w:hAnsi="Arial" w:cs="Microsoft Sans Serif"/>
          <w:sz w:val="21"/>
          <w:szCs w:val="21"/>
          <w:lang w:val="en-GB"/>
        </w:rPr>
        <w:t xml:space="preserve">for Serbia. </w:t>
      </w:r>
    </w:p>
    <w:p w14:paraId="601E6CB6" w14:textId="77777777" w:rsidR="001D1F43" w:rsidRPr="00B272E2" w:rsidRDefault="000D3CE5" w:rsidP="00B272E2">
      <w:pPr>
        <w:pStyle w:val="Heading1"/>
        <w:numPr>
          <w:ilvl w:val="0"/>
          <w:numId w:val="5"/>
        </w:numPr>
        <w:ind w:left="426"/>
        <w:rPr>
          <w:rFonts w:ascii="Arial" w:hAnsi="Arial"/>
          <w:color w:val="4F81BD" w:themeColor="accent1"/>
          <w:sz w:val="24"/>
          <w:szCs w:val="24"/>
        </w:rPr>
      </w:pPr>
      <w:r>
        <w:br w:type="page"/>
      </w:r>
      <w:bookmarkStart w:id="2" w:name="_Toc493760329"/>
      <w:r w:rsidR="00C338C1" w:rsidRPr="00B272E2">
        <w:rPr>
          <w:rFonts w:ascii="Arial" w:hAnsi="Arial"/>
          <w:color w:val="4F81BD" w:themeColor="accent1"/>
          <w:sz w:val="24"/>
          <w:szCs w:val="24"/>
        </w:rPr>
        <w:lastRenderedPageBreak/>
        <w:t xml:space="preserve">EU INDICATORS IN THE </w:t>
      </w:r>
      <w:r w:rsidR="002C250A" w:rsidRPr="00B272E2">
        <w:rPr>
          <w:rFonts w:ascii="Arial" w:hAnsi="Arial"/>
          <w:color w:val="4F81BD" w:themeColor="accent1"/>
          <w:sz w:val="24"/>
          <w:szCs w:val="24"/>
        </w:rPr>
        <w:t>FIELD</w:t>
      </w:r>
      <w:r w:rsidR="00C338C1" w:rsidRPr="00B272E2">
        <w:rPr>
          <w:rFonts w:ascii="Arial" w:hAnsi="Arial"/>
          <w:color w:val="4F81BD" w:themeColor="accent1"/>
          <w:sz w:val="24"/>
          <w:szCs w:val="24"/>
        </w:rPr>
        <w:t xml:space="preserve"> OF PENSIONS</w:t>
      </w:r>
      <w:bookmarkEnd w:id="2"/>
    </w:p>
    <w:p w14:paraId="0A3D755C" w14:textId="77777777" w:rsidR="00393A9F" w:rsidRPr="006A4CE9" w:rsidRDefault="00393A9F" w:rsidP="005753CF">
      <w:pPr>
        <w:spacing w:line="264" w:lineRule="auto"/>
        <w:rPr>
          <w:rFonts w:ascii="Cambria" w:hAnsi="Cambria"/>
        </w:rPr>
      </w:pPr>
    </w:p>
    <w:p w14:paraId="72CC0BD5" w14:textId="77777777" w:rsidR="00A11F1F" w:rsidRDefault="00A11F1F" w:rsidP="005753CF">
      <w:pPr>
        <w:spacing w:line="264" w:lineRule="auto"/>
        <w:rPr>
          <w:rFonts w:ascii="Cambria" w:hAnsi="Cambria"/>
          <w:i/>
        </w:rPr>
      </w:pPr>
    </w:p>
    <w:p w14:paraId="18EEDA2D" w14:textId="77777777" w:rsidR="008C202F" w:rsidRDefault="008C202F" w:rsidP="008C202F">
      <w:pPr>
        <w:widowControl w:val="0"/>
        <w:autoSpaceDE w:val="0"/>
        <w:autoSpaceDN w:val="0"/>
        <w:adjustRightInd w:val="0"/>
        <w:spacing w:after="240" w:line="360" w:lineRule="auto"/>
        <w:jc w:val="both"/>
        <w:rPr>
          <w:rFonts w:ascii="Arial" w:hAnsi="Arial"/>
          <w:sz w:val="21"/>
          <w:szCs w:val="21"/>
        </w:rPr>
      </w:pPr>
      <w:r w:rsidRPr="008C202F">
        <w:rPr>
          <w:rFonts w:ascii="Arial" w:hAnsi="Arial" w:cs="Times New Roman"/>
          <w:sz w:val="21"/>
          <w:szCs w:val="22"/>
        </w:rPr>
        <w:t xml:space="preserve">Although pension OMC was launched shortly after the social inclusion OMC, it was not until 2005 that pension indicators were developed. </w:t>
      </w:r>
      <w:r w:rsidRPr="008C202F">
        <w:rPr>
          <w:rFonts w:ascii="Arial" w:hAnsi="Arial"/>
          <w:sz w:val="21"/>
          <w:szCs w:val="21"/>
        </w:rPr>
        <w:t>I</w:t>
      </w:r>
      <w:r w:rsidR="00787289" w:rsidRPr="008C202F">
        <w:rPr>
          <w:rFonts w:ascii="Arial" w:hAnsi="Arial"/>
          <w:sz w:val="21"/>
          <w:szCs w:val="21"/>
        </w:rPr>
        <w:t>n</w:t>
      </w:r>
      <w:r w:rsidR="00A11F1F" w:rsidRPr="008C202F">
        <w:rPr>
          <w:rFonts w:ascii="Arial" w:hAnsi="Arial"/>
          <w:sz w:val="21"/>
          <w:szCs w:val="21"/>
        </w:rPr>
        <w:t xml:space="preserve"> 2005</w:t>
      </w:r>
      <w:r w:rsidR="00787289" w:rsidRPr="008C202F">
        <w:rPr>
          <w:rFonts w:ascii="Arial" w:hAnsi="Arial"/>
          <w:sz w:val="21"/>
          <w:szCs w:val="21"/>
        </w:rPr>
        <w:t xml:space="preserve"> the</w:t>
      </w:r>
      <w:r w:rsidR="00A11F1F" w:rsidRPr="008C202F">
        <w:rPr>
          <w:rFonts w:ascii="Arial" w:hAnsi="Arial"/>
          <w:sz w:val="21"/>
          <w:szCs w:val="21"/>
        </w:rPr>
        <w:t xml:space="preserve"> first set of indicators </w:t>
      </w:r>
      <w:r w:rsidR="00FB509F" w:rsidRPr="008C202F">
        <w:rPr>
          <w:rFonts w:ascii="Arial" w:hAnsi="Arial"/>
          <w:sz w:val="21"/>
          <w:szCs w:val="21"/>
        </w:rPr>
        <w:t>was</w:t>
      </w:r>
      <w:r w:rsidR="00A11F1F" w:rsidRPr="008C202F">
        <w:rPr>
          <w:rFonts w:ascii="Arial" w:hAnsi="Arial"/>
          <w:sz w:val="21"/>
          <w:szCs w:val="21"/>
        </w:rPr>
        <w:t xml:space="preserve"> produced by SPC and EPC and presented in the Guidance Note for preparation of second round of </w:t>
      </w:r>
      <w:r w:rsidR="00A11F1F" w:rsidRPr="008C202F">
        <w:rPr>
          <w:rFonts w:ascii="Arial" w:hAnsi="Arial"/>
          <w:color w:val="000000" w:themeColor="text1"/>
          <w:sz w:val="21"/>
          <w:szCs w:val="21"/>
        </w:rPr>
        <w:t>NSRs.</w:t>
      </w:r>
      <w:r w:rsidR="00A11F1F" w:rsidRPr="00B272E2">
        <w:rPr>
          <w:rFonts w:ascii="Arial" w:hAnsi="Arial"/>
          <w:color w:val="000000" w:themeColor="text1"/>
          <w:sz w:val="21"/>
          <w:szCs w:val="21"/>
        </w:rPr>
        <w:t xml:space="preserve"> </w:t>
      </w:r>
    </w:p>
    <w:p w14:paraId="1E34A420" w14:textId="77777777" w:rsidR="008C202F" w:rsidRPr="008C202F" w:rsidRDefault="00565138" w:rsidP="008C202F">
      <w:pPr>
        <w:widowControl w:val="0"/>
        <w:autoSpaceDE w:val="0"/>
        <w:autoSpaceDN w:val="0"/>
        <w:adjustRightInd w:val="0"/>
        <w:spacing w:after="240" w:line="360" w:lineRule="auto"/>
        <w:jc w:val="both"/>
        <w:rPr>
          <w:rFonts w:ascii="Arial" w:hAnsi="Arial"/>
          <w:sz w:val="21"/>
          <w:szCs w:val="21"/>
        </w:rPr>
      </w:pPr>
      <w:r w:rsidRPr="00B272E2">
        <w:rPr>
          <w:rFonts w:ascii="Arial" w:hAnsi="Arial" w:cs="Times New Roman"/>
          <w:sz w:val="21"/>
          <w:szCs w:val="21"/>
        </w:rPr>
        <w:t>However, soon after the list of pension indicators was finally defined,</w:t>
      </w:r>
      <w:r w:rsidR="000334D9" w:rsidRPr="00B272E2">
        <w:rPr>
          <w:rFonts w:ascii="Arial" w:hAnsi="Arial" w:cs="Times New Roman"/>
          <w:sz w:val="21"/>
          <w:szCs w:val="21"/>
        </w:rPr>
        <w:t xml:space="preserve"> </w:t>
      </w:r>
      <w:r w:rsidRPr="00B272E2">
        <w:rPr>
          <w:rFonts w:ascii="Arial" w:hAnsi="Arial" w:cs="Times New Roman"/>
          <w:sz w:val="21"/>
          <w:szCs w:val="21"/>
        </w:rPr>
        <w:t xml:space="preserve">EU </w:t>
      </w:r>
      <w:r w:rsidR="00A11F1F" w:rsidRPr="00B272E2">
        <w:rPr>
          <w:rFonts w:ascii="Arial" w:hAnsi="Arial" w:cs="Times New Roman"/>
          <w:sz w:val="21"/>
          <w:szCs w:val="21"/>
        </w:rPr>
        <w:t>Council decided to streamline the Open Method of Coordination (OMC) on social inclusion, on pensions and on healthcare and long</w:t>
      </w:r>
      <w:r w:rsidRPr="00B272E2">
        <w:rPr>
          <w:rFonts w:ascii="Arial" w:hAnsi="Arial" w:cs="Times New Roman"/>
          <w:sz w:val="21"/>
          <w:szCs w:val="21"/>
        </w:rPr>
        <w:t>-</w:t>
      </w:r>
      <w:r w:rsidR="000334D9" w:rsidRPr="00B272E2">
        <w:rPr>
          <w:rFonts w:ascii="Arial" w:hAnsi="Arial" w:cs="Times New Roman"/>
          <w:sz w:val="21"/>
          <w:szCs w:val="21"/>
        </w:rPr>
        <w:t>term care into a Single S</w:t>
      </w:r>
      <w:r w:rsidR="00A11F1F" w:rsidRPr="00B272E2">
        <w:rPr>
          <w:rFonts w:ascii="Arial" w:hAnsi="Arial" w:cs="Times New Roman"/>
          <w:sz w:val="21"/>
          <w:szCs w:val="21"/>
        </w:rPr>
        <w:t>ocial OMC</w:t>
      </w:r>
      <w:r w:rsidR="00A11F1F" w:rsidRPr="00B272E2">
        <w:rPr>
          <w:rFonts w:ascii="Arial" w:hAnsi="Arial" w:cs="Times New Roman"/>
          <w:b/>
          <w:i/>
          <w:sz w:val="21"/>
          <w:szCs w:val="21"/>
        </w:rPr>
        <w:t>.</w:t>
      </w:r>
      <w:r w:rsidR="00A11F1F" w:rsidRPr="00B272E2">
        <w:rPr>
          <w:rFonts w:ascii="Arial" w:hAnsi="Arial" w:cs="Times New Roman"/>
          <w:sz w:val="21"/>
          <w:szCs w:val="21"/>
        </w:rPr>
        <w:t xml:space="preserve"> In this context, the Council endorsed the 12 common objectives for the Social OMC (3 overarching objectives and 3 for each of the 3 covered strands) on the basis of which the set of EU social protection and social inclusion indicators were revised and reorganized. </w:t>
      </w:r>
    </w:p>
    <w:p w14:paraId="648926CE" w14:textId="77777777" w:rsidR="00A11F1F" w:rsidRPr="008C202F" w:rsidRDefault="00A11F1F" w:rsidP="008C202F">
      <w:pPr>
        <w:widowControl w:val="0"/>
        <w:autoSpaceDE w:val="0"/>
        <w:autoSpaceDN w:val="0"/>
        <w:adjustRightInd w:val="0"/>
        <w:spacing w:after="240" w:line="360" w:lineRule="auto"/>
        <w:jc w:val="both"/>
        <w:rPr>
          <w:rFonts w:ascii="Arial" w:hAnsi="Arial" w:cs="Times New Roman"/>
          <w:color w:val="1F1A17"/>
          <w:sz w:val="21"/>
          <w:szCs w:val="21"/>
        </w:rPr>
      </w:pPr>
      <w:r w:rsidRPr="00B272E2">
        <w:rPr>
          <w:rFonts w:ascii="Arial" w:hAnsi="Arial" w:cs="Times"/>
          <w:sz w:val="21"/>
          <w:szCs w:val="21"/>
        </w:rPr>
        <w:t xml:space="preserve">When it comes to pension strand, objective is to </w:t>
      </w:r>
      <w:r w:rsidRPr="00B272E2">
        <w:rPr>
          <w:rFonts w:ascii="Arial" w:hAnsi="Arial" w:cs="Times"/>
          <w:b/>
          <w:bCs/>
          <w:sz w:val="21"/>
          <w:szCs w:val="21"/>
        </w:rPr>
        <w:t xml:space="preserve">provide adequate and sustainable pensions </w:t>
      </w:r>
      <w:r w:rsidRPr="00B272E2">
        <w:rPr>
          <w:rFonts w:ascii="Arial" w:hAnsi="Arial" w:cs="Times"/>
          <w:bCs/>
          <w:sz w:val="21"/>
          <w:szCs w:val="21"/>
        </w:rPr>
        <w:t>in the following manner:</w:t>
      </w:r>
    </w:p>
    <w:p w14:paraId="7CA29C1A" w14:textId="77777777" w:rsidR="00A11F1F" w:rsidRPr="00B272E2" w:rsidRDefault="00A11F1F" w:rsidP="00B272E2">
      <w:pPr>
        <w:pStyle w:val="ListParagraph"/>
        <w:widowControl w:val="0"/>
        <w:numPr>
          <w:ilvl w:val="0"/>
          <w:numId w:val="7"/>
        </w:numPr>
        <w:autoSpaceDE w:val="0"/>
        <w:autoSpaceDN w:val="0"/>
        <w:adjustRightInd w:val="0"/>
        <w:spacing w:after="240" w:line="360" w:lineRule="auto"/>
        <w:ind w:left="567"/>
        <w:contextualSpacing w:val="0"/>
        <w:jc w:val="both"/>
        <w:rPr>
          <w:rFonts w:ascii="Arial" w:hAnsi="Arial" w:cs="Times"/>
          <w:sz w:val="21"/>
          <w:szCs w:val="21"/>
        </w:rPr>
      </w:pPr>
      <w:r w:rsidRPr="00B272E2">
        <w:rPr>
          <w:rFonts w:ascii="Arial" w:hAnsi="Arial" w:cs="Times"/>
          <w:sz w:val="21"/>
          <w:szCs w:val="21"/>
        </w:rPr>
        <w:t xml:space="preserve">In the spirit of solidarity and fairness between and within generations, guarantee an </w:t>
      </w:r>
      <w:r w:rsidRPr="00B272E2">
        <w:rPr>
          <w:rFonts w:ascii="Arial" w:hAnsi="Arial" w:cs="Times"/>
          <w:b/>
          <w:sz w:val="21"/>
          <w:szCs w:val="21"/>
        </w:rPr>
        <w:t>adequate retirement income</w:t>
      </w:r>
      <w:r w:rsidRPr="00B272E2">
        <w:rPr>
          <w:rFonts w:ascii="Arial" w:hAnsi="Arial" w:cs="Times"/>
          <w:sz w:val="21"/>
          <w:szCs w:val="21"/>
        </w:rPr>
        <w:t xml:space="preserve"> for all and </w:t>
      </w:r>
      <w:r w:rsidRPr="00B272E2">
        <w:rPr>
          <w:rFonts w:ascii="Arial" w:hAnsi="Arial" w:cs="Times"/>
          <w:b/>
          <w:sz w:val="21"/>
          <w:szCs w:val="21"/>
        </w:rPr>
        <w:t>access</w:t>
      </w:r>
      <w:r w:rsidRPr="00B272E2">
        <w:rPr>
          <w:rFonts w:ascii="Arial" w:hAnsi="Arial" w:cs="Times"/>
          <w:sz w:val="21"/>
          <w:szCs w:val="21"/>
        </w:rPr>
        <w:t xml:space="preserve"> to pensions which allow people to maintain, to a reasonable degree, their living standard after retirement;</w:t>
      </w:r>
    </w:p>
    <w:p w14:paraId="054B8789" w14:textId="77777777" w:rsidR="00A11F1F" w:rsidRPr="00B272E2" w:rsidRDefault="00A11F1F" w:rsidP="00B272E2">
      <w:pPr>
        <w:pStyle w:val="ListParagraph"/>
        <w:widowControl w:val="0"/>
        <w:numPr>
          <w:ilvl w:val="0"/>
          <w:numId w:val="7"/>
        </w:numPr>
        <w:autoSpaceDE w:val="0"/>
        <w:autoSpaceDN w:val="0"/>
        <w:adjustRightInd w:val="0"/>
        <w:spacing w:after="240" w:line="360" w:lineRule="auto"/>
        <w:ind w:left="567"/>
        <w:contextualSpacing w:val="0"/>
        <w:jc w:val="both"/>
        <w:rPr>
          <w:rFonts w:ascii="Arial" w:hAnsi="Arial" w:cs="Times"/>
          <w:sz w:val="21"/>
          <w:szCs w:val="21"/>
        </w:rPr>
      </w:pPr>
      <w:r w:rsidRPr="00B272E2">
        <w:rPr>
          <w:rFonts w:ascii="Arial" w:hAnsi="Arial" w:cs="Times"/>
          <w:sz w:val="21"/>
          <w:szCs w:val="21"/>
        </w:rPr>
        <w:t xml:space="preserve">In the context of sound public finances, ensure the </w:t>
      </w:r>
      <w:r w:rsidRPr="00B272E2">
        <w:rPr>
          <w:rFonts w:ascii="Arial" w:hAnsi="Arial" w:cs="Times"/>
          <w:b/>
          <w:sz w:val="21"/>
          <w:szCs w:val="21"/>
        </w:rPr>
        <w:t>financial sustainability</w:t>
      </w:r>
      <w:r w:rsidRPr="00B272E2">
        <w:rPr>
          <w:rFonts w:ascii="Arial" w:hAnsi="Arial" w:cs="Times"/>
          <w:sz w:val="21"/>
          <w:szCs w:val="21"/>
        </w:rPr>
        <w:t xml:space="preserve"> of public and private pension schemes, particularly by supporting a longer working life and active ageing, guaranteeing an appropriate and fair balance between contributions and benefits, and maintaining the security of funded and private schemes;</w:t>
      </w:r>
    </w:p>
    <w:p w14:paraId="3D9B5070" w14:textId="77777777" w:rsidR="00B95F16" w:rsidRPr="00B272E2" w:rsidRDefault="00A11F1F" w:rsidP="00B272E2">
      <w:pPr>
        <w:pStyle w:val="ListParagraph"/>
        <w:widowControl w:val="0"/>
        <w:numPr>
          <w:ilvl w:val="0"/>
          <w:numId w:val="7"/>
        </w:numPr>
        <w:autoSpaceDE w:val="0"/>
        <w:autoSpaceDN w:val="0"/>
        <w:adjustRightInd w:val="0"/>
        <w:spacing w:after="240" w:line="360" w:lineRule="auto"/>
        <w:ind w:left="567"/>
        <w:contextualSpacing w:val="0"/>
        <w:jc w:val="both"/>
        <w:rPr>
          <w:rFonts w:ascii="Arial" w:hAnsi="Arial" w:cs="Times"/>
          <w:sz w:val="21"/>
          <w:szCs w:val="21"/>
        </w:rPr>
      </w:pPr>
      <w:r w:rsidRPr="00B272E2">
        <w:rPr>
          <w:rFonts w:ascii="Arial" w:hAnsi="Arial" w:cs="Times"/>
          <w:sz w:val="21"/>
          <w:szCs w:val="21"/>
        </w:rPr>
        <w:t xml:space="preserve">Ensure that pension schemes are </w:t>
      </w:r>
      <w:r w:rsidRPr="00B272E2">
        <w:rPr>
          <w:rFonts w:ascii="Arial" w:hAnsi="Arial" w:cs="Times"/>
          <w:b/>
          <w:sz w:val="21"/>
          <w:szCs w:val="21"/>
        </w:rPr>
        <w:t>transparent</w:t>
      </w:r>
      <w:r w:rsidRPr="00B272E2">
        <w:rPr>
          <w:rFonts w:ascii="Arial" w:hAnsi="Arial" w:cs="Times"/>
          <w:sz w:val="21"/>
          <w:szCs w:val="21"/>
        </w:rPr>
        <w:t xml:space="preserve">, </w:t>
      </w:r>
      <w:r w:rsidRPr="00B272E2">
        <w:rPr>
          <w:rFonts w:ascii="Arial" w:hAnsi="Arial" w:cs="Times"/>
          <w:b/>
          <w:sz w:val="21"/>
          <w:szCs w:val="21"/>
        </w:rPr>
        <w:t xml:space="preserve">well adapted </w:t>
      </w:r>
      <w:r w:rsidRPr="00B272E2">
        <w:rPr>
          <w:rFonts w:ascii="Arial" w:hAnsi="Arial" w:cs="Times"/>
          <w:sz w:val="21"/>
          <w:szCs w:val="21"/>
        </w:rPr>
        <w:t xml:space="preserve">to the needs and aspirations of women and men and the requirements of modern societies, demographic ageing and structural change; that people receive the </w:t>
      </w:r>
      <w:r w:rsidRPr="00B272E2">
        <w:rPr>
          <w:rFonts w:ascii="Arial" w:hAnsi="Arial" w:cs="Times"/>
          <w:b/>
          <w:sz w:val="21"/>
          <w:szCs w:val="21"/>
        </w:rPr>
        <w:t>information</w:t>
      </w:r>
      <w:r w:rsidRPr="00B272E2">
        <w:rPr>
          <w:rFonts w:ascii="Arial" w:hAnsi="Arial" w:cs="Times"/>
          <w:sz w:val="21"/>
          <w:szCs w:val="21"/>
        </w:rPr>
        <w:t xml:space="preserve"> they need to prepare for retirement</w:t>
      </w:r>
      <w:r w:rsidRPr="00B272E2">
        <w:rPr>
          <w:rFonts w:ascii="Arial" w:hAnsi="Arial"/>
          <w:sz w:val="21"/>
          <w:szCs w:val="21"/>
        </w:rPr>
        <w:t xml:space="preserve"> </w:t>
      </w:r>
      <w:r w:rsidRPr="00B272E2">
        <w:rPr>
          <w:rFonts w:ascii="Arial" w:hAnsi="Arial" w:cs="Times"/>
          <w:sz w:val="21"/>
          <w:szCs w:val="21"/>
        </w:rPr>
        <w:t>and that reforms are conducted on the basis of the broadest possible consensus.</w:t>
      </w:r>
    </w:p>
    <w:p w14:paraId="0A699EF9" w14:textId="77777777" w:rsidR="00A11F1F" w:rsidRPr="00B272E2" w:rsidRDefault="00B95F16" w:rsidP="00B272E2">
      <w:pPr>
        <w:spacing w:after="240" w:line="360" w:lineRule="auto"/>
        <w:jc w:val="both"/>
        <w:rPr>
          <w:rFonts w:ascii="Arial" w:hAnsi="Arial" w:cs="Times New Roman"/>
          <w:color w:val="1F1A17"/>
          <w:sz w:val="21"/>
          <w:szCs w:val="21"/>
          <w:lang w:val="uz-Cyrl-UZ"/>
        </w:rPr>
      </w:pPr>
      <w:r w:rsidRPr="00B272E2">
        <w:rPr>
          <w:rFonts w:ascii="Arial" w:hAnsi="Arial" w:cs="Times New Roman"/>
          <w:color w:val="1F1A17"/>
          <w:sz w:val="21"/>
          <w:szCs w:val="21"/>
        </w:rPr>
        <w:t>In 2006</w:t>
      </w:r>
      <w:r w:rsidR="00BB7469" w:rsidRPr="00B272E2">
        <w:rPr>
          <w:rFonts w:ascii="Arial" w:hAnsi="Arial" w:cs="Times New Roman"/>
          <w:color w:val="1F1A17"/>
          <w:sz w:val="21"/>
          <w:szCs w:val="21"/>
        </w:rPr>
        <w:t>,</w:t>
      </w:r>
      <w:r w:rsidRPr="00B272E2">
        <w:rPr>
          <w:rFonts w:ascii="Arial" w:hAnsi="Arial" w:cs="Times New Roman"/>
          <w:color w:val="1F1A17"/>
          <w:sz w:val="21"/>
          <w:szCs w:val="21"/>
        </w:rPr>
        <w:t xml:space="preserve"> </w:t>
      </w:r>
      <w:r w:rsidR="00BB7469" w:rsidRPr="00B272E2">
        <w:rPr>
          <w:rFonts w:ascii="Arial" w:hAnsi="Arial" w:cs="Times New Roman"/>
          <w:color w:val="1F1A17"/>
          <w:sz w:val="21"/>
          <w:szCs w:val="21"/>
        </w:rPr>
        <w:t xml:space="preserve">the </w:t>
      </w:r>
      <w:r w:rsidRPr="00B272E2">
        <w:rPr>
          <w:rFonts w:ascii="Arial" w:hAnsi="Arial" w:cs="Times New Roman"/>
          <w:color w:val="1F1A17"/>
          <w:sz w:val="21"/>
          <w:szCs w:val="21"/>
        </w:rPr>
        <w:t xml:space="preserve">set of indicators was comprehensively reviewed and </w:t>
      </w:r>
      <w:r w:rsidR="00BB7469" w:rsidRPr="00B272E2">
        <w:rPr>
          <w:rFonts w:ascii="Arial" w:hAnsi="Arial" w:cs="Times New Roman"/>
          <w:color w:val="1F1A17"/>
          <w:sz w:val="21"/>
          <w:szCs w:val="21"/>
        </w:rPr>
        <w:t>reorganized</w:t>
      </w:r>
      <w:r w:rsidRPr="00B272E2">
        <w:rPr>
          <w:rFonts w:ascii="Arial" w:hAnsi="Arial" w:cs="Times New Roman"/>
          <w:color w:val="1F1A17"/>
          <w:sz w:val="21"/>
          <w:szCs w:val="21"/>
        </w:rPr>
        <w:t xml:space="preserve"> in accordance with the new common objectives for the streamlined Social OMC</w:t>
      </w:r>
      <w:r w:rsidR="00D84F49">
        <w:rPr>
          <w:rFonts w:ascii="Arial" w:hAnsi="Arial" w:cs="Times New Roman"/>
          <w:color w:val="1F1A17"/>
          <w:sz w:val="21"/>
          <w:szCs w:val="21"/>
        </w:rPr>
        <w:t xml:space="preserve"> (</w:t>
      </w:r>
      <w:r w:rsidR="00D84F49" w:rsidRPr="00D84F49">
        <w:rPr>
          <w:rFonts w:ascii="Arial" w:hAnsi="Arial" w:cs="Times New Roman"/>
          <w:color w:val="1F1A17"/>
          <w:sz w:val="21"/>
          <w:szCs w:val="21"/>
        </w:rPr>
        <w:t>EC, 2006)</w:t>
      </w:r>
      <w:r w:rsidR="00D84F49">
        <w:rPr>
          <w:rFonts w:ascii="Arial" w:hAnsi="Arial" w:cs="Times New Roman"/>
          <w:color w:val="1F1A17"/>
          <w:sz w:val="21"/>
          <w:szCs w:val="21"/>
        </w:rPr>
        <w:t>.</w:t>
      </w:r>
      <w:r w:rsidR="008F6AD2" w:rsidRPr="00B272E2">
        <w:rPr>
          <w:rFonts w:ascii="Arial" w:hAnsi="Arial"/>
          <w:sz w:val="21"/>
          <w:szCs w:val="21"/>
        </w:rPr>
        <w:t xml:space="preserve"> </w:t>
      </w:r>
      <w:r w:rsidR="00B050E8" w:rsidRPr="00B272E2">
        <w:rPr>
          <w:rFonts w:ascii="Arial" w:hAnsi="Arial"/>
          <w:sz w:val="21"/>
          <w:szCs w:val="21"/>
        </w:rPr>
        <w:t>This portfolio</w:t>
      </w:r>
      <w:r w:rsidR="006E4DBC" w:rsidRPr="00B272E2">
        <w:rPr>
          <w:rFonts w:ascii="Arial" w:hAnsi="Arial"/>
          <w:sz w:val="21"/>
          <w:szCs w:val="21"/>
        </w:rPr>
        <w:t xml:space="preserve"> was not changed since</w:t>
      </w:r>
      <w:r w:rsidR="00CF74AE" w:rsidRPr="00B272E2">
        <w:rPr>
          <w:rFonts w:ascii="Arial" w:hAnsi="Arial"/>
          <w:sz w:val="21"/>
          <w:szCs w:val="21"/>
        </w:rPr>
        <w:t xml:space="preserve"> and is still valid </w:t>
      </w:r>
      <w:r w:rsidR="006E4DBC" w:rsidRPr="00B272E2">
        <w:rPr>
          <w:rFonts w:ascii="Arial" w:hAnsi="Arial"/>
          <w:sz w:val="21"/>
          <w:szCs w:val="21"/>
        </w:rPr>
        <w:t xml:space="preserve">(more details on </w:t>
      </w:r>
      <w:r w:rsidR="00B050E8" w:rsidRPr="00B272E2">
        <w:rPr>
          <w:rFonts w:ascii="Arial" w:hAnsi="Arial"/>
          <w:sz w:val="21"/>
          <w:szCs w:val="21"/>
        </w:rPr>
        <w:t xml:space="preserve">the </w:t>
      </w:r>
      <w:r w:rsidR="006E4DBC" w:rsidRPr="00B272E2">
        <w:rPr>
          <w:rFonts w:ascii="Arial" w:hAnsi="Arial"/>
          <w:sz w:val="21"/>
          <w:szCs w:val="21"/>
        </w:rPr>
        <w:t>list of indicators</w:t>
      </w:r>
      <w:r w:rsidR="005F39E8" w:rsidRPr="00B272E2">
        <w:rPr>
          <w:rFonts w:ascii="Arial" w:hAnsi="Arial"/>
          <w:sz w:val="21"/>
          <w:szCs w:val="21"/>
        </w:rPr>
        <w:t xml:space="preserve"> will be given</w:t>
      </w:r>
      <w:r w:rsidR="006E4DBC" w:rsidRPr="00B272E2">
        <w:rPr>
          <w:rFonts w:ascii="Arial" w:hAnsi="Arial"/>
          <w:sz w:val="21"/>
          <w:szCs w:val="21"/>
        </w:rPr>
        <w:t xml:space="preserve"> in the next section). </w:t>
      </w:r>
    </w:p>
    <w:p w14:paraId="11047879" w14:textId="77777777" w:rsidR="001D1F43" w:rsidRDefault="008C202F" w:rsidP="00B272E2">
      <w:pPr>
        <w:pStyle w:val="NormalWeb"/>
        <w:spacing w:beforeLines="0" w:afterLines="0" w:line="360" w:lineRule="auto"/>
        <w:jc w:val="both"/>
        <w:rPr>
          <w:rFonts w:ascii="Arial" w:hAnsi="Arial"/>
          <w:sz w:val="21"/>
          <w:szCs w:val="21"/>
        </w:rPr>
      </w:pPr>
      <w:r>
        <w:rPr>
          <w:rFonts w:ascii="Arial" w:hAnsi="Arial"/>
          <w:sz w:val="21"/>
          <w:szCs w:val="21"/>
        </w:rPr>
        <w:t>P</w:t>
      </w:r>
      <w:r w:rsidR="003C4651" w:rsidRPr="00B272E2">
        <w:rPr>
          <w:rFonts w:ascii="Arial" w:hAnsi="Arial"/>
          <w:sz w:val="21"/>
          <w:szCs w:val="21"/>
        </w:rPr>
        <w:t xml:space="preserve">ension developments in EU countries are </w:t>
      </w:r>
      <w:r>
        <w:rPr>
          <w:rFonts w:ascii="Arial" w:hAnsi="Arial"/>
          <w:sz w:val="21"/>
          <w:szCs w:val="21"/>
        </w:rPr>
        <w:t xml:space="preserve">currently </w:t>
      </w:r>
      <w:r w:rsidR="003C4651" w:rsidRPr="00B272E2">
        <w:rPr>
          <w:rFonts w:ascii="Arial" w:hAnsi="Arial"/>
          <w:sz w:val="21"/>
          <w:szCs w:val="21"/>
        </w:rPr>
        <w:t>monitored in two tri-annual reports, which complement one another</w:t>
      </w:r>
      <w:r w:rsidR="00477735" w:rsidRPr="00B272E2">
        <w:rPr>
          <w:rFonts w:ascii="Arial" w:hAnsi="Arial"/>
          <w:sz w:val="21"/>
          <w:szCs w:val="21"/>
        </w:rPr>
        <w:t xml:space="preserve"> – </w:t>
      </w:r>
      <w:r w:rsidR="003C4651" w:rsidRPr="00B272E2">
        <w:rPr>
          <w:rFonts w:ascii="Arial" w:hAnsi="Arial"/>
          <w:b/>
          <w:sz w:val="21"/>
          <w:szCs w:val="21"/>
        </w:rPr>
        <w:t>Ageing Report</w:t>
      </w:r>
      <w:r w:rsidR="003C4651" w:rsidRPr="00B272E2">
        <w:rPr>
          <w:rFonts w:ascii="Arial" w:hAnsi="Arial"/>
          <w:sz w:val="21"/>
          <w:szCs w:val="21"/>
        </w:rPr>
        <w:t xml:space="preserve"> produced by the Economic Policy Committee and </w:t>
      </w:r>
      <w:r w:rsidR="003C4651" w:rsidRPr="00B272E2">
        <w:rPr>
          <w:rFonts w:ascii="Arial" w:hAnsi="Arial"/>
          <w:b/>
          <w:sz w:val="21"/>
          <w:szCs w:val="21"/>
        </w:rPr>
        <w:t>the Pension Adequacy Report</w:t>
      </w:r>
      <w:r w:rsidR="003C4651" w:rsidRPr="00B272E2">
        <w:rPr>
          <w:rFonts w:ascii="Arial" w:hAnsi="Arial"/>
          <w:sz w:val="21"/>
          <w:szCs w:val="21"/>
        </w:rPr>
        <w:t xml:space="preserve"> produced by the Social Protection Committee. </w:t>
      </w:r>
      <w:r w:rsidR="000C3537" w:rsidRPr="00B272E2">
        <w:rPr>
          <w:rFonts w:ascii="Arial" w:hAnsi="Arial"/>
          <w:sz w:val="21"/>
          <w:szCs w:val="21"/>
        </w:rPr>
        <w:t>T</w:t>
      </w:r>
      <w:r w:rsidR="003C4651" w:rsidRPr="00B272E2">
        <w:rPr>
          <w:rFonts w:ascii="Arial" w:hAnsi="Arial"/>
          <w:sz w:val="21"/>
          <w:szCs w:val="21"/>
        </w:rPr>
        <w:t xml:space="preserve">he Ageing Report </w:t>
      </w:r>
      <w:r w:rsidR="000C3537" w:rsidRPr="00B272E2">
        <w:rPr>
          <w:rFonts w:ascii="Arial" w:hAnsi="Arial"/>
          <w:sz w:val="21"/>
          <w:szCs w:val="21"/>
        </w:rPr>
        <w:t>focuses</w:t>
      </w:r>
      <w:r w:rsidR="003C4651" w:rsidRPr="00B272E2">
        <w:rPr>
          <w:rFonts w:ascii="Arial" w:hAnsi="Arial"/>
          <w:sz w:val="21"/>
          <w:szCs w:val="21"/>
        </w:rPr>
        <w:t xml:space="preserve"> </w:t>
      </w:r>
      <w:r w:rsidR="000C3537" w:rsidRPr="00B272E2">
        <w:rPr>
          <w:rFonts w:ascii="Arial" w:hAnsi="Arial"/>
          <w:sz w:val="21"/>
          <w:szCs w:val="21"/>
        </w:rPr>
        <w:t>on</w:t>
      </w:r>
      <w:r w:rsidR="003C4651" w:rsidRPr="00B272E2">
        <w:rPr>
          <w:rFonts w:ascii="Arial" w:hAnsi="Arial"/>
          <w:sz w:val="21"/>
          <w:szCs w:val="21"/>
        </w:rPr>
        <w:t xml:space="preserve"> the future fiscal sustainability of public pension schemes</w:t>
      </w:r>
      <w:r w:rsidR="004805A4" w:rsidRPr="00B272E2">
        <w:rPr>
          <w:rFonts w:ascii="Arial" w:hAnsi="Arial"/>
          <w:sz w:val="21"/>
          <w:szCs w:val="21"/>
        </w:rPr>
        <w:t>, while</w:t>
      </w:r>
      <w:r w:rsidR="003C4651" w:rsidRPr="00B272E2">
        <w:rPr>
          <w:rFonts w:ascii="Arial" w:hAnsi="Arial"/>
          <w:sz w:val="21"/>
          <w:szCs w:val="21"/>
        </w:rPr>
        <w:t xml:space="preserve"> the Pension Adequacy Report examines the present and future adequacy of pensions as element in the income of retired people (</w:t>
      </w:r>
      <w:r w:rsidR="00EA3EE9" w:rsidRPr="00B272E2">
        <w:rPr>
          <w:rFonts w:ascii="Arial" w:hAnsi="Arial"/>
          <w:sz w:val="21"/>
          <w:szCs w:val="21"/>
        </w:rPr>
        <w:t>EC</w:t>
      </w:r>
      <w:r w:rsidR="00AC5997" w:rsidRPr="00B272E2">
        <w:rPr>
          <w:rFonts w:ascii="Arial" w:hAnsi="Arial"/>
          <w:sz w:val="21"/>
          <w:szCs w:val="21"/>
        </w:rPr>
        <w:t xml:space="preserve"> and SPC</w:t>
      </w:r>
      <w:r w:rsidR="00EA3EE9" w:rsidRPr="00B272E2">
        <w:rPr>
          <w:rFonts w:ascii="Arial" w:hAnsi="Arial"/>
          <w:sz w:val="21"/>
          <w:szCs w:val="21"/>
        </w:rPr>
        <w:t xml:space="preserve">, 2015). </w:t>
      </w:r>
    </w:p>
    <w:p w14:paraId="738E6E67" w14:textId="77777777" w:rsidR="00E8041D" w:rsidRPr="00B272E2" w:rsidRDefault="00E8041D" w:rsidP="00B272E2">
      <w:pPr>
        <w:pStyle w:val="NormalWeb"/>
        <w:spacing w:beforeLines="0" w:afterLines="0" w:line="360" w:lineRule="auto"/>
        <w:jc w:val="both"/>
        <w:rPr>
          <w:rFonts w:ascii="Arial" w:hAnsi="Arial"/>
          <w:sz w:val="21"/>
          <w:szCs w:val="21"/>
        </w:rPr>
      </w:pPr>
    </w:p>
    <w:p w14:paraId="3A2E6B51" w14:textId="77777777" w:rsidR="00AC5997" w:rsidRPr="00B272E2" w:rsidRDefault="00CE5FA2" w:rsidP="00E8041D">
      <w:pPr>
        <w:pStyle w:val="Heading2"/>
        <w:numPr>
          <w:ilvl w:val="1"/>
          <w:numId w:val="5"/>
        </w:numPr>
        <w:spacing w:line="360" w:lineRule="auto"/>
        <w:ind w:left="852"/>
        <w:rPr>
          <w:rFonts w:ascii="Arial" w:hAnsi="Arial"/>
          <w:sz w:val="21"/>
          <w:szCs w:val="21"/>
        </w:rPr>
      </w:pPr>
      <w:bookmarkStart w:id="3" w:name="_Toc493760330"/>
      <w:r w:rsidRPr="00B272E2">
        <w:rPr>
          <w:rFonts w:ascii="Arial" w:hAnsi="Arial"/>
          <w:sz w:val="21"/>
          <w:szCs w:val="21"/>
        </w:rPr>
        <w:t>P</w:t>
      </w:r>
      <w:r w:rsidR="001D1F43" w:rsidRPr="00B272E2">
        <w:rPr>
          <w:rFonts w:ascii="Arial" w:hAnsi="Arial"/>
          <w:sz w:val="21"/>
          <w:szCs w:val="21"/>
        </w:rPr>
        <w:t xml:space="preserve">ension </w:t>
      </w:r>
      <w:r w:rsidR="00900232" w:rsidRPr="00B272E2">
        <w:rPr>
          <w:rFonts w:ascii="Arial" w:hAnsi="Arial"/>
          <w:sz w:val="21"/>
          <w:szCs w:val="21"/>
        </w:rPr>
        <w:t xml:space="preserve">portfolio </w:t>
      </w:r>
      <w:r w:rsidR="005753CF" w:rsidRPr="00B272E2">
        <w:rPr>
          <w:rFonts w:ascii="Arial" w:hAnsi="Arial"/>
          <w:sz w:val="21"/>
          <w:szCs w:val="21"/>
        </w:rPr>
        <w:t xml:space="preserve">of </w:t>
      </w:r>
      <w:r w:rsidR="004805A4" w:rsidRPr="00B272E2">
        <w:rPr>
          <w:rFonts w:ascii="Arial" w:hAnsi="Arial"/>
          <w:sz w:val="21"/>
          <w:szCs w:val="21"/>
        </w:rPr>
        <w:t xml:space="preserve">the </w:t>
      </w:r>
      <w:r w:rsidR="005753CF" w:rsidRPr="00B272E2">
        <w:rPr>
          <w:rFonts w:ascii="Arial" w:hAnsi="Arial"/>
          <w:sz w:val="21"/>
          <w:szCs w:val="21"/>
        </w:rPr>
        <w:t>EU Social Indicators</w:t>
      </w:r>
      <w:bookmarkEnd w:id="3"/>
      <w:r w:rsidR="005753CF" w:rsidRPr="00B272E2">
        <w:rPr>
          <w:rFonts w:ascii="Arial" w:hAnsi="Arial"/>
          <w:sz w:val="21"/>
          <w:szCs w:val="21"/>
        </w:rPr>
        <w:t xml:space="preserve"> </w:t>
      </w:r>
    </w:p>
    <w:p w14:paraId="21D7CCAF" w14:textId="77777777" w:rsidR="007F7690" w:rsidRPr="00B272E2" w:rsidRDefault="007F7690" w:rsidP="00B272E2">
      <w:pPr>
        <w:spacing w:line="360" w:lineRule="auto"/>
        <w:rPr>
          <w:rFonts w:ascii="Arial" w:hAnsi="Arial"/>
          <w:sz w:val="21"/>
          <w:szCs w:val="21"/>
        </w:rPr>
      </w:pPr>
    </w:p>
    <w:p w14:paraId="6ED40946" w14:textId="77777777" w:rsidR="00EA5535" w:rsidRPr="00B272E2" w:rsidRDefault="00B00B5E" w:rsidP="00B272E2">
      <w:pPr>
        <w:pStyle w:val="NormalWeb"/>
        <w:spacing w:beforeLines="0" w:afterLines="0" w:line="360" w:lineRule="auto"/>
        <w:jc w:val="both"/>
        <w:rPr>
          <w:rFonts w:ascii="Arial" w:hAnsi="Arial"/>
          <w:sz w:val="21"/>
          <w:szCs w:val="21"/>
        </w:rPr>
      </w:pPr>
      <w:r w:rsidRPr="00B272E2">
        <w:rPr>
          <w:rFonts w:ascii="Arial" w:hAnsi="Arial"/>
          <w:sz w:val="21"/>
          <w:szCs w:val="21"/>
        </w:rPr>
        <w:t>Pension portfolio of indicators</w:t>
      </w:r>
      <w:r w:rsidR="00BF1038" w:rsidRPr="00B272E2">
        <w:rPr>
          <w:rFonts w:ascii="Arial" w:hAnsi="Arial"/>
          <w:sz w:val="21"/>
          <w:szCs w:val="21"/>
        </w:rPr>
        <w:t xml:space="preserve"> was</w:t>
      </w:r>
      <w:r w:rsidRPr="00B272E2">
        <w:rPr>
          <w:rFonts w:ascii="Arial" w:hAnsi="Arial"/>
          <w:sz w:val="21"/>
          <w:szCs w:val="21"/>
        </w:rPr>
        <w:t xml:space="preserve"> developed in 2006 </w:t>
      </w:r>
      <w:r w:rsidR="00BF1038" w:rsidRPr="00B272E2">
        <w:rPr>
          <w:rFonts w:ascii="Arial" w:hAnsi="Arial"/>
          <w:sz w:val="21"/>
          <w:szCs w:val="21"/>
        </w:rPr>
        <w:t xml:space="preserve">and </w:t>
      </w:r>
      <w:r w:rsidR="004805A4" w:rsidRPr="00B272E2">
        <w:rPr>
          <w:rFonts w:ascii="Arial" w:hAnsi="Arial"/>
          <w:sz w:val="21"/>
          <w:szCs w:val="21"/>
        </w:rPr>
        <w:t xml:space="preserve">it </w:t>
      </w:r>
      <w:r w:rsidRPr="00B272E2">
        <w:rPr>
          <w:rFonts w:ascii="Arial" w:hAnsi="Arial"/>
          <w:sz w:val="21"/>
          <w:szCs w:val="21"/>
        </w:rPr>
        <w:t xml:space="preserve">is still </w:t>
      </w:r>
      <w:r w:rsidR="00BF1038" w:rsidRPr="00B272E2">
        <w:rPr>
          <w:rFonts w:ascii="Arial" w:hAnsi="Arial"/>
          <w:sz w:val="21"/>
          <w:szCs w:val="21"/>
        </w:rPr>
        <w:t>current</w:t>
      </w:r>
      <w:r w:rsidRPr="00B272E2">
        <w:rPr>
          <w:rFonts w:ascii="Arial" w:hAnsi="Arial"/>
          <w:sz w:val="21"/>
          <w:szCs w:val="21"/>
        </w:rPr>
        <w:t xml:space="preserve">. </w:t>
      </w:r>
      <w:r w:rsidR="00BF1038" w:rsidRPr="00B272E2">
        <w:rPr>
          <w:rFonts w:ascii="Arial" w:hAnsi="Arial"/>
          <w:sz w:val="21"/>
          <w:szCs w:val="21"/>
        </w:rPr>
        <w:t>Main source</w:t>
      </w:r>
      <w:r w:rsidR="00D3653C" w:rsidRPr="00B272E2">
        <w:rPr>
          <w:rFonts w:ascii="Arial" w:hAnsi="Arial"/>
          <w:sz w:val="21"/>
          <w:szCs w:val="21"/>
        </w:rPr>
        <w:t xml:space="preserve"> of data are EU-SILC </w:t>
      </w:r>
      <w:r w:rsidR="00BF1038" w:rsidRPr="00B272E2">
        <w:rPr>
          <w:rFonts w:ascii="Arial" w:hAnsi="Arial"/>
          <w:sz w:val="21"/>
          <w:szCs w:val="21"/>
        </w:rPr>
        <w:t>and in few cases</w:t>
      </w:r>
      <w:r w:rsidR="00D3653C" w:rsidRPr="00B272E2">
        <w:rPr>
          <w:rFonts w:ascii="Arial" w:hAnsi="Arial"/>
          <w:sz w:val="21"/>
          <w:szCs w:val="21"/>
        </w:rPr>
        <w:t xml:space="preserve"> </w:t>
      </w:r>
      <w:r w:rsidR="008E201F" w:rsidRPr="00B272E2">
        <w:rPr>
          <w:rFonts w:ascii="Arial" w:hAnsi="Arial"/>
          <w:sz w:val="21"/>
          <w:szCs w:val="21"/>
        </w:rPr>
        <w:t xml:space="preserve">EU-LFS. </w:t>
      </w:r>
      <w:r w:rsidR="00870532" w:rsidRPr="00B272E2">
        <w:rPr>
          <w:rFonts w:ascii="Arial" w:hAnsi="Arial"/>
          <w:sz w:val="21"/>
          <w:szCs w:val="21"/>
        </w:rPr>
        <w:t>The</w:t>
      </w:r>
      <w:r w:rsidR="0091722F" w:rsidRPr="00B272E2">
        <w:rPr>
          <w:rFonts w:ascii="Arial" w:hAnsi="Arial"/>
          <w:sz w:val="21"/>
          <w:szCs w:val="21"/>
        </w:rPr>
        <w:t xml:space="preserve"> list</w:t>
      </w:r>
      <w:r w:rsidRPr="00B272E2">
        <w:rPr>
          <w:rFonts w:ascii="Arial" w:hAnsi="Arial"/>
          <w:sz w:val="21"/>
          <w:szCs w:val="21"/>
        </w:rPr>
        <w:t xml:space="preserve"> </w:t>
      </w:r>
      <w:r w:rsidR="00870532" w:rsidRPr="00B272E2">
        <w:rPr>
          <w:rFonts w:ascii="Arial" w:hAnsi="Arial"/>
          <w:sz w:val="21"/>
          <w:szCs w:val="21"/>
        </w:rPr>
        <w:t xml:space="preserve">contains </w:t>
      </w:r>
      <w:r w:rsidR="00870532" w:rsidRPr="00B272E2">
        <w:rPr>
          <w:rFonts w:ascii="Arial" w:hAnsi="Arial"/>
          <w:b/>
          <w:sz w:val="21"/>
          <w:szCs w:val="21"/>
        </w:rPr>
        <w:t>11 primary indicators, 11 secondary indicators</w:t>
      </w:r>
      <w:r w:rsidR="00870532" w:rsidRPr="00B272E2">
        <w:rPr>
          <w:rFonts w:ascii="Arial" w:hAnsi="Arial"/>
          <w:sz w:val="21"/>
          <w:szCs w:val="21"/>
        </w:rPr>
        <w:t xml:space="preserve"> and </w:t>
      </w:r>
      <w:r w:rsidR="00870532" w:rsidRPr="00B272E2">
        <w:rPr>
          <w:rFonts w:ascii="Arial" w:hAnsi="Arial"/>
          <w:b/>
          <w:sz w:val="21"/>
          <w:szCs w:val="21"/>
        </w:rPr>
        <w:t>5 context indicators</w:t>
      </w:r>
      <w:r w:rsidR="00870532" w:rsidRPr="00B272E2">
        <w:rPr>
          <w:rFonts w:ascii="Arial" w:hAnsi="Arial"/>
          <w:sz w:val="21"/>
          <w:szCs w:val="21"/>
        </w:rPr>
        <w:t xml:space="preserve"> regrouped according to the </w:t>
      </w:r>
      <w:r w:rsidR="00F3308B" w:rsidRPr="00B272E2">
        <w:rPr>
          <w:rFonts w:ascii="Arial" w:hAnsi="Arial"/>
          <w:sz w:val="21"/>
          <w:szCs w:val="21"/>
        </w:rPr>
        <w:t>objective to which t</w:t>
      </w:r>
      <w:r w:rsidR="00116C12" w:rsidRPr="00B272E2">
        <w:rPr>
          <w:rFonts w:ascii="Arial" w:hAnsi="Arial"/>
          <w:sz w:val="21"/>
          <w:szCs w:val="21"/>
        </w:rPr>
        <w:t>hey refer</w:t>
      </w:r>
      <w:r w:rsidRPr="00B272E2">
        <w:rPr>
          <w:rFonts w:ascii="Arial" w:hAnsi="Arial"/>
          <w:sz w:val="21"/>
          <w:szCs w:val="21"/>
        </w:rPr>
        <w:t xml:space="preserve">: </w:t>
      </w:r>
      <w:r w:rsidR="004805A4" w:rsidRPr="00B272E2">
        <w:rPr>
          <w:rFonts w:ascii="Arial" w:hAnsi="Arial"/>
          <w:sz w:val="21"/>
          <w:szCs w:val="21"/>
        </w:rPr>
        <w:t>1) adequate; 2) sustainable and 3</w:t>
      </w:r>
      <w:r w:rsidRPr="00B272E2">
        <w:rPr>
          <w:rFonts w:ascii="Arial" w:hAnsi="Arial"/>
          <w:sz w:val="21"/>
          <w:szCs w:val="21"/>
        </w:rPr>
        <w:t>) modernized pensions</w:t>
      </w:r>
      <w:r w:rsidR="00D84F49">
        <w:rPr>
          <w:rFonts w:ascii="Arial" w:hAnsi="Arial"/>
          <w:sz w:val="21"/>
          <w:szCs w:val="21"/>
        </w:rPr>
        <w:t xml:space="preserve"> </w:t>
      </w:r>
      <w:r w:rsidR="00116C12" w:rsidRPr="00B272E2">
        <w:rPr>
          <w:rFonts w:ascii="Arial" w:hAnsi="Arial"/>
          <w:sz w:val="21"/>
          <w:szCs w:val="21"/>
        </w:rPr>
        <w:t xml:space="preserve">(EC, 2006; </w:t>
      </w:r>
      <w:r w:rsidR="0091722F" w:rsidRPr="00B272E2">
        <w:rPr>
          <w:rFonts w:ascii="Arial" w:hAnsi="Arial"/>
          <w:sz w:val="21"/>
          <w:szCs w:val="21"/>
        </w:rPr>
        <w:t>EC, 2008; SPC</w:t>
      </w:r>
      <w:r w:rsidR="004702D1" w:rsidRPr="00B272E2">
        <w:rPr>
          <w:rFonts w:ascii="Arial" w:hAnsi="Arial"/>
          <w:sz w:val="21"/>
          <w:szCs w:val="21"/>
        </w:rPr>
        <w:t>-ISG</w:t>
      </w:r>
      <w:r w:rsidR="0091722F" w:rsidRPr="00B272E2">
        <w:rPr>
          <w:rFonts w:ascii="Arial" w:hAnsi="Arial"/>
          <w:sz w:val="21"/>
          <w:szCs w:val="21"/>
        </w:rPr>
        <w:t>, 2015).</w:t>
      </w:r>
    </w:p>
    <w:p w14:paraId="5774A901" w14:textId="77777777" w:rsidR="00672273" w:rsidRPr="00B272E2" w:rsidRDefault="00672273" w:rsidP="00B272E2">
      <w:pPr>
        <w:pStyle w:val="NormalWeb"/>
        <w:spacing w:beforeLines="0" w:afterLines="0" w:line="360" w:lineRule="auto"/>
        <w:jc w:val="both"/>
        <w:rPr>
          <w:rFonts w:ascii="Arial" w:hAnsi="Arial"/>
          <w:sz w:val="21"/>
          <w:szCs w:val="21"/>
        </w:rPr>
      </w:pPr>
    </w:p>
    <w:p w14:paraId="31847ED4" w14:textId="77777777" w:rsidR="003C4432" w:rsidRPr="00B272E2" w:rsidRDefault="006763FE" w:rsidP="008C202F">
      <w:pPr>
        <w:rPr>
          <w:rFonts w:ascii="Arial" w:hAnsi="Arial"/>
          <w:b/>
          <w:sz w:val="21"/>
          <w:szCs w:val="21"/>
        </w:rPr>
      </w:pPr>
      <w:r w:rsidRPr="00B272E2">
        <w:rPr>
          <w:rFonts w:ascii="Arial" w:hAnsi="Arial"/>
          <w:b/>
          <w:sz w:val="21"/>
          <w:szCs w:val="21"/>
        </w:rPr>
        <w:t>Adequate pensions:</w:t>
      </w:r>
      <w:r w:rsidR="00672273" w:rsidRPr="00B272E2">
        <w:rPr>
          <w:rFonts w:ascii="Arial" w:hAnsi="Arial"/>
          <w:b/>
          <w:sz w:val="21"/>
          <w:szCs w:val="21"/>
        </w:rPr>
        <w:t xml:space="preserve"> 4 primary and 8 secondary </w:t>
      </w:r>
      <w:r w:rsidR="00551BF6" w:rsidRPr="00B272E2">
        <w:rPr>
          <w:rFonts w:ascii="Arial" w:hAnsi="Arial"/>
          <w:b/>
          <w:sz w:val="21"/>
          <w:szCs w:val="21"/>
        </w:rPr>
        <w:t xml:space="preserve">indicators </w:t>
      </w:r>
      <w:r w:rsidR="00672273" w:rsidRPr="00B272E2">
        <w:rPr>
          <w:rFonts w:ascii="Arial" w:hAnsi="Arial"/>
          <w:b/>
          <w:sz w:val="21"/>
          <w:szCs w:val="21"/>
        </w:rPr>
        <w:t>(1 context information)</w:t>
      </w:r>
    </w:p>
    <w:p w14:paraId="43026155" w14:textId="77777777" w:rsidR="00145B7D" w:rsidRPr="00B272E2" w:rsidRDefault="00145B7D" w:rsidP="00B272E2">
      <w:pPr>
        <w:spacing w:line="360" w:lineRule="auto"/>
        <w:rPr>
          <w:rFonts w:ascii="Arial" w:hAnsi="Arial"/>
          <w:b/>
          <w:i/>
          <w:sz w:val="21"/>
          <w:szCs w:val="21"/>
          <w:u w:val="single"/>
        </w:rPr>
      </w:pPr>
    </w:p>
    <w:p w14:paraId="4D5CDD4F" w14:textId="77777777" w:rsidR="00672273" w:rsidRPr="00B272E2" w:rsidRDefault="003C4432" w:rsidP="00B272E2">
      <w:pPr>
        <w:spacing w:after="240" w:line="360" w:lineRule="auto"/>
        <w:jc w:val="both"/>
        <w:rPr>
          <w:rFonts w:ascii="Arial" w:hAnsi="Arial"/>
          <w:sz w:val="21"/>
          <w:szCs w:val="21"/>
        </w:rPr>
      </w:pPr>
      <w:r w:rsidRPr="00B272E2">
        <w:rPr>
          <w:rFonts w:ascii="Arial" w:hAnsi="Arial" w:cs="Times New Roman"/>
          <w:sz w:val="21"/>
          <w:szCs w:val="21"/>
        </w:rPr>
        <w:t xml:space="preserve">Almost all indicators </w:t>
      </w:r>
      <w:r w:rsidR="00BF0104" w:rsidRPr="00B272E2">
        <w:rPr>
          <w:rFonts w:ascii="Arial" w:hAnsi="Arial" w:cs="Times New Roman"/>
          <w:sz w:val="21"/>
          <w:szCs w:val="21"/>
        </w:rPr>
        <w:t>in this</w:t>
      </w:r>
      <w:r w:rsidRPr="00B272E2">
        <w:rPr>
          <w:rFonts w:ascii="Arial" w:hAnsi="Arial" w:cs="Times New Roman"/>
          <w:sz w:val="21"/>
          <w:szCs w:val="21"/>
        </w:rPr>
        <w:t xml:space="preserve"> group are “performance” indicators, i.e. actual, empirical indicators based on EU-SILC.</w:t>
      </w:r>
    </w:p>
    <w:p w14:paraId="7EA2FAF5" w14:textId="77777777" w:rsidR="00955947" w:rsidRPr="00B272E2" w:rsidRDefault="00672273" w:rsidP="00B272E2">
      <w:pPr>
        <w:spacing w:after="240" w:line="360" w:lineRule="auto"/>
        <w:jc w:val="both"/>
        <w:rPr>
          <w:rFonts w:ascii="Arial" w:hAnsi="Arial" w:cs="Times New Roman"/>
          <w:sz w:val="21"/>
          <w:szCs w:val="21"/>
        </w:rPr>
      </w:pPr>
      <w:r w:rsidRPr="00B272E2">
        <w:rPr>
          <w:rFonts w:ascii="Arial" w:hAnsi="Arial" w:cs="Times New Roman"/>
          <w:sz w:val="21"/>
          <w:szCs w:val="21"/>
        </w:rPr>
        <w:t xml:space="preserve">First primary indicator is </w:t>
      </w:r>
      <w:r w:rsidRPr="00B272E2">
        <w:rPr>
          <w:rFonts w:ascii="Arial" w:hAnsi="Arial" w:cs="Times New Roman"/>
          <w:b/>
          <w:sz w:val="21"/>
          <w:szCs w:val="21"/>
        </w:rPr>
        <w:t>at-risk-of-poverty rate of older people</w:t>
      </w:r>
      <w:r w:rsidRPr="00B272E2">
        <w:rPr>
          <w:rFonts w:ascii="Arial" w:hAnsi="Arial" w:cs="Times New Roman"/>
          <w:i/>
          <w:sz w:val="21"/>
          <w:szCs w:val="21"/>
        </w:rPr>
        <w:t xml:space="preserve"> </w:t>
      </w:r>
      <w:r w:rsidRPr="00B272E2">
        <w:rPr>
          <w:rFonts w:ascii="Arial" w:hAnsi="Arial" w:cs="Times New Roman"/>
          <w:sz w:val="21"/>
          <w:szCs w:val="21"/>
        </w:rPr>
        <w:t>(65</w:t>
      </w:r>
      <w:r w:rsidR="00551BF6" w:rsidRPr="00B272E2">
        <w:rPr>
          <w:rFonts w:ascii="Arial" w:hAnsi="Arial" w:cs="Times New Roman"/>
          <w:sz w:val="21"/>
          <w:szCs w:val="21"/>
        </w:rPr>
        <w:t xml:space="preserve"> and above</w:t>
      </w:r>
      <w:r w:rsidRPr="00B272E2">
        <w:rPr>
          <w:rFonts w:ascii="Arial" w:hAnsi="Arial" w:cs="Times New Roman"/>
          <w:sz w:val="21"/>
          <w:szCs w:val="21"/>
        </w:rPr>
        <w:t>) measuring relative poverty</w:t>
      </w:r>
      <w:r w:rsidR="00955947" w:rsidRPr="00B272E2">
        <w:rPr>
          <w:rFonts w:ascii="Arial" w:hAnsi="Arial" w:cs="Times New Roman"/>
          <w:sz w:val="21"/>
          <w:szCs w:val="21"/>
        </w:rPr>
        <w:t>. At-risk-of-poverty rate</w:t>
      </w:r>
      <w:r w:rsidRPr="00B272E2">
        <w:rPr>
          <w:rFonts w:ascii="Arial" w:hAnsi="Arial" w:cs="Times New Roman"/>
          <w:sz w:val="21"/>
          <w:szCs w:val="21"/>
        </w:rPr>
        <w:t xml:space="preserve"> </w:t>
      </w:r>
      <w:r w:rsidR="00955947" w:rsidRPr="00B272E2">
        <w:rPr>
          <w:rFonts w:ascii="Arial" w:hAnsi="Arial" w:cs="Times New Roman"/>
          <w:sz w:val="21"/>
          <w:szCs w:val="21"/>
        </w:rPr>
        <w:t xml:space="preserve">is a usual measure of poverty in the EU </w:t>
      </w:r>
      <w:r w:rsidRPr="00B272E2">
        <w:rPr>
          <w:rFonts w:ascii="Arial" w:hAnsi="Arial" w:cs="Times New Roman"/>
          <w:sz w:val="21"/>
          <w:szCs w:val="21"/>
        </w:rPr>
        <w:t xml:space="preserve">(those under 60% median income in the </w:t>
      </w:r>
      <w:r w:rsidR="00551BF6" w:rsidRPr="00B272E2">
        <w:rPr>
          <w:rFonts w:ascii="Arial" w:hAnsi="Arial" w:cs="Times New Roman"/>
          <w:sz w:val="21"/>
          <w:szCs w:val="21"/>
        </w:rPr>
        <w:t>respective</w:t>
      </w:r>
      <w:r w:rsidRPr="00B272E2">
        <w:rPr>
          <w:rFonts w:ascii="Arial" w:hAnsi="Arial" w:cs="Times New Roman"/>
          <w:sz w:val="21"/>
          <w:szCs w:val="21"/>
        </w:rPr>
        <w:t xml:space="preserve"> country).</w:t>
      </w:r>
    </w:p>
    <w:p w14:paraId="4D829259" w14:textId="77777777" w:rsidR="00DA0746" w:rsidRPr="00B272E2" w:rsidRDefault="00955947" w:rsidP="00B272E2">
      <w:pPr>
        <w:spacing w:after="240" w:line="360" w:lineRule="auto"/>
        <w:jc w:val="both"/>
        <w:rPr>
          <w:rFonts w:ascii="Arial" w:hAnsi="Arial" w:cs="Times New Roman"/>
          <w:sz w:val="21"/>
          <w:szCs w:val="21"/>
        </w:rPr>
      </w:pPr>
      <w:r w:rsidRPr="00B272E2">
        <w:rPr>
          <w:rFonts w:ascii="Arial" w:hAnsi="Arial" w:cs="Times New Roman"/>
          <w:sz w:val="21"/>
          <w:szCs w:val="21"/>
        </w:rPr>
        <w:t>Other two indicators – aggregate replacement ratio and median re</w:t>
      </w:r>
      <w:r w:rsidR="003C4432" w:rsidRPr="00B272E2">
        <w:rPr>
          <w:rFonts w:ascii="Arial" w:hAnsi="Arial" w:cs="Times New Roman"/>
          <w:sz w:val="21"/>
          <w:szCs w:val="21"/>
        </w:rPr>
        <w:t>lative income of elderly people</w:t>
      </w:r>
      <w:r w:rsidR="00A530E9" w:rsidRPr="00B272E2">
        <w:rPr>
          <w:rFonts w:ascii="Arial" w:hAnsi="Arial" w:cs="Times New Roman"/>
          <w:sz w:val="21"/>
          <w:szCs w:val="21"/>
        </w:rPr>
        <w:t>,</w:t>
      </w:r>
      <w:r w:rsidRPr="00B272E2">
        <w:rPr>
          <w:rFonts w:ascii="Arial" w:hAnsi="Arial" w:cs="Times New Roman"/>
          <w:sz w:val="21"/>
          <w:szCs w:val="21"/>
        </w:rPr>
        <w:t xml:space="preserve"> both measure </w:t>
      </w:r>
      <w:r w:rsidR="00536759" w:rsidRPr="00B272E2">
        <w:rPr>
          <w:rFonts w:ascii="Arial" w:hAnsi="Arial" w:cs="Times New Roman"/>
          <w:sz w:val="21"/>
          <w:szCs w:val="21"/>
        </w:rPr>
        <w:t>adequacy</w:t>
      </w:r>
      <w:r w:rsidR="00A530E9" w:rsidRPr="00B272E2">
        <w:rPr>
          <w:rFonts w:ascii="Arial" w:hAnsi="Arial" w:cs="Times New Roman"/>
          <w:sz w:val="21"/>
          <w:szCs w:val="21"/>
        </w:rPr>
        <w:t xml:space="preserve"> of income</w:t>
      </w:r>
      <w:r w:rsidR="00536759" w:rsidRPr="00B272E2">
        <w:rPr>
          <w:rFonts w:ascii="Arial" w:hAnsi="Arial" w:cs="Times New Roman"/>
          <w:sz w:val="21"/>
          <w:szCs w:val="21"/>
        </w:rPr>
        <w:t xml:space="preserve"> </w:t>
      </w:r>
      <w:r w:rsidR="00A530E9" w:rsidRPr="00B272E2">
        <w:rPr>
          <w:rFonts w:ascii="Arial" w:hAnsi="Arial" w:cs="Times New Roman"/>
          <w:sz w:val="21"/>
          <w:szCs w:val="21"/>
        </w:rPr>
        <w:t xml:space="preserve">relative to </w:t>
      </w:r>
      <w:r w:rsidR="003C4432" w:rsidRPr="00B272E2">
        <w:rPr>
          <w:rFonts w:ascii="Arial" w:hAnsi="Arial" w:cs="Times New Roman"/>
          <w:sz w:val="21"/>
          <w:szCs w:val="21"/>
        </w:rPr>
        <w:t xml:space="preserve">younger generations. </w:t>
      </w:r>
      <w:r w:rsidR="00A530E9" w:rsidRPr="00B272E2">
        <w:rPr>
          <w:rFonts w:ascii="Arial" w:hAnsi="Arial" w:cs="Times New Roman"/>
          <w:sz w:val="21"/>
          <w:szCs w:val="21"/>
        </w:rPr>
        <w:t>T</w:t>
      </w:r>
      <w:r w:rsidR="003C4432" w:rsidRPr="00B272E2">
        <w:rPr>
          <w:rFonts w:ascii="Arial" w:hAnsi="Arial" w:cs="Times New Roman"/>
          <w:sz w:val="21"/>
          <w:szCs w:val="21"/>
        </w:rPr>
        <w:t xml:space="preserve">he </w:t>
      </w:r>
      <w:r w:rsidR="00536759" w:rsidRPr="00B272E2">
        <w:rPr>
          <w:rFonts w:ascii="Arial" w:hAnsi="Arial" w:cs="Times New Roman"/>
          <w:b/>
          <w:sz w:val="21"/>
          <w:szCs w:val="21"/>
        </w:rPr>
        <w:t>aggregate replacement ratio</w:t>
      </w:r>
      <w:r w:rsidR="00281BC8" w:rsidRPr="00B272E2">
        <w:rPr>
          <w:rFonts w:ascii="Arial" w:hAnsi="Arial" w:cs="Times New Roman"/>
          <w:b/>
          <w:sz w:val="21"/>
          <w:szCs w:val="21"/>
        </w:rPr>
        <w:t xml:space="preserve"> (ARR)</w:t>
      </w:r>
      <w:r w:rsidR="00172A36" w:rsidRPr="00B272E2">
        <w:rPr>
          <w:rFonts w:ascii="Arial" w:hAnsi="Arial" w:cs="Times New Roman"/>
          <w:b/>
          <w:i/>
          <w:sz w:val="21"/>
          <w:szCs w:val="21"/>
        </w:rPr>
        <w:t xml:space="preserve"> </w:t>
      </w:r>
      <w:r w:rsidR="00581F33" w:rsidRPr="00B272E2">
        <w:rPr>
          <w:rFonts w:ascii="Arial" w:hAnsi="Arial" w:cs="Times New Roman"/>
          <w:sz w:val="21"/>
          <w:szCs w:val="21"/>
        </w:rPr>
        <w:t>reflects</w:t>
      </w:r>
      <w:r w:rsidR="00172A36" w:rsidRPr="00B272E2">
        <w:rPr>
          <w:rFonts w:ascii="Arial" w:hAnsi="Arial" w:cs="Times New Roman"/>
          <w:sz w:val="21"/>
          <w:szCs w:val="21"/>
        </w:rPr>
        <w:t xml:space="preserve"> </w:t>
      </w:r>
      <w:r w:rsidR="003C4432" w:rsidRPr="00B272E2">
        <w:rPr>
          <w:rFonts w:ascii="Arial" w:hAnsi="Arial" w:cs="Times New Roman"/>
          <w:sz w:val="21"/>
          <w:szCs w:val="21"/>
        </w:rPr>
        <w:t xml:space="preserve">the </w:t>
      </w:r>
      <w:r w:rsidR="00172A36" w:rsidRPr="00B272E2">
        <w:rPr>
          <w:rFonts w:ascii="Arial" w:hAnsi="Arial" w:cs="Times New Roman"/>
          <w:sz w:val="21"/>
          <w:szCs w:val="21"/>
        </w:rPr>
        <w:t xml:space="preserve">individual </w:t>
      </w:r>
      <w:r w:rsidR="003C4432" w:rsidRPr="00B272E2">
        <w:rPr>
          <w:rFonts w:ascii="Arial" w:hAnsi="Arial" w:cs="Times New Roman"/>
          <w:sz w:val="21"/>
          <w:szCs w:val="21"/>
        </w:rPr>
        <w:t xml:space="preserve">pension </w:t>
      </w:r>
      <w:r w:rsidR="00172A36" w:rsidRPr="00B272E2">
        <w:rPr>
          <w:rFonts w:ascii="Arial" w:hAnsi="Arial" w:cs="Times New Roman"/>
          <w:sz w:val="21"/>
          <w:szCs w:val="21"/>
        </w:rPr>
        <w:t xml:space="preserve">income </w:t>
      </w:r>
      <w:r w:rsidR="00587A0F" w:rsidRPr="00B272E2">
        <w:rPr>
          <w:rFonts w:ascii="Arial" w:hAnsi="Arial" w:cs="Times New Roman"/>
          <w:sz w:val="21"/>
          <w:szCs w:val="21"/>
        </w:rPr>
        <w:t xml:space="preserve">(old-age, survivors and private individual pensions) </w:t>
      </w:r>
      <w:r w:rsidR="003C4432" w:rsidRPr="00B272E2">
        <w:rPr>
          <w:rFonts w:ascii="Arial" w:hAnsi="Arial" w:cs="Times New Roman"/>
          <w:sz w:val="21"/>
          <w:szCs w:val="21"/>
        </w:rPr>
        <w:t xml:space="preserve">compared to the individual income from work of people in the decade before retirement, </w:t>
      </w:r>
      <w:r w:rsidR="00172A36" w:rsidRPr="00B272E2">
        <w:rPr>
          <w:rFonts w:ascii="Arial" w:hAnsi="Arial" w:cs="Times New Roman"/>
          <w:sz w:val="21"/>
          <w:szCs w:val="21"/>
        </w:rPr>
        <w:t>rega</w:t>
      </w:r>
      <w:r w:rsidR="00077159" w:rsidRPr="00B272E2">
        <w:rPr>
          <w:rFonts w:ascii="Arial" w:hAnsi="Arial" w:cs="Times New Roman"/>
          <w:sz w:val="21"/>
          <w:szCs w:val="21"/>
        </w:rPr>
        <w:t>rdless of the household size</w:t>
      </w:r>
      <w:r w:rsidR="00581F33" w:rsidRPr="00B272E2">
        <w:rPr>
          <w:rFonts w:ascii="Arial" w:hAnsi="Arial" w:cs="Times New Roman"/>
          <w:sz w:val="21"/>
          <w:szCs w:val="21"/>
        </w:rPr>
        <w:t>,</w:t>
      </w:r>
      <w:r w:rsidR="00077159" w:rsidRPr="00B272E2">
        <w:rPr>
          <w:rFonts w:ascii="Arial" w:hAnsi="Arial" w:cs="Times New Roman"/>
          <w:sz w:val="21"/>
          <w:szCs w:val="21"/>
        </w:rPr>
        <w:t xml:space="preserve"> hence</w:t>
      </w:r>
      <w:r w:rsidR="00172A36" w:rsidRPr="00B272E2">
        <w:rPr>
          <w:rFonts w:ascii="Arial" w:hAnsi="Arial" w:cs="Times New Roman"/>
          <w:sz w:val="21"/>
          <w:szCs w:val="21"/>
        </w:rPr>
        <w:t xml:space="preserve"> without </w:t>
      </w:r>
      <w:r w:rsidR="00E6643B" w:rsidRPr="00B272E2">
        <w:rPr>
          <w:rFonts w:ascii="Arial" w:hAnsi="Arial" w:cs="Times New Roman"/>
          <w:sz w:val="21"/>
          <w:szCs w:val="21"/>
        </w:rPr>
        <w:t>equalization</w:t>
      </w:r>
      <w:r w:rsidR="003C4432" w:rsidRPr="00B272E2">
        <w:rPr>
          <w:rFonts w:ascii="Arial" w:hAnsi="Arial" w:cs="Times New Roman"/>
          <w:sz w:val="21"/>
          <w:szCs w:val="21"/>
        </w:rPr>
        <w:t xml:space="preserve"> and excluding other social benefits</w:t>
      </w:r>
      <w:r w:rsidR="00A530E9" w:rsidRPr="00B272E2">
        <w:rPr>
          <w:rFonts w:ascii="Arial" w:hAnsi="Arial" w:cs="Times New Roman"/>
          <w:sz w:val="21"/>
          <w:szCs w:val="21"/>
        </w:rPr>
        <w:t xml:space="preserve">. </w:t>
      </w:r>
      <w:r w:rsidR="00A530E9" w:rsidRPr="00B272E2">
        <w:rPr>
          <w:rFonts w:ascii="Arial" w:hAnsi="Arial" w:cs="Times New Roman"/>
          <w:b/>
          <w:sz w:val="21"/>
          <w:szCs w:val="21"/>
        </w:rPr>
        <w:t>M</w:t>
      </w:r>
      <w:r w:rsidR="00E6643B" w:rsidRPr="00B272E2">
        <w:rPr>
          <w:rFonts w:ascii="Arial" w:hAnsi="Arial" w:cs="Times New Roman"/>
          <w:b/>
          <w:sz w:val="21"/>
          <w:szCs w:val="21"/>
        </w:rPr>
        <w:t>edian relative income of elderly people</w:t>
      </w:r>
      <w:r w:rsidR="00E6643B" w:rsidRPr="00B272E2">
        <w:rPr>
          <w:rFonts w:ascii="Arial" w:hAnsi="Arial" w:cs="Times New Roman"/>
          <w:b/>
          <w:i/>
          <w:sz w:val="21"/>
          <w:szCs w:val="21"/>
        </w:rPr>
        <w:t xml:space="preserve"> </w:t>
      </w:r>
      <w:r w:rsidR="0081224E">
        <w:rPr>
          <w:rFonts w:ascii="Arial" w:hAnsi="Arial" w:cs="Times New Roman"/>
          <w:b/>
          <w:sz w:val="21"/>
          <w:szCs w:val="21"/>
        </w:rPr>
        <w:t xml:space="preserve">(MRI 65+) </w:t>
      </w:r>
      <w:r w:rsidR="00E6643B" w:rsidRPr="00B272E2">
        <w:rPr>
          <w:rFonts w:ascii="Arial" w:hAnsi="Arial" w:cs="Times New Roman"/>
          <w:sz w:val="21"/>
          <w:szCs w:val="21"/>
        </w:rPr>
        <w:t xml:space="preserve">is broader </w:t>
      </w:r>
      <w:r w:rsidR="003C4432" w:rsidRPr="00B272E2">
        <w:rPr>
          <w:rFonts w:ascii="Arial" w:hAnsi="Arial" w:cs="Times New Roman"/>
          <w:sz w:val="21"/>
          <w:szCs w:val="21"/>
        </w:rPr>
        <w:t>in scope</w:t>
      </w:r>
      <w:r w:rsidR="00675207" w:rsidRPr="00B272E2">
        <w:rPr>
          <w:rFonts w:ascii="Arial" w:hAnsi="Arial" w:cs="Times New Roman"/>
          <w:sz w:val="21"/>
          <w:szCs w:val="21"/>
        </w:rPr>
        <w:t xml:space="preserve"> both </w:t>
      </w:r>
      <w:r w:rsidR="003C4432" w:rsidRPr="00B272E2">
        <w:rPr>
          <w:rFonts w:ascii="Arial" w:hAnsi="Arial" w:cs="Times New Roman"/>
          <w:sz w:val="21"/>
          <w:szCs w:val="21"/>
        </w:rPr>
        <w:t xml:space="preserve">in terms of </w:t>
      </w:r>
      <w:r w:rsidR="00675207" w:rsidRPr="00B272E2">
        <w:rPr>
          <w:rFonts w:ascii="Arial" w:hAnsi="Arial" w:cs="Times New Roman"/>
          <w:sz w:val="21"/>
          <w:szCs w:val="21"/>
        </w:rPr>
        <w:t xml:space="preserve">the income concept </w:t>
      </w:r>
      <w:r w:rsidR="00A530E9" w:rsidRPr="00B272E2">
        <w:rPr>
          <w:rFonts w:ascii="Arial" w:hAnsi="Arial" w:cs="Times New Roman"/>
          <w:sz w:val="21"/>
          <w:szCs w:val="21"/>
        </w:rPr>
        <w:t>and</w:t>
      </w:r>
      <w:r w:rsidR="00675207" w:rsidRPr="00B272E2">
        <w:rPr>
          <w:rFonts w:ascii="Arial" w:hAnsi="Arial" w:cs="Times New Roman"/>
          <w:sz w:val="21"/>
          <w:szCs w:val="21"/>
        </w:rPr>
        <w:t xml:space="preserve"> the age groups that are considered</w:t>
      </w:r>
      <w:r w:rsidR="00D84F49">
        <w:rPr>
          <w:rFonts w:ascii="Arial" w:hAnsi="Arial" w:cs="Times New Roman"/>
          <w:sz w:val="21"/>
          <w:szCs w:val="21"/>
        </w:rPr>
        <w:t xml:space="preserve"> (Agilis, 2014)</w:t>
      </w:r>
      <w:r w:rsidR="00A530E9" w:rsidRPr="00B272E2">
        <w:rPr>
          <w:rFonts w:ascii="Arial" w:hAnsi="Arial" w:cs="Times New Roman"/>
          <w:sz w:val="21"/>
          <w:szCs w:val="21"/>
        </w:rPr>
        <w:t>, and takes into account household structure and size</w:t>
      </w:r>
      <w:r w:rsidR="00E6643B" w:rsidRPr="00B272E2">
        <w:rPr>
          <w:rFonts w:ascii="Arial" w:hAnsi="Arial" w:cs="Times New Roman"/>
          <w:sz w:val="21"/>
          <w:szCs w:val="21"/>
        </w:rPr>
        <w:t xml:space="preserve">. </w:t>
      </w:r>
      <w:r w:rsidR="00A530E9" w:rsidRPr="00B272E2">
        <w:rPr>
          <w:rFonts w:ascii="Arial" w:hAnsi="Arial" w:cs="Times New Roman"/>
          <w:sz w:val="21"/>
          <w:szCs w:val="21"/>
        </w:rPr>
        <w:t>It compares median equ</w:t>
      </w:r>
      <w:r w:rsidR="00326BF2" w:rsidRPr="00B272E2">
        <w:rPr>
          <w:rFonts w:ascii="Arial" w:hAnsi="Arial" w:cs="Times New Roman"/>
          <w:sz w:val="21"/>
          <w:szCs w:val="21"/>
        </w:rPr>
        <w:t>a</w:t>
      </w:r>
      <w:r w:rsidR="00A530E9" w:rsidRPr="00B272E2">
        <w:rPr>
          <w:rFonts w:ascii="Arial" w:hAnsi="Arial" w:cs="Times New Roman"/>
          <w:sz w:val="21"/>
          <w:szCs w:val="21"/>
        </w:rPr>
        <w:t>li</w:t>
      </w:r>
      <w:r w:rsidR="00581F33" w:rsidRPr="00B272E2">
        <w:rPr>
          <w:rFonts w:ascii="Arial" w:hAnsi="Arial" w:cs="Times New Roman"/>
          <w:sz w:val="21"/>
          <w:szCs w:val="21"/>
        </w:rPr>
        <w:t>z</w:t>
      </w:r>
      <w:r w:rsidR="00A530E9" w:rsidRPr="00B272E2">
        <w:rPr>
          <w:rFonts w:ascii="Arial" w:hAnsi="Arial" w:cs="Times New Roman"/>
          <w:sz w:val="21"/>
          <w:szCs w:val="21"/>
        </w:rPr>
        <w:t>ed income of people aged 65</w:t>
      </w:r>
      <w:r w:rsidR="00581F33" w:rsidRPr="00B272E2">
        <w:rPr>
          <w:rFonts w:ascii="Arial" w:hAnsi="Arial" w:cs="Times New Roman"/>
          <w:sz w:val="21"/>
          <w:szCs w:val="21"/>
        </w:rPr>
        <w:t xml:space="preserve"> and above</w:t>
      </w:r>
      <w:r w:rsidR="00A530E9" w:rsidRPr="00B272E2">
        <w:rPr>
          <w:rFonts w:ascii="Arial" w:hAnsi="Arial" w:cs="Times New Roman"/>
          <w:sz w:val="21"/>
          <w:szCs w:val="21"/>
        </w:rPr>
        <w:t xml:space="preserve"> as a ratio of</w:t>
      </w:r>
      <w:r w:rsidR="00EE20C7">
        <w:rPr>
          <w:rFonts w:ascii="Arial" w:hAnsi="Arial" w:cs="Times New Roman"/>
          <w:sz w:val="21"/>
          <w:szCs w:val="21"/>
        </w:rPr>
        <w:t xml:space="preserve"> median </w:t>
      </w:r>
      <w:r w:rsidR="00654E2E">
        <w:rPr>
          <w:rFonts w:ascii="Arial" w:hAnsi="Arial" w:cs="Times New Roman"/>
          <w:sz w:val="21"/>
          <w:szCs w:val="21"/>
        </w:rPr>
        <w:t>equalized</w:t>
      </w:r>
      <w:r w:rsidR="00A530E9" w:rsidRPr="00B272E2">
        <w:rPr>
          <w:rFonts w:ascii="Arial" w:hAnsi="Arial" w:cs="Times New Roman"/>
          <w:sz w:val="21"/>
          <w:szCs w:val="21"/>
        </w:rPr>
        <w:t xml:space="preserve"> income of people aged 0-64. </w:t>
      </w:r>
      <w:r w:rsidR="00077159" w:rsidRPr="00B272E2">
        <w:rPr>
          <w:rFonts w:ascii="Arial" w:hAnsi="Arial" w:cs="Times New Roman"/>
          <w:sz w:val="21"/>
          <w:szCs w:val="21"/>
        </w:rPr>
        <w:t>Therefore</w:t>
      </w:r>
      <w:r w:rsidR="00A530E9" w:rsidRPr="00B272E2">
        <w:rPr>
          <w:rFonts w:ascii="Arial" w:hAnsi="Arial" w:cs="Times New Roman"/>
          <w:sz w:val="21"/>
          <w:szCs w:val="21"/>
        </w:rPr>
        <w:t xml:space="preserve">, the </w:t>
      </w:r>
      <w:r w:rsidR="00281BC8" w:rsidRPr="00B272E2">
        <w:rPr>
          <w:rFonts w:ascii="Arial" w:hAnsi="Arial" w:cs="Times New Roman"/>
          <w:sz w:val="21"/>
          <w:szCs w:val="21"/>
        </w:rPr>
        <w:t>ARR</w:t>
      </w:r>
      <w:r w:rsidR="00DB75CB" w:rsidRPr="00B272E2">
        <w:rPr>
          <w:rFonts w:ascii="Arial" w:hAnsi="Arial" w:cs="Times New Roman"/>
          <w:sz w:val="21"/>
          <w:szCs w:val="21"/>
        </w:rPr>
        <w:t xml:space="preserve"> informs on the </w:t>
      </w:r>
      <w:r w:rsidR="00581F33" w:rsidRPr="00B272E2">
        <w:rPr>
          <w:rFonts w:ascii="Arial" w:hAnsi="Arial" w:cs="Times New Roman"/>
          <w:sz w:val="21"/>
          <w:szCs w:val="21"/>
        </w:rPr>
        <w:t xml:space="preserve">adequacy of pensions, while </w:t>
      </w:r>
      <w:r w:rsidR="00077159" w:rsidRPr="00B272E2">
        <w:rPr>
          <w:rFonts w:ascii="Arial" w:hAnsi="Arial" w:cs="Times New Roman"/>
          <w:sz w:val="21"/>
          <w:szCs w:val="21"/>
        </w:rPr>
        <w:t>the median relative income 65</w:t>
      </w:r>
      <w:r w:rsidR="00654E2E">
        <w:rPr>
          <w:rFonts w:ascii="Arial" w:hAnsi="Arial" w:cs="Times New Roman"/>
          <w:sz w:val="21"/>
          <w:szCs w:val="21"/>
        </w:rPr>
        <w:t>+</w:t>
      </w:r>
      <w:r w:rsidR="00077159" w:rsidRPr="00B272E2">
        <w:rPr>
          <w:rFonts w:ascii="Arial" w:hAnsi="Arial" w:cs="Times New Roman"/>
          <w:sz w:val="21"/>
          <w:szCs w:val="21"/>
        </w:rPr>
        <w:t xml:space="preserve"> </w:t>
      </w:r>
      <w:r w:rsidR="00DB75CB" w:rsidRPr="00B272E2">
        <w:rPr>
          <w:rFonts w:ascii="Arial" w:hAnsi="Arial" w:cs="Times New Roman"/>
          <w:sz w:val="21"/>
          <w:szCs w:val="21"/>
        </w:rPr>
        <w:t>informs on the overall adequacy of older peoples</w:t>
      </w:r>
      <w:r w:rsidR="00205F34" w:rsidRPr="00B272E2">
        <w:rPr>
          <w:rFonts w:ascii="Arial" w:hAnsi="Arial" w:cs="Times New Roman"/>
          <w:sz w:val="21"/>
          <w:szCs w:val="21"/>
        </w:rPr>
        <w:t>’</w:t>
      </w:r>
      <w:r w:rsidR="00DB75CB" w:rsidRPr="00B272E2">
        <w:rPr>
          <w:rFonts w:ascii="Arial" w:hAnsi="Arial" w:cs="Times New Roman"/>
          <w:sz w:val="21"/>
          <w:szCs w:val="21"/>
        </w:rPr>
        <w:t xml:space="preserve"> income and their relative position compared to others. </w:t>
      </w:r>
    </w:p>
    <w:p w14:paraId="2535383A" w14:textId="77777777" w:rsidR="00A6706E" w:rsidRPr="00B272E2" w:rsidRDefault="00077159" w:rsidP="00B272E2">
      <w:pPr>
        <w:spacing w:after="240" w:line="360" w:lineRule="auto"/>
        <w:jc w:val="both"/>
        <w:rPr>
          <w:rFonts w:ascii="Arial" w:hAnsi="Arial" w:cs="Times New Roman"/>
          <w:sz w:val="21"/>
          <w:szCs w:val="21"/>
        </w:rPr>
      </w:pPr>
      <w:r w:rsidRPr="00B272E2">
        <w:rPr>
          <w:rFonts w:ascii="Arial" w:hAnsi="Arial" w:cs="Times New Roman"/>
          <w:sz w:val="21"/>
          <w:szCs w:val="21"/>
        </w:rPr>
        <w:t>Different v</w:t>
      </w:r>
      <w:r w:rsidR="00DA0746" w:rsidRPr="00B272E2">
        <w:rPr>
          <w:rFonts w:ascii="Arial" w:hAnsi="Arial" w:cs="Times New Roman"/>
          <w:sz w:val="21"/>
          <w:szCs w:val="21"/>
        </w:rPr>
        <w:t>ar</w:t>
      </w:r>
      <w:r w:rsidR="00205F34" w:rsidRPr="00B272E2">
        <w:rPr>
          <w:rFonts w:ascii="Arial" w:hAnsi="Arial" w:cs="Times New Roman"/>
          <w:sz w:val="21"/>
          <w:szCs w:val="21"/>
        </w:rPr>
        <w:t>iants of these three indicators serve as a seco</w:t>
      </w:r>
      <w:r w:rsidRPr="00B272E2">
        <w:rPr>
          <w:rFonts w:ascii="Arial" w:hAnsi="Arial" w:cs="Times New Roman"/>
          <w:sz w:val="21"/>
          <w:szCs w:val="21"/>
        </w:rPr>
        <w:t>ndary indicators:</w:t>
      </w:r>
      <w:r w:rsidR="00205F34" w:rsidRPr="00B272E2">
        <w:rPr>
          <w:rFonts w:ascii="Arial" w:hAnsi="Arial" w:cs="Times New Roman"/>
          <w:sz w:val="21"/>
          <w:szCs w:val="21"/>
        </w:rPr>
        <w:t xml:space="preserve"> </w:t>
      </w:r>
      <w:r w:rsidRPr="00B272E2">
        <w:rPr>
          <w:rFonts w:ascii="Arial" w:hAnsi="Arial" w:cs="Times New Roman"/>
          <w:b/>
          <w:sz w:val="21"/>
          <w:szCs w:val="21"/>
        </w:rPr>
        <w:t>a</w:t>
      </w:r>
      <w:r w:rsidR="00DA0746" w:rsidRPr="00B272E2">
        <w:rPr>
          <w:rFonts w:ascii="Arial" w:hAnsi="Arial" w:cs="Times New Roman"/>
          <w:b/>
          <w:sz w:val="21"/>
          <w:szCs w:val="21"/>
        </w:rPr>
        <w:t xml:space="preserve">t-risk-of poverty rate </w:t>
      </w:r>
      <w:r w:rsidR="00DA0746" w:rsidRPr="00B272E2">
        <w:rPr>
          <w:rFonts w:ascii="Arial" w:hAnsi="Arial" w:cs="Times New Roman"/>
          <w:sz w:val="21"/>
          <w:szCs w:val="21"/>
        </w:rPr>
        <w:t xml:space="preserve">and </w:t>
      </w:r>
      <w:r w:rsidR="00DA0746" w:rsidRPr="00B272E2">
        <w:rPr>
          <w:rFonts w:ascii="Arial" w:hAnsi="Arial" w:cs="Times New Roman"/>
          <w:b/>
          <w:sz w:val="21"/>
          <w:szCs w:val="21"/>
        </w:rPr>
        <w:t xml:space="preserve">median relative income </w:t>
      </w:r>
      <w:r w:rsidR="00DB75CB" w:rsidRPr="00B272E2">
        <w:rPr>
          <w:rFonts w:ascii="Arial" w:hAnsi="Arial" w:cs="Times New Roman"/>
          <w:sz w:val="21"/>
          <w:szCs w:val="21"/>
        </w:rPr>
        <w:t>for various age breakdowns</w:t>
      </w:r>
      <w:r w:rsidR="00DB75CB" w:rsidRPr="00B272E2">
        <w:rPr>
          <w:rFonts w:ascii="Arial" w:hAnsi="Arial" w:cs="Times New Roman"/>
          <w:b/>
          <w:sz w:val="21"/>
          <w:szCs w:val="21"/>
        </w:rPr>
        <w:t xml:space="preserve"> (0-59, 60</w:t>
      </w:r>
      <w:r w:rsidR="00326BF2" w:rsidRPr="00B272E2">
        <w:rPr>
          <w:rFonts w:ascii="Arial" w:hAnsi="Arial" w:cs="Times New Roman"/>
          <w:b/>
          <w:sz w:val="21"/>
          <w:szCs w:val="21"/>
        </w:rPr>
        <w:t xml:space="preserve"> and above</w:t>
      </w:r>
      <w:r w:rsidR="00DB75CB" w:rsidRPr="00B272E2">
        <w:rPr>
          <w:rFonts w:ascii="Arial" w:hAnsi="Arial" w:cs="Times New Roman"/>
          <w:b/>
          <w:sz w:val="21"/>
          <w:szCs w:val="21"/>
        </w:rPr>
        <w:t>, 0-75, 75</w:t>
      </w:r>
      <w:r w:rsidR="00326BF2" w:rsidRPr="00B272E2">
        <w:rPr>
          <w:rFonts w:ascii="Arial" w:hAnsi="Arial" w:cs="Times New Roman"/>
          <w:b/>
          <w:sz w:val="21"/>
          <w:szCs w:val="21"/>
        </w:rPr>
        <w:t xml:space="preserve"> and above</w:t>
      </w:r>
      <w:r w:rsidR="00DB75CB" w:rsidRPr="00B272E2">
        <w:rPr>
          <w:rFonts w:ascii="Arial" w:hAnsi="Arial" w:cs="Times New Roman"/>
          <w:b/>
          <w:sz w:val="21"/>
          <w:szCs w:val="21"/>
        </w:rPr>
        <w:t>)</w:t>
      </w:r>
      <w:r w:rsidRPr="00B272E2">
        <w:rPr>
          <w:rFonts w:ascii="Arial" w:hAnsi="Arial" w:cs="Times New Roman"/>
          <w:b/>
          <w:sz w:val="21"/>
          <w:szCs w:val="21"/>
        </w:rPr>
        <w:t xml:space="preserve">, </w:t>
      </w:r>
      <w:r w:rsidRPr="00B272E2">
        <w:rPr>
          <w:rFonts w:ascii="Arial" w:hAnsi="Arial" w:cs="Times New Roman"/>
          <w:sz w:val="21"/>
          <w:szCs w:val="21"/>
        </w:rPr>
        <w:t>which</w:t>
      </w:r>
      <w:r w:rsidR="00DB75CB" w:rsidRPr="00B272E2">
        <w:rPr>
          <w:rFonts w:ascii="Arial" w:hAnsi="Arial" w:cs="Times New Roman"/>
          <w:sz w:val="21"/>
          <w:szCs w:val="21"/>
        </w:rPr>
        <w:t xml:space="preserve"> allow to isolate the specific sit</w:t>
      </w:r>
      <w:r w:rsidR="00205F34" w:rsidRPr="00B272E2">
        <w:rPr>
          <w:rFonts w:ascii="Arial" w:hAnsi="Arial" w:cs="Times New Roman"/>
          <w:sz w:val="21"/>
          <w:szCs w:val="21"/>
        </w:rPr>
        <w:t xml:space="preserve">uation of </w:t>
      </w:r>
      <w:r w:rsidR="00326BF2" w:rsidRPr="00B272E2">
        <w:rPr>
          <w:rFonts w:ascii="Arial" w:hAnsi="Arial" w:cs="Times New Roman"/>
          <w:sz w:val="21"/>
          <w:szCs w:val="21"/>
        </w:rPr>
        <w:t>a different age group</w:t>
      </w:r>
      <w:r w:rsidR="00532312" w:rsidRPr="00B272E2">
        <w:rPr>
          <w:rFonts w:ascii="Arial" w:hAnsi="Arial" w:cs="Times New Roman"/>
          <w:sz w:val="21"/>
          <w:szCs w:val="21"/>
        </w:rPr>
        <w:t xml:space="preserve">; </w:t>
      </w:r>
      <w:r w:rsidR="00532312" w:rsidRPr="00B272E2">
        <w:rPr>
          <w:rFonts w:ascii="Arial" w:hAnsi="Arial" w:cs="Times New Roman"/>
          <w:b/>
          <w:sz w:val="21"/>
          <w:szCs w:val="21"/>
        </w:rPr>
        <w:t xml:space="preserve">at-risk-of poverty </w:t>
      </w:r>
      <w:r w:rsidR="00587A0F" w:rsidRPr="00B272E2">
        <w:rPr>
          <w:rFonts w:ascii="Arial" w:hAnsi="Arial" w:cs="Times New Roman"/>
          <w:b/>
          <w:sz w:val="21"/>
          <w:szCs w:val="21"/>
        </w:rPr>
        <w:t xml:space="preserve">rates </w:t>
      </w:r>
      <w:r w:rsidR="00532312" w:rsidRPr="00B272E2">
        <w:rPr>
          <w:rFonts w:ascii="Arial" w:hAnsi="Arial" w:cs="Times New Roman"/>
          <w:b/>
          <w:sz w:val="21"/>
          <w:szCs w:val="21"/>
        </w:rPr>
        <w:t xml:space="preserve">calculated for different percentages of median </w:t>
      </w:r>
      <w:r w:rsidR="00532312" w:rsidRPr="00B272E2">
        <w:rPr>
          <w:rFonts w:ascii="Arial" w:hAnsi="Arial" w:cs="Times New Roman"/>
          <w:sz w:val="21"/>
          <w:szCs w:val="21"/>
        </w:rPr>
        <w:t>(50%, 70%)</w:t>
      </w:r>
      <w:r w:rsidR="00314359" w:rsidRPr="00B272E2">
        <w:rPr>
          <w:rStyle w:val="FootnoteReference"/>
          <w:rFonts w:ascii="Arial" w:hAnsi="Arial" w:cs="Times New Roman"/>
          <w:sz w:val="21"/>
          <w:szCs w:val="21"/>
        </w:rPr>
        <w:footnoteReference w:id="1"/>
      </w:r>
      <w:r w:rsidR="00DB75CB" w:rsidRPr="00B272E2">
        <w:rPr>
          <w:rFonts w:ascii="Arial" w:hAnsi="Arial" w:cs="Times New Roman"/>
          <w:b/>
          <w:sz w:val="21"/>
          <w:szCs w:val="21"/>
        </w:rPr>
        <w:t xml:space="preserve"> </w:t>
      </w:r>
      <w:r w:rsidR="008A6DF0" w:rsidRPr="00B272E2">
        <w:rPr>
          <w:rFonts w:ascii="Arial" w:hAnsi="Arial" w:cs="Times New Roman"/>
          <w:sz w:val="21"/>
          <w:szCs w:val="21"/>
        </w:rPr>
        <w:t>as a complementary poverty rates</w:t>
      </w:r>
      <w:r w:rsidR="00D04ED8" w:rsidRPr="00B272E2">
        <w:rPr>
          <w:rFonts w:ascii="Arial" w:hAnsi="Arial" w:cs="Times New Roman"/>
          <w:sz w:val="21"/>
          <w:szCs w:val="21"/>
        </w:rPr>
        <w:t xml:space="preserve"> measure;</w:t>
      </w:r>
      <w:r w:rsidR="008A6DF0" w:rsidRPr="00B272E2">
        <w:rPr>
          <w:rFonts w:ascii="Arial" w:hAnsi="Arial" w:cs="Times New Roman"/>
          <w:sz w:val="21"/>
          <w:szCs w:val="21"/>
        </w:rPr>
        <w:t xml:space="preserve"> </w:t>
      </w:r>
      <w:r w:rsidR="00326BF2" w:rsidRPr="00B272E2">
        <w:rPr>
          <w:rFonts w:ascii="Arial" w:hAnsi="Arial" w:cs="Times New Roman"/>
          <w:b/>
          <w:sz w:val="21"/>
          <w:szCs w:val="21"/>
        </w:rPr>
        <w:t>at-</w:t>
      </w:r>
      <w:r w:rsidR="00587A0F" w:rsidRPr="00B272E2">
        <w:rPr>
          <w:rFonts w:ascii="Arial" w:hAnsi="Arial" w:cs="Times New Roman"/>
          <w:b/>
          <w:sz w:val="21"/>
          <w:szCs w:val="21"/>
        </w:rPr>
        <w:t xml:space="preserve">risk-of poverty </w:t>
      </w:r>
      <w:r w:rsidR="00A9026D">
        <w:rPr>
          <w:rFonts w:ascii="Arial" w:hAnsi="Arial" w:cs="Times New Roman"/>
          <w:b/>
          <w:sz w:val="21"/>
          <w:szCs w:val="21"/>
        </w:rPr>
        <w:t xml:space="preserve">rate </w:t>
      </w:r>
      <w:r w:rsidR="00587A0F" w:rsidRPr="00B272E2">
        <w:rPr>
          <w:rFonts w:ascii="Arial" w:hAnsi="Arial" w:cs="Times New Roman"/>
          <w:b/>
          <w:sz w:val="21"/>
          <w:szCs w:val="21"/>
        </w:rPr>
        <w:t xml:space="preserve">for pensioners </w:t>
      </w:r>
      <w:r w:rsidR="00587A0F" w:rsidRPr="00B272E2">
        <w:rPr>
          <w:rFonts w:ascii="Arial" w:hAnsi="Arial" w:cs="Times New Roman"/>
          <w:sz w:val="21"/>
          <w:szCs w:val="21"/>
        </w:rPr>
        <w:t>and</w:t>
      </w:r>
      <w:r w:rsidR="00587A0F" w:rsidRPr="00B272E2">
        <w:rPr>
          <w:rFonts w:ascii="Arial" w:hAnsi="Arial" w:cs="Times New Roman"/>
          <w:b/>
          <w:sz w:val="21"/>
          <w:szCs w:val="21"/>
        </w:rPr>
        <w:t xml:space="preserve"> </w:t>
      </w:r>
      <w:r w:rsidR="00DB75CB" w:rsidRPr="00B272E2">
        <w:rPr>
          <w:rFonts w:ascii="Arial" w:hAnsi="Arial" w:cs="Times New Roman"/>
          <w:b/>
          <w:sz w:val="21"/>
          <w:szCs w:val="21"/>
        </w:rPr>
        <w:t>aggregate replacement rate</w:t>
      </w:r>
      <w:r w:rsidRPr="00B272E2">
        <w:rPr>
          <w:rFonts w:ascii="Arial" w:hAnsi="Arial" w:cs="Times New Roman"/>
          <w:b/>
          <w:sz w:val="21"/>
          <w:szCs w:val="21"/>
        </w:rPr>
        <w:t xml:space="preserve"> (including other </w:t>
      </w:r>
      <w:r w:rsidR="005716EC" w:rsidRPr="00B272E2">
        <w:rPr>
          <w:rFonts w:ascii="Arial" w:hAnsi="Arial" w:cs="Times New Roman"/>
          <w:b/>
          <w:sz w:val="21"/>
          <w:szCs w:val="21"/>
        </w:rPr>
        <w:t xml:space="preserve">social benefits), </w:t>
      </w:r>
      <w:r w:rsidR="005716EC" w:rsidRPr="00B272E2">
        <w:rPr>
          <w:rFonts w:ascii="Arial" w:hAnsi="Arial" w:cs="Times New Roman"/>
          <w:sz w:val="21"/>
          <w:szCs w:val="21"/>
        </w:rPr>
        <w:t xml:space="preserve">which </w:t>
      </w:r>
      <w:r w:rsidR="00C961C5" w:rsidRPr="00B272E2">
        <w:rPr>
          <w:rFonts w:ascii="Arial" w:hAnsi="Arial" w:cs="Times New Roman"/>
          <w:sz w:val="21"/>
          <w:szCs w:val="21"/>
        </w:rPr>
        <w:t>measures adequacy of</w:t>
      </w:r>
      <w:r w:rsidR="005716EC" w:rsidRPr="00B272E2">
        <w:rPr>
          <w:rFonts w:ascii="Arial" w:hAnsi="Arial" w:cs="Times New Roman"/>
          <w:sz w:val="21"/>
          <w:szCs w:val="21"/>
        </w:rPr>
        <w:t xml:space="preserve"> </w:t>
      </w:r>
      <w:r w:rsidR="00A92627" w:rsidRPr="00B272E2">
        <w:rPr>
          <w:rFonts w:ascii="Arial" w:hAnsi="Arial" w:cs="Times New Roman"/>
          <w:sz w:val="21"/>
          <w:szCs w:val="21"/>
        </w:rPr>
        <w:t xml:space="preserve">overall </w:t>
      </w:r>
      <w:r w:rsidR="00C961C5" w:rsidRPr="00B272E2">
        <w:rPr>
          <w:rFonts w:ascii="Arial" w:hAnsi="Arial" w:cs="Times New Roman"/>
          <w:sz w:val="21"/>
          <w:szCs w:val="21"/>
        </w:rPr>
        <w:t xml:space="preserve">welfare state </w:t>
      </w:r>
      <w:r w:rsidR="00A92627" w:rsidRPr="00B272E2">
        <w:rPr>
          <w:rFonts w:ascii="Arial" w:hAnsi="Arial" w:cs="Times New Roman"/>
          <w:sz w:val="21"/>
          <w:szCs w:val="21"/>
        </w:rPr>
        <w:t xml:space="preserve">benefits </w:t>
      </w:r>
      <w:r w:rsidR="00C961C5" w:rsidRPr="00B272E2">
        <w:rPr>
          <w:rFonts w:ascii="Arial" w:hAnsi="Arial" w:cs="Times New Roman"/>
          <w:sz w:val="21"/>
          <w:szCs w:val="21"/>
        </w:rPr>
        <w:t>ra</w:t>
      </w:r>
      <w:r w:rsidR="00532312" w:rsidRPr="00B272E2">
        <w:rPr>
          <w:rFonts w:ascii="Arial" w:hAnsi="Arial" w:cs="Times New Roman"/>
          <w:sz w:val="21"/>
          <w:szCs w:val="21"/>
        </w:rPr>
        <w:t>ther than pensions system</w:t>
      </w:r>
      <w:r w:rsidR="00A92627" w:rsidRPr="00B272E2">
        <w:rPr>
          <w:rFonts w:ascii="Arial" w:hAnsi="Arial" w:cs="Times New Roman"/>
          <w:sz w:val="21"/>
          <w:szCs w:val="21"/>
        </w:rPr>
        <w:t xml:space="preserve"> </w:t>
      </w:r>
      <w:r w:rsidR="00326BF2" w:rsidRPr="00B272E2">
        <w:rPr>
          <w:rFonts w:ascii="Arial" w:hAnsi="Arial" w:cs="Times New Roman"/>
          <w:sz w:val="21"/>
          <w:szCs w:val="21"/>
        </w:rPr>
        <w:t>solely</w:t>
      </w:r>
      <w:r w:rsidR="00A6706E" w:rsidRPr="00B272E2">
        <w:rPr>
          <w:rFonts w:ascii="Arial" w:hAnsi="Arial" w:cs="Times New Roman"/>
          <w:sz w:val="21"/>
          <w:szCs w:val="21"/>
        </w:rPr>
        <w:t xml:space="preserve">. </w:t>
      </w:r>
    </w:p>
    <w:p w14:paraId="05BABF06" w14:textId="77777777" w:rsidR="003C4432" w:rsidRPr="00B272E2" w:rsidRDefault="00A6706E" w:rsidP="00B272E2">
      <w:pPr>
        <w:spacing w:after="240" w:line="360" w:lineRule="auto"/>
        <w:jc w:val="both"/>
        <w:rPr>
          <w:rFonts w:ascii="Arial" w:hAnsi="Arial" w:cs="Times New Roman"/>
          <w:b/>
          <w:i/>
          <w:sz w:val="21"/>
          <w:szCs w:val="21"/>
        </w:rPr>
      </w:pPr>
      <w:r w:rsidRPr="00B272E2">
        <w:rPr>
          <w:rFonts w:ascii="Arial" w:hAnsi="Arial" w:cs="Times New Roman"/>
          <w:sz w:val="21"/>
          <w:szCs w:val="21"/>
        </w:rPr>
        <w:lastRenderedPageBreak/>
        <w:t xml:space="preserve">In addition, </w:t>
      </w:r>
      <w:r w:rsidR="00587A0F" w:rsidRPr="00B272E2">
        <w:rPr>
          <w:rFonts w:ascii="Arial" w:hAnsi="Arial" w:cs="Times New Roman"/>
          <w:sz w:val="21"/>
          <w:szCs w:val="21"/>
        </w:rPr>
        <w:t>secondary indicators</w:t>
      </w:r>
      <w:r w:rsidR="00BB564B" w:rsidRPr="00B272E2">
        <w:rPr>
          <w:rFonts w:ascii="Arial" w:hAnsi="Arial" w:cs="Times New Roman"/>
          <w:sz w:val="21"/>
          <w:szCs w:val="21"/>
        </w:rPr>
        <w:t xml:space="preserve"> include </w:t>
      </w:r>
      <w:r w:rsidR="00D04ED8" w:rsidRPr="00B272E2">
        <w:rPr>
          <w:rFonts w:ascii="Arial" w:hAnsi="Arial" w:cs="Times New Roman"/>
          <w:b/>
          <w:sz w:val="21"/>
          <w:szCs w:val="21"/>
        </w:rPr>
        <w:t>at-risk-of poverty gap of elderly people</w:t>
      </w:r>
      <w:r w:rsidR="006810D4" w:rsidRPr="00B272E2">
        <w:rPr>
          <w:rFonts w:ascii="Arial" w:hAnsi="Arial" w:cs="Times New Roman"/>
          <w:sz w:val="21"/>
          <w:szCs w:val="21"/>
        </w:rPr>
        <w:t>, which measure</w:t>
      </w:r>
      <w:r w:rsidR="00C67A00" w:rsidRPr="00B272E2">
        <w:rPr>
          <w:rFonts w:ascii="Arial" w:hAnsi="Arial" w:cs="Times New Roman"/>
          <w:sz w:val="21"/>
          <w:szCs w:val="21"/>
        </w:rPr>
        <w:t>s</w:t>
      </w:r>
      <w:r w:rsidR="006810D4" w:rsidRPr="00B272E2">
        <w:rPr>
          <w:rFonts w:ascii="Arial" w:hAnsi="Arial" w:cs="Times New Roman"/>
          <w:sz w:val="21"/>
          <w:szCs w:val="21"/>
        </w:rPr>
        <w:t xml:space="preserve"> how strongly those at-risk-of poverty fall short </w:t>
      </w:r>
      <w:r w:rsidR="00C67A00" w:rsidRPr="00B272E2">
        <w:rPr>
          <w:rFonts w:ascii="Arial" w:hAnsi="Arial" w:cs="Times New Roman"/>
          <w:sz w:val="21"/>
          <w:szCs w:val="21"/>
        </w:rPr>
        <w:t>below</w:t>
      </w:r>
      <w:r w:rsidR="007F0C34" w:rsidRPr="00B272E2">
        <w:rPr>
          <w:rFonts w:ascii="Arial" w:hAnsi="Arial" w:cs="Times New Roman"/>
          <w:sz w:val="21"/>
          <w:szCs w:val="21"/>
        </w:rPr>
        <w:t xml:space="preserve"> the poverty line; </w:t>
      </w:r>
      <w:r w:rsidR="00587A0F" w:rsidRPr="00B272E2">
        <w:rPr>
          <w:rFonts w:ascii="Arial" w:hAnsi="Arial" w:cs="Times New Roman"/>
          <w:b/>
          <w:sz w:val="21"/>
          <w:szCs w:val="21"/>
        </w:rPr>
        <w:t>income inequality among population aged 65</w:t>
      </w:r>
      <w:r w:rsidR="00C67A00" w:rsidRPr="00B272E2">
        <w:rPr>
          <w:rFonts w:ascii="Arial" w:hAnsi="Arial" w:cs="Times New Roman"/>
          <w:b/>
          <w:sz w:val="21"/>
          <w:szCs w:val="21"/>
        </w:rPr>
        <w:t xml:space="preserve"> and above</w:t>
      </w:r>
      <w:r w:rsidR="007F0C34" w:rsidRPr="00B272E2">
        <w:rPr>
          <w:rFonts w:ascii="Arial" w:hAnsi="Arial" w:cs="Times New Roman"/>
          <w:sz w:val="21"/>
          <w:szCs w:val="21"/>
        </w:rPr>
        <w:t xml:space="preserve"> (80s/20s) </w:t>
      </w:r>
      <w:r w:rsidR="00587A0F" w:rsidRPr="00B272E2">
        <w:rPr>
          <w:rFonts w:ascii="Arial" w:hAnsi="Arial" w:cs="Times New Roman"/>
          <w:sz w:val="21"/>
          <w:szCs w:val="21"/>
        </w:rPr>
        <w:t xml:space="preserve">providing information on the income distribution of </w:t>
      </w:r>
      <w:r w:rsidR="0023010D" w:rsidRPr="00B272E2">
        <w:rPr>
          <w:rFonts w:ascii="Arial" w:hAnsi="Arial" w:cs="Times New Roman"/>
          <w:sz w:val="21"/>
          <w:szCs w:val="21"/>
        </w:rPr>
        <w:t>elderly</w:t>
      </w:r>
      <w:r w:rsidR="007F0C34" w:rsidRPr="00B272E2">
        <w:rPr>
          <w:rFonts w:ascii="Arial" w:hAnsi="Arial" w:cs="Times New Roman"/>
          <w:sz w:val="21"/>
          <w:szCs w:val="21"/>
        </w:rPr>
        <w:t xml:space="preserve"> and </w:t>
      </w:r>
      <w:r w:rsidR="007F0C34" w:rsidRPr="00B272E2">
        <w:rPr>
          <w:rFonts w:ascii="Arial" w:hAnsi="Arial" w:cs="Times New Roman"/>
          <w:b/>
          <w:sz w:val="21"/>
          <w:szCs w:val="21"/>
        </w:rPr>
        <w:t>incidence of risk of elderly poverty by the housing tenure</w:t>
      </w:r>
      <w:r w:rsidR="00596874" w:rsidRPr="00B272E2">
        <w:rPr>
          <w:rFonts w:ascii="Arial" w:hAnsi="Arial" w:cs="Times New Roman"/>
          <w:sz w:val="21"/>
          <w:szCs w:val="21"/>
        </w:rPr>
        <w:t>.</w:t>
      </w:r>
      <w:r w:rsidR="00596874" w:rsidRPr="00B272E2">
        <w:rPr>
          <w:rFonts w:ascii="Arial" w:hAnsi="Arial" w:cs="Times New Roman"/>
          <w:i/>
          <w:sz w:val="21"/>
          <w:szCs w:val="21"/>
        </w:rPr>
        <w:t xml:space="preserve"> </w:t>
      </w:r>
    </w:p>
    <w:p w14:paraId="683EF443" w14:textId="77777777" w:rsidR="008E201F" w:rsidRPr="00B272E2" w:rsidRDefault="008E201F" w:rsidP="00B272E2">
      <w:pPr>
        <w:spacing w:after="240" w:line="360" w:lineRule="auto"/>
        <w:jc w:val="both"/>
        <w:rPr>
          <w:rFonts w:ascii="Arial" w:hAnsi="Arial"/>
          <w:i/>
          <w:sz w:val="21"/>
          <w:szCs w:val="21"/>
        </w:rPr>
      </w:pPr>
      <w:r w:rsidRPr="00B272E2">
        <w:rPr>
          <w:rFonts w:ascii="Arial" w:hAnsi="Arial"/>
          <w:sz w:val="21"/>
          <w:szCs w:val="21"/>
        </w:rPr>
        <w:t>Summing up</w:t>
      </w:r>
      <w:r w:rsidR="00596874" w:rsidRPr="00B272E2">
        <w:rPr>
          <w:rFonts w:ascii="Arial" w:hAnsi="Arial"/>
          <w:sz w:val="21"/>
          <w:szCs w:val="21"/>
        </w:rPr>
        <w:t xml:space="preserve">, 11 out of 12 primary and secondary indicators for </w:t>
      </w:r>
      <w:r w:rsidR="000B0DF8" w:rsidRPr="00B272E2">
        <w:rPr>
          <w:rFonts w:ascii="Arial" w:hAnsi="Arial"/>
          <w:sz w:val="21"/>
          <w:szCs w:val="21"/>
        </w:rPr>
        <w:t xml:space="preserve">this </w:t>
      </w:r>
      <w:r w:rsidRPr="00B272E2">
        <w:rPr>
          <w:rFonts w:ascii="Arial" w:hAnsi="Arial"/>
          <w:sz w:val="21"/>
          <w:szCs w:val="21"/>
        </w:rPr>
        <w:t xml:space="preserve">objective are performance </w:t>
      </w:r>
      <w:r w:rsidR="00596874" w:rsidRPr="00B272E2">
        <w:rPr>
          <w:rFonts w:ascii="Arial" w:hAnsi="Arial"/>
          <w:sz w:val="21"/>
          <w:szCs w:val="21"/>
        </w:rPr>
        <w:t>indicators</w:t>
      </w:r>
      <w:r w:rsidR="000B0DF8" w:rsidRPr="00B272E2">
        <w:rPr>
          <w:rFonts w:ascii="Arial" w:hAnsi="Arial"/>
          <w:sz w:val="21"/>
          <w:szCs w:val="21"/>
        </w:rPr>
        <w:t>, mainly poverty and inequality indicators of elderly population</w:t>
      </w:r>
      <w:r w:rsidR="00596874" w:rsidRPr="00B272E2">
        <w:rPr>
          <w:rFonts w:ascii="Arial" w:hAnsi="Arial"/>
          <w:sz w:val="21"/>
          <w:szCs w:val="21"/>
        </w:rPr>
        <w:t xml:space="preserve"> based on EU-SILC as a source. </w:t>
      </w:r>
    </w:p>
    <w:p w14:paraId="522D9930" w14:textId="77777777" w:rsidR="00A44C99" w:rsidRPr="00B272E2" w:rsidRDefault="00596874" w:rsidP="00B272E2">
      <w:pPr>
        <w:spacing w:after="240" w:line="360" w:lineRule="auto"/>
        <w:jc w:val="both"/>
        <w:rPr>
          <w:rFonts w:ascii="Arial" w:hAnsi="Arial" w:cs="Times New Roman"/>
          <w:sz w:val="21"/>
          <w:szCs w:val="21"/>
        </w:rPr>
      </w:pPr>
      <w:r w:rsidRPr="00B272E2">
        <w:rPr>
          <w:rFonts w:ascii="Arial" w:hAnsi="Arial"/>
          <w:sz w:val="21"/>
          <w:szCs w:val="21"/>
        </w:rPr>
        <w:t xml:space="preserve">Only one </w:t>
      </w:r>
      <w:r w:rsidR="00DA0746" w:rsidRPr="00B272E2">
        <w:rPr>
          <w:rFonts w:ascii="Arial" w:hAnsi="Arial" w:cs="Times New Roman"/>
          <w:sz w:val="21"/>
          <w:szCs w:val="21"/>
        </w:rPr>
        <w:t>within this group</w:t>
      </w:r>
      <w:r w:rsidR="003C4432" w:rsidRPr="00B272E2">
        <w:rPr>
          <w:rFonts w:ascii="Arial" w:hAnsi="Arial" w:cs="Times New Roman"/>
          <w:sz w:val="21"/>
          <w:szCs w:val="21"/>
        </w:rPr>
        <w:t xml:space="preserve"> is policy (design) in</w:t>
      </w:r>
      <w:r w:rsidR="000B0DF8" w:rsidRPr="00B272E2">
        <w:rPr>
          <w:rFonts w:ascii="Arial" w:hAnsi="Arial" w:cs="Times New Roman"/>
          <w:sz w:val="21"/>
          <w:szCs w:val="21"/>
        </w:rPr>
        <w:t>dicator</w:t>
      </w:r>
      <w:r w:rsidRPr="00B272E2">
        <w:rPr>
          <w:rFonts w:ascii="Arial" w:hAnsi="Arial" w:cs="Times New Roman"/>
          <w:sz w:val="21"/>
          <w:szCs w:val="21"/>
        </w:rPr>
        <w:t xml:space="preserve"> </w:t>
      </w:r>
      <w:r w:rsidR="00724800" w:rsidRPr="00B272E2">
        <w:rPr>
          <w:rFonts w:ascii="Arial" w:hAnsi="Arial" w:cs="Times New Roman"/>
          <w:sz w:val="21"/>
          <w:szCs w:val="21"/>
        </w:rPr>
        <w:t xml:space="preserve">– </w:t>
      </w:r>
      <w:r w:rsidR="00D04ED8" w:rsidRPr="00B272E2">
        <w:rPr>
          <w:rFonts w:ascii="Arial" w:hAnsi="Arial" w:cs="Times New Roman"/>
          <w:b/>
          <w:sz w:val="21"/>
          <w:szCs w:val="21"/>
        </w:rPr>
        <w:t>change in projected</w:t>
      </w:r>
      <w:r w:rsidR="00724800" w:rsidRPr="00B272E2">
        <w:rPr>
          <w:rFonts w:ascii="Arial" w:hAnsi="Arial" w:cs="Times New Roman"/>
          <w:b/>
          <w:sz w:val="21"/>
          <w:szCs w:val="21"/>
        </w:rPr>
        <w:t xml:space="preserve"> theoretical replacement ratio</w:t>
      </w:r>
      <w:r w:rsidR="00724800" w:rsidRPr="00B272E2">
        <w:rPr>
          <w:rFonts w:ascii="Arial" w:hAnsi="Arial" w:cs="Times New Roman"/>
          <w:sz w:val="21"/>
          <w:szCs w:val="21"/>
        </w:rPr>
        <w:t xml:space="preserve"> for base case 2006</w:t>
      </w:r>
      <w:r w:rsidR="00C67A00" w:rsidRPr="00B272E2">
        <w:rPr>
          <w:rFonts w:ascii="Arial" w:hAnsi="Arial" w:cs="Times New Roman"/>
          <w:sz w:val="21"/>
          <w:szCs w:val="21"/>
        </w:rPr>
        <w:t>–</w:t>
      </w:r>
      <w:r w:rsidR="00724800" w:rsidRPr="00B272E2">
        <w:rPr>
          <w:rFonts w:ascii="Arial" w:hAnsi="Arial" w:cs="Times New Roman"/>
          <w:sz w:val="21"/>
          <w:szCs w:val="21"/>
        </w:rPr>
        <w:t>2046</w:t>
      </w:r>
      <w:r w:rsidR="00DA0746" w:rsidRPr="00B272E2">
        <w:rPr>
          <w:rFonts w:ascii="Arial" w:hAnsi="Arial" w:cs="Times New Roman"/>
          <w:sz w:val="21"/>
          <w:szCs w:val="21"/>
        </w:rPr>
        <w:t xml:space="preserve"> (4</w:t>
      </w:r>
      <w:r w:rsidR="00DA0746" w:rsidRPr="00B272E2">
        <w:rPr>
          <w:rFonts w:ascii="Arial" w:hAnsi="Arial" w:cs="Times New Roman"/>
          <w:sz w:val="21"/>
          <w:szCs w:val="21"/>
          <w:vertAlign w:val="superscript"/>
        </w:rPr>
        <w:t>th</w:t>
      </w:r>
      <w:r w:rsidR="00C67A00" w:rsidRPr="00B272E2">
        <w:rPr>
          <w:rFonts w:ascii="Arial" w:hAnsi="Arial" w:cs="Times New Roman"/>
          <w:sz w:val="21"/>
          <w:szCs w:val="21"/>
          <w:vertAlign w:val="superscript"/>
        </w:rPr>
        <w:t xml:space="preserve"> </w:t>
      </w:r>
      <w:r w:rsidR="00DA0746" w:rsidRPr="00B272E2">
        <w:rPr>
          <w:rFonts w:ascii="Arial" w:hAnsi="Arial" w:cs="Times New Roman"/>
          <w:sz w:val="21"/>
          <w:szCs w:val="21"/>
        </w:rPr>
        <w:t>primary indicator)</w:t>
      </w:r>
      <w:r w:rsidR="00551B73" w:rsidRPr="00B272E2">
        <w:rPr>
          <w:rFonts w:ascii="Arial" w:hAnsi="Arial" w:cs="Times New Roman"/>
          <w:sz w:val="21"/>
          <w:szCs w:val="21"/>
        </w:rPr>
        <w:t xml:space="preserve">, informing on future developments of adequacy without information on current situation. </w:t>
      </w:r>
      <w:r w:rsidR="004F4E5D" w:rsidRPr="00B272E2">
        <w:rPr>
          <w:rFonts w:ascii="Arial" w:hAnsi="Arial" w:cs="Times New Roman"/>
          <w:sz w:val="21"/>
          <w:szCs w:val="21"/>
        </w:rPr>
        <w:t xml:space="preserve">It also serves as </w:t>
      </w:r>
      <w:r w:rsidR="00C67A00" w:rsidRPr="00B272E2">
        <w:rPr>
          <w:rFonts w:ascii="Arial" w:hAnsi="Arial" w:cs="Times New Roman"/>
          <w:sz w:val="21"/>
          <w:szCs w:val="21"/>
        </w:rPr>
        <w:t>Context</w:t>
      </w:r>
      <w:r w:rsidR="004F4E5D" w:rsidRPr="00B272E2">
        <w:rPr>
          <w:rFonts w:ascii="Arial" w:hAnsi="Arial" w:cs="Times New Roman"/>
          <w:sz w:val="21"/>
          <w:szCs w:val="21"/>
        </w:rPr>
        <w:t xml:space="preserve"> information for overarching portfolio.</w:t>
      </w:r>
      <w:r w:rsidR="00E346F7" w:rsidRPr="00B272E2">
        <w:rPr>
          <w:rFonts w:ascii="Arial" w:hAnsi="Arial" w:cs="Times New Roman"/>
          <w:sz w:val="21"/>
          <w:szCs w:val="21"/>
        </w:rPr>
        <w:t xml:space="preserve"> </w:t>
      </w:r>
      <w:r w:rsidR="0060512D" w:rsidRPr="00B272E2">
        <w:rPr>
          <w:rFonts w:ascii="Arial" w:hAnsi="Arial" w:cs="Times New Roman"/>
          <w:sz w:val="21"/>
          <w:szCs w:val="21"/>
        </w:rPr>
        <w:t xml:space="preserve">This indicator is </w:t>
      </w:r>
      <w:r w:rsidR="00CB56EF" w:rsidRPr="00B272E2">
        <w:rPr>
          <w:rFonts w:ascii="Arial" w:hAnsi="Arial" w:cs="Times New Roman"/>
          <w:sz w:val="21"/>
          <w:szCs w:val="21"/>
        </w:rPr>
        <w:t xml:space="preserve">national </w:t>
      </w:r>
      <w:r w:rsidR="0060512D" w:rsidRPr="00B272E2">
        <w:rPr>
          <w:rFonts w:ascii="Arial" w:hAnsi="Arial" w:cs="Times New Roman"/>
          <w:sz w:val="21"/>
          <w:szCs w:val="21"/>
        </w:rPr>
        <w:t>indicator</w:t>
      </w:r>
      <w:r w:rsidR="00314359" w:rsidRPr="00B272E2">
        <w:rPr>
          <w:rFonts w:ascii="Arial" w:hAnsi="Arial" w:cs="Times New Roman"/>
          <w:i/>
          <w:sz w:val="21"/>
          <w:szCs w:val="21"/>
        </w:rPr>
        <w:t xml:space="preserve"> </w:t>
      </w:r>
      <w:r w:rsidR="00314359" w:rsidRPr="00B272E2">
        <w:rPr>
          <w:rFonts w:ascii="Arial" w:hAnsi="Arial" w:cs="Times New Roman"/>
          <w:sz w:val="21"/>
          <w:szCs w:val="21"/>
        </w:rPr>
        <w:t>meaning that it is “based on commonly agreed definitions and assumptions that provide key information to assess the progress of Member States in relation to certain objectives, while not allowing for a direct cross-country comparison, or not necessarily having a clear normative interpretation”</w:t>
      </w:r>
      <w:r w:rsidR="00D84F49">
        <w:rPr>
          <w:rFonts w:ascii="Arial" w:hAnsi="Arial" w:cs="Times New Roman"/>
          <w:sz w:val="21"/>
          <w:szCs w:val="21"/>
        </w:rPr>
        <w:t xml:space="preserve"> SPC-ISG (2015)</w:t>
      </w:r>
      <w:r w:rsidR="00314359" w:rsidRPr="00B272E2">
        <w:rPr>
          <w:rFonts w:ascii="Arial" w:hAnsi="Arial" w:cs="Times New Roman"/>
          <w:sz w:val="21"/>
          <w:szCs w:val="21"/>
        </w:rPr>
        <w:t>.</w:t>
      </w:r>
      <w:r w:rsidR="008E201F" w:rsidRPr="00B272E2">
        <w:rPr>
          <w:rFonts w:ascii="Arial" w:hAnsi="Arial" w:cs="Times New Roman"/>
          <w:sz w:val="21"/>
          <w:szCs w:val="21"/>
        </w:rPr>
        <w:t xml:space="preserve"> </w:t>
      </w:r>
      <w:r w:rsidR="004F4E5D" w:rsidRPr="00B272E2">
        <w:rPr>
          <w:rFonts w:ascii="Arial" w:hAnsi="Arial" w:cs="Times New Roman"/>
          <w:sz w:val="21"/>
          <w:szCs w:val="21"/>
        </w:rPr>
        <w:t>It</w:t>
      </w:r>
      <w:r w:rsidR="00F417F3" w:rsidRPr="00B272E2">
        <w:rPr>
          <w:rFonts w:ascii="Arial" w:hAnsi="Arial" w:cs="Times New Roman"/>
          <w:sz w:val="21"/>
          <w:szCs w:val="21"/>
        </w:rPr>
        <w:t xml:space="preserve"> is </w:t>
      </w:r>
      <w:r w:rsidR="00551B73" w:rsidRPr="00B272E2">
        <w:rPr>
          <w:rFonts w:ascii="Arial" w:hAnsi="Arial" w:cs="Times New Roman"/>
          <w:sz w:val="21"/>
          <w:szCs w:val="21"/>
        </w:rPr>
        <w:t>not collected th</w:t>
      </w:r>
      <w:r w:rsidR="00357C8C">
        <w:rPr>
          <w:rFonts w:ascii="Arial" w:hAnsi="Arial" w:cs="Times New Roman"/>
          <w:sz w:val="21"/>
          <w:szCs w:val="21"/>
        </w:rPr>
        <w:t>r</w:t>
      </w:r>
      <w:r w:rsidR="00551B73" w:rsidRPr="00B272E2">
        <w:rPr>
          <w:rFonts w:ascii="Arial" w:hAnsi="Arial" w:cs="Times New Roman"/>
          <w:sz w:val="21"/>
          <w:szCs w:val="21"/>
        </w:rPr>
        <w:t xml:space="preserve">ough the </w:t>
      </w:r>
      <w:r w:rsidR="00430D21" w:rsidRPr="00B272E2">
        <w:rPr>
          <w:rFonts w:ascii="Arial" w:hAnsi="Arial" w:cs="Times New Roman"/>
          <w:sz w:val="21"/>
          <w:szCs w:val="21"/>
        </w:rPr>
        <w:t xml:space="preserve">Eurostat </w:t>
      </w:r>
      <w:r w:rsidR="00551B73" w:rsidRPr="00B272E2">
        <w:rPr>
          <w:rFonts w:ascii="Arial" w:hAnsi="Arial" w:cs="Times New Roman"/>
          <w:sz w:val="21"/>
          <w:szCs w:val="21"/>
        </w:rPr>
        <w:t xml:space="preserve">website together with other primary and secondary indicators for adequacy objective. In addition, definition </w:t>
      </w:r>
      <w:r w:rsidR="004F4E5D" w:rsidRPr="00B272E2">
        <w:rPr>
          <w:rFonts w:ascii="Arial" w:hAnsi="Arial" w:cs="Times New Roman"/>
          <w:sz w:val="21"/>
          <w:szCs w:val="21"/>
        </w:rPr>
        <w:t xml:space="preserve">of the indicator specifying </w:t>
      </w:r>
      <w:r w:rsidR="00430D21" w:rsidRPr="00B272E2">
        <w:rPr>
          <w:rFonts w:ascii="Arial" w:hAnsi="Arial" w:cs="Times New Roman"/>
          <w:sz w:val="21"/>
          <w:szCs w:val="21"/>
        </w:rPr>
        <w:t xml:space="preserve">2006 as a </w:t>
      </w:r>
      <w:r w:rsidR="004F4E5D" w:rsidRPr="00B272E2">
        <w:rPr>
          <w:rFonts w:ascii="Arial" w:hAnsi="Arial" w:cs="Times New Roman"/>
          <w:sz w:val="21"/>
          <w:szCs w:val="21"/>
        </w:rPr>
        <w:t xml:space="preserve">starting year is not clear. </w:t>
      </w:r>
      <w:r w:rsidR="00430D21" w:rsidRPr="00B272E2">
        <w:rPr>
          <w:rFonts w:ascii="Arial" w:hAnsi="Arial" w:cs="Times New Roman"/>
          <w:sz w:val="21"/>
          <w:szCs w:val="21"/>
        </w:rPr>
        <w:t xml:space="preserve">Further discussion on this continues in the Chapter </w:t>
      </w:r>
      <w:r w:rsidR="00DE67CA" w:rsidRPr="00B272E2">
        <w:rPr>
          <w:rFonts w:ascii="Arial" w:hAnsi="Arial" w:cs="Times New Roman"/>
          <w:sz w:val="21"/>
          <w:szCs w:val="21"/>
        </w:rPr>
        <w:t>5</w:t>
      </w:r>
      <w:r w:rsidR="00430D21" w:rsidRPr="00B272E2">
        <w:rPr>
          <w:rFonts w:ascii="Arial" w:hAnsi="Arial" w:cs="Times New Roman"/>
          <w:sz w:val="21"/>
          <w:szCs w:val="21"/>
        </w:rPr>
        <w:t xml:space="preserve"> in this paper.</w:t>
      </w:r>
    </w:p>
    <w:p w14:paraId="3A5AA107" w14:textId="77777777" w:rsidR="00881C67" w:rsidRPr="00B272E2" w:rsidRDefault="00A44C99" w:rsidP="00B272E2">
      <w:pPr>
        <w:spacing w:after="240" w:line="360" w:lineRule="auto"/>
        <w:jc w:val="both"/>
        <w:rPr>
          <w:rFonts w:ascii="Arial" w:hAnsi="Arial" w:cs="Times New Roman"/>
          <w:sz w:val="21"/>
          <w:szCs w:val="21"/>
        </w:rPr>
      </w:pPr>
      <w:r w:rsidRPr="00B272E2">
        <w:rPr>
          <w:rFonts w:ascii="Arial" w:hAnsi="Arial" w:cs="Times New Roman"/>
          <w:sz w:val="21"/>
          <w:szCs w:val="21"/>
        </w:rPr>
        <w:t xml:space="preserve">Context information </w:t>
      </w:r>
      <w:r w:rsidR="006118E4" w:rsidRPr="00B272E2">
        <w:rPr>
          <w:rFonts w:ascii="Arial" w:hAnsi="Arial" w:cs="Times New Roman"/>
          <w:sz w:val="21"/>
          <w:szCs w:val="21"/>
        </w:rPr>
        <w:t xml:space="preserve">belonging to this group of indicators is </w:t>
      </w:r>
      <w:r w:rsidR="00430D21" w:rsidRPr="00B272E2">
        <w:rPr>
          <w:rFonts w:ascii="Arial" w:hAnsi="Arial" w:cs="Times New Roman"/>
          <w:b/>
          <w:sz w:val="21"/>
          <w:szCs w:val="21"/>
        </w:rPr>
        <w:t xml:space="preserve">composition </w:t>
      </w:r>
      <w:r w:rsidR="006118E4" w:rsidRPr="00B272E2">
        <w:rPr>
          <w:rFonts w:ascii="Arial" w:hAnsi="Arial" w:cs="Times New Roman"/>
          <w:b/>
          <w:sz w:val="21"/>
          <w:szCs w:val="21"/>
        </w:rPr>
        <w:t>of income by source</w:t>
      </w:r>
      <w:r w:rsidR="006118E4" w:rsidRPr="00B272E2">
        <w:rPr>
          <w:rFonts w:ascii="Arial" w:hAnsi="Arial" w:cs="Times New Roman"/>
          <w:sz w:val="21"/>
          <w:szCs w:val="21"/>
        </w:rPr>
        <w:t xml:space="preserve"> (pensions; other social benefits; earnings from work; other sources) and by income quintile for people aged 60</w:t>
      </w:r>
      <w:r w:rsidR="00430D21" w:rsidRPr="00B272E2">
        <w:rPr>
          <w:rFonts w:ascii="Arial" w:hAnsi="Arial" w:cs="Times New Roman"/>
          <w:sz w:val="21"/>
          <w:szCs w:val="21"/>
        </w:rPr>
        <w:t xml:space="preserve"> and above</w:t>
      </w:r>
      <w:r w:rsidR="006118E4" w:rsidRPr="00B272E2">
        <w:rPr>
          <w:rFonts w:ascii="Arial" w:hAnsi="Arial" w:cs="Times New Roman"/>
          <w:sz w:val="21"/>
          <w:szCs w:val="21"/>
        </w:rPr>
        <w:t>, 65</w:t>
      </w:r>
      <w:r w:rsidR="00430D21" w:rsidRPr="00B272E2">
        <w:rPr>
          <w:rFonts w:ascii="Arial" w:hAnsi="Arial" w:cs="Times New Roman"/>
          <w:sz w:val="21"/>
          <w:szCs w:val="21"/>
        </w:rPr>
        <w:t xml:space="preserve"> and above</w:t>
      </w:r>
      <w:r w:rsidR="006118E4" w:rsidRPr="00B272E2">
        <w:rPr>
          <w:rFonts w:ascii="Arial" w:hAnsi="Arial" w:cs="Times New Roman"/>
          <w:sz w:val="21"/>
          <w:szCs w:val="21"/>
        </w:rPr>
        <w:t>, 75</w:t>
      </w:r>
      <w:r w:rsidR="00430D21" w:rsidRPr="00B272E2">
        <w:rPr>
          <w:rFonts w:ascii="Arial" w:hAnsi="Arial" w:cs="Times New Roman"/>
          <w:sz w:val="21"/>
          <w:szCs w:val="21"/>
        </w:rPr>
        <w:t xml:space="preserve"> and above</w:t>
      </w:r>
      <w:r w:rsidR="006118E4" w:rsidRPr="00B272E2">
        <w:rPr>
          <w:rFonts w:ascii="Arial" w:hAnsi="Arial" w:cs="Times New Roman"/>
          <w:sz w:val="21"/>
          <w:szCs w:val="21"/>
        </w:rPr>
        <w:t xml:space="preserve"> (EU type item).</w:t>
      </w:r>
      <w:r w:rsidR="006A7C68" w:rsidRPr="00B272E2">
        <w:rPr>
          <w:rFonts w:ascii="Arial" w:hAnsi="Arial" w:cs="Times New Roman"/>
          <w:sz w:val="21"/>
          <w:szCs w:val="21"/>
        </w:rPr>
        <w:t xml:space="preserve"> Source for this indicator is also EU-SILC. </w:t>
      </w:r>
    </w:p>
    <w:p w14:paraId="41E0542C" w14:textId="77777777" w:rsidR="00DC6572" w:rsidRPr="00B272E2" w:rsidRDefault="006763FE" w:rsidP="00B272E2">
      <w:pPr>
        <w:spacing w:line="360" w:lineRule="auto"/>
        <w:rPr>
          <w:rFonts w:ascii="Arial" w:hAnsi="Arial"/>
          <w:b/>
          <w:sz w:val="21"/>
          <w:szCs w:val="21"/>
        </w:rPr>
      </w:pPr>
      <w:r w:rsidRPr="00B272E2">
        <w:rPr>
          <w:rFonts w:ascii="Arial" w:hAnsi="Arial"/>
          <w:b/>
          <w:sz w:val="21"/>
          <w:szCs w:val="21"/>
        </w:rPr>
        <w:t>Sustainable pensions:</w:t>
      </w:r>
      <w:r w:rsidR="005F5487" w:rsidRPr="00B272E2">
        <w:rPr>
          <w:rFonts w:ascii="Arial" w:hAnsi="Arial"/>
          <w:b/>
          <w:sz w:val="21"/>
          <w:szCs w:val="21"/>
        </w:rPr>
        <w:t xml:space="preserve"> 4 primary and 2 secondary </w:t>
      </w:r>
      <w:r w:rsidR="00460514" w:rsidRPr="00B272E2">
        <w:rPr>
          <w:rFonts w:ascii="Arial" w:hAnsi="Arial"/>
          <w:b/>
          <w:sz w:val="21"/>
          <w:szCs w:val="21"/>
        </w:rPr>
        <w:t xml:space="preserve">indicators </w:t>
      </w:r>
      <w:r w:rsidR="005F5487" w:rsidRPr="00B272E2">
        <w:rPr>
          <w:rFonts w:ascii="Arial" w:hAnsi="Arial"/>
          <w:b/>
          <w:sz w:val="21"/>
          <w:szCs w:val="21"/>
        </w:rPr>
        <w:t>(4 context information)</w:t>
      </w:r>
    </w:p>
    <w:p w14:paraId="5609F287" w14:textId="77777777" w:rsidR="00145B7D" w:rsidRPr="00B272E2" w:rsidRDefault="00145B7D" w:rsidP="00B272E2">
      <w:pPr>
        <w:spacing w:line="360" w:lineRule="auto"/>
        <w:rPr>
          <w:rFonts w:ascii="Arial" w:hAnsi="Arial"/>
          <w:b/>
          <w:i/>
          <w:sz w:val="21"/>
          <w:szCs w:val="21"/>
          <w:u w:val="single"/>
        </w:rPr>
      </w:pPr>
    </w:p>
    <w:p w14:paraId="56A9F703" w14:textId="77777777" w:rsidR="00532312" w:rsidRPr="00B272E2" w:rsidRDefault="00DC6572" w:rsidP="00B272E2">
      <w:pPr>
        <w:spacing w:after="240" w:line="360" w:lineRule="auto"/>
        <w:jc w:val="both"/>
        <w:rPr>
          <w:rFonts w:ascii="Arial" w:hAnsi="Arial" w:cs="Times New Roman"/>
          <w:sz w:val="21"/>
          <w:szCs w:val="21"/>
        </w:rPr>
      </w:pPr>
      <w:r w:rsidRPr="00B272E2">
        <w:rPr>
          <w:rFonts w:ascii="Arial" w:hAnsi="Arial" w:cs="Times New Roman"/>
          <w:sz w:val="21"/>
          <w:szCs w:val="21"/>
        </w:rPr>
        <w:t xml:space="preserve">Sustainability indicators are mainly national indicators concerning pension expenditures – current and projected, coupled with two indicators based on </w:t>
      </w:r>
      <w:r w:rsidR="00471320" w:rsidRPr="00B272E2">
        <w:rPr>
          <w:rFonts w:ascii="Arial" w:hAnsi="Arial" w:cs="Times New Roman"/>
          <w:sz w:val="21"/>
          <w:szCs w:val="21"/>
        </w:rPr>
        <w:t>E</w:t>
      </w:r>
      <w:r w:rsidR="00FB7A90">
        <w:rPr>
          <w:rFonts w:ascii="Arial" w:hAnsi="Arial" w:cs="Times New Roman"/>
          <w:sz w:val="21"/>
          <w:szCs w:val="21"/>
        </w:rPr>
        <w:t>U</w:t>
      </w:r>
      <w:r w:rsidRPr="00B272E2">
        <w:rPr>
          <w:rFonts w:ascii="Arial" w:hAnsi="Arial" w:cs="Times New Roman"/>
          <w:sz w:val="21"/>
          <w:szCs w:val="21"/>
        </w:rPr>
        <w:t xml:space="preserve">-LFS regarding employment and duration of working life. </w:t>
      </w:r>
    </w:p>
    <w:p w14:paraId="5176235A" w14:textId="77777777" w:rsidR="00F877A9" w:rsidRPr="00B272E2" w:rsidRDefault="006118E4" w:rsidP="00B272E2">
      <w:pPr>
        <w:spacing w:after="240" w:line="360" w:lineRule="auto"/>
        <w:jc w:val="both"/>
        <w:rPr>
          <w:rFonts w:ascii="Arial" w:hAnsi="Arial" w:cs="Times New Roman"/>
          <w:sz w:val="21"/>
          <w:szCs w:val="21"/>
        </w:rPr>
      </w:pPr>
      <w:r w:rsidRPr="00B272E2">
        <w:rPr>
          <w:rFonts w:ascii="Arial" w:hAnsi="Arial" w:cs="Times New Roman"/>
          <w:sz w:val="21"/>
          <w:szCs w:val="21"/>
        </w:rPr>
        <w:t xml:space="preserve">First primary indicator measuring sustainability of pensions is </w:t>
      </w:r>
      <w:r w:rsidR="00471320" w:rsidRPr="00B272E2">
        <w:rPr>
          <w:rFonts w:ascii="Arial" w:hAnsi="Arial" w:cs="Times New Roman"/>
          <w:b/>
          <w:sz w:val="21"/>
          <w:szCs w:val="21"/>
        </w:rPr>
        <w:t xml:space="preserve">total </w:t>
      </w:r>
      <w:r w:rsidRPr="00B272E2">
        <w:rPr>
          <w:rFonts w:ascii="Arial" w:hAnsi="Arial" w:cs="Times New Roman"/>
          <w:b/>
          <w:sz w:val="21"/>
          <w:szCs w:val="21"/>
        </w:rPr>
        <w:t>current pension expenditure (% of GDP)</w:t>
      </w:r>
      <w:r w:rsidR="006115DD" w:rsidRPr="00B272E2">
        <w:rPr>
          <w:rFonts w:ascii="Arial" w:hAnsi="Arial" w:cs="Times New Roman"/>
          <w:sz w:val="21"/>
          <w:szCs w:val="21"/>
        </w:rPr>
        <w:t xml:space="preserve"> summing expenditure on seven categories of pension benefits</w:t>
      </w:r>
      <w:r w:rsidR="006115DD" w:rsidRPr="00B272E2">
        <w:rPr>
          <w:rStyle w:val="FootnoteReference"/>
          <w:rFonts w:ascii="Arial" w:hAnsi="Arial" w:cs="Times New Roman"/>
          <w:sz w:val="21"/>
          <w:szCs w:val="21"/>
        </w:rPr>
        <w:footnoteReference w:id="2"/>
      </w:r>
      <w:r w:rsidR="006115DD" w:rsidRPr="00B272E2">
        <w:rPr>
          <w:rFonts w:ascii="Arial" w:hAnsi="Arial" w:cs="Times New Roman"/>
          <w:sz w:val="21"/>
          <w:szCs w:val="21"/>
        </w:rPr>
        <w:t xml:space="preserve">. </w:t>
      </w:r>
      <w:r w:rsidR="00391EC7" w:rsidRPr="00B272E2">
        <w:rPr>
          <w:rFonts w:ascii="Arial" w:hAnsi="Arial" w:cs="Times New Roman"/>
          <w:sz w:val="21"/>
          <w:szCs w:val="21"/>
        </w:rPr>
        <w:t>This in</w:t>
      </w:r>
      <w:r w:rsidR="00E91E6D" w:rsidRPr="00B272E2">
        <w:rPr>
          <w:rFonts w:ascii="Arial" w:hAnsi="Arial" w:cs="Times New Roman"/>
          <w:sz w:val="21"/>
          <w:szCs w:val="21"/>
        </w:rPr>
        <w:t>dicator measures expenditure on</w:t>
      </w:r>
      <w:r w:rsidR="00D01616" w:rsidRPr="00B272E2">
        <w:rPr>
          <w:rFonts w:ascii="Arial" w:hAnsi="Arial" w:cs="Times New Roman"/>
          <w:sz w:val="21"/>
          <w:szCs w:val="21"/>
        </w:rPr>
        <w:t xml:space="preserve"> </w:t>
      </w:r>
      <w:r w:rsidR="003D121C" w:rsidRPr="00B272E2">
        <w:rPr>
          <w:rFonts w:ascii="Arial" w:hAnsi="Arial" w:cs="Times New Roman"/>
          <w:sz w:val="21"/>
          <w:szCs w:val="21"/>
        </w:rPr>
        <w:t xml:space="preserve">gross </w:t>
      </w:r>
      <w:r w:rsidR="00D01616" w:rsidRPr="00B272E2">
        <w:rPr>
          <w:rFonts w:ascii="Arial" w:hAnsi="Arial" w:cs="Times New Roman"/>
          <w:sz w:val="21"/>
          <w:szCs w:val="21"/>
        </w:rPr>
        <w:t>pension</w:t>
      </w:r>
      <w:r w:rsidR="00E91E6D" w:rsidRPr="00B272E2">
        <w:rPr>
          <w:rFonts w:ascii="Arial" w:hAnsi="Arial" w:cs="Times New Roman"/>
          <w:sz w:val="21"/>
          <w:szCs w:val="21"/>
        </w:rPr>
        <w:t xml:space="preserve"> benefit</w:t>
      </w:r>
      <w:r w:rsidR="009F47C0" w:rsidRPr="00B272E2">
        <w:rPr>
          <w:rFonts w:ascii="Arial" w:hAnsi="Arial" w:cs="Times New Roman"/>
          <w:sz w:val="21"/>
          <w:szCs w:val="21"/>
        </w:rPr>
        <w:t>s</w:t>
      </w:r>
      <w:r w:rsidR="00A50B5F" w:rsidRPr="00B272E2">
        <w:rPr>
          <w:rFonts w:ascii="Arial" w:hAnsi="Arial" w:cs="Times New Roman"/>
          <w:sz w:val="21"/>
          <w:szCs w:val="21"/>
        </w:rPr>
        <w:t xml:space="preserve"> i.e. the value of social benefits </w:t>
      </w:r>
      <w:r w:rsidR="001071BA" w:rsidRPr="00B272E2">
        <w:rPr>
          <w:rFonts w:ascii="Arial" w:hAnsi="Arial" w:cs="Times New Roman"/>
          <w:sz w:val="21"/>
          <w:szCs w:val="21"/>
        </w:rPr>
        <w:t>“</w:t>
      </w:r>
      <w:r w:rsidR="00A50B5F" w:rsidRPr="00B272E2">
        <w:rPr>
          <w:rFonts w:ascii="Arial" w:hAnsi="Arial" w:cs="Times New Roman"/>
          <w:sz w:val="21"/>
          <w:szCs w:val="21"/>
        </w:rPr>
        <w:t>disbursed by general government before the deduction of any taxes or social contributions paid on social benefits by their recipients</w:t>
      </w:r>
      <w:r w:rsidR="001071BA" w:rsidRPr="00B272E2">
        <w:rPr>
          <w:rFonts w:ascii="Arial" w:hAnsi="Arial" w:cs="Times New Roman"/>
          <w:sz w:val="21"/>
          <w:szCs w:val="21"/>
        </w:rPr>
        <w:t>”</w:t>
      </w:r>
      <w:r w:rsidR="003D121C" w:rsidRPr="00B272E2">
        <w:rPr>
          <w:rStyle w:val="FootnoteReference"/>
          <w:rFonts w:ascii="Arial" w:hAnsi="Arial" w:cs="Times New Roman"/>
          <w:sz w:val="21"/>
          <w:szCs w:val="21"/>
        </w:rPr>
        <w:footnoteReference w:id="3"/>
      </w:r>
      <w:r w:rsidR="001071BA" w:rsidRPr="00B272E2">
        <w:rPr>
          <w:rFonts w:ascii="Arial" w:hAnsi="Arial" w:cs="Times New Roman"/>
          <w:sz w:val="21"/>
          <w:szCs w:val="21"/>
        </w:rPr>
        <w:t>. A</w:t>
      </w:r>
      <w:r w:rsidR="00E91E6D" w:rsidRPr="00B272E2">
        <w:rPr>
          <w:rFonts w:ascii="Arial" w:hAnsi="Arial" w:cs="Times New Roman"/>
          <w:sz w:val="21"/>
          <w:szCs w:val="21"/>
        </w:rPr>
        <w:t>dministrative</w:t>
      </w:r>
      <w:r w:rsidR="009F47C0" w:rsidRPr="00B272E2">
        <w:rPr>
          <w:rFonts w:ascii="Arial" w:hAnsi="Arial" w:cs="Times New Roman"/>
          <w:sz w:val="21"/>
          <w:szCs w:val="21"/>
        </w:rPr>
        <w:t xml:space="preserve"> costs</w:t>
      </w:r>
      <w:r w:rsidR="00E91E6D" w:rsidRPr="00B272E2">
        <w:rPr>
          <w:rFonts w:ascii="Arial" w:hAnsi="Arial" w:cs="Times New Roman"/>
          <w:sz w:val="21"/>
          <w:szCs w:val="21"/>
        </w:rPr>
        <w:t xml:space="preserve"> and </w:t>
      </w:r>
      <w:r w:rsidR="00160530" w:rsidRPr="00B272E2">
        <w:rPr>
          <w:rFonts w:ascii="Arial" w:hAnsi="Arial" w:cs="Times New Roman"/>
          <w:sz w:val="21"/>
          <w:szCs w:val="21"/>
        </w:rPr>
        <w:t>transfers to other social schemes</w:t>
      </w:r>
      <w:r w:rsidR="001071BA" w:rsidRPr="00B272E2">
        <w:rPr>
          <w:rFonts w:ascii="Arial" w:hAnsi="Arial" w:cs="Times New Roman"/>
          <w:sz w:val="21"/>
          <w:szCs w:val="21"/>
        </w:rPr>
        <w:t xml:space="preserve"> are excluded</w:t>
      </w:r>
      <w:r w:rsidR="009F47C0" w:rsidRPr="00B272E2">
        <w:rPr>
          <w:rFonts w:ascii="Arial" w:hAnsi="Arial" w:cs="Times New Roman"/>
          <w:sz w:val="21"/>
          <w:szCs w:val="21"/>
        </w:rPr>
        <w:t xml:space="preserve">, while </w:t>
      </w:r>
      <w:r w:rsidR="009F47C0" w:rsidRPr="00B272E2">
        <w:rPr>
          <w:rFonts w:ascii="Arial" w:hAnsi="Arial" w:cs="Times New Roman"/>
          <w:sz w:val="21"/>
          <w:szCs w:val="21"/>
        </w:rPr>
        <w:lastRenderedPageBreak/>
        <w:t>benefits include both pu</w:t>
      </w:r>
      <w:r w:rsidR="00D01616" w:rsidRPr="00B272E2">
        <w:rPr>
          <w:rFonts w:ascii="Arial" w:hAnsi="Arial" w:cs="Times New Roman"/>
          <w:sz w:val="21"/>
          <w:szCs w:val="21"/>
        </w:rPr>
        <w:t>blic and private interventions</w:t>
      </w:r>
      <w:r w:rsidR="00E3075F" w:rsidRPr="00B272E2">
        <w:rPr>
          <w:rFonts w:ascii="Arial" w:hAnsi="Arial" w:cs="Times New Roman"/>
          <w:sz w:val="21"/>
          <w:szCs w:val="21"/>
        </w:rPr>
        <w:t xml:space="preserve"> (Eurostat, 2012: 136)</w:t>
      </w:r>
      <w:r w:rsidR="00D01616" w:rsidRPr="00B272E2">
        <w:rPr>
          <w:rStyle w:val="FootnoteReference"/>
          <w:rFonts w:ascii="Arial" w:hAnsi="Arial" w:cs="Times New Roman"/>
          <w:sz w:val="21"/>
          <w:szCs w:val="21"/>
        </w:rPr>
        <w:footnoteReference w:id="4"/>
      </w:r>
      <w:r w:rsidR="00E3075F" w:rsidRPr="00B272E2">
        <w:rPr>
          <w:rFonts w:ascii="Arial" w:hAnsi="Arial" w:cs="Times New Roman"/>
          <w:sz w:val="21"/>
          <w:szCs w:val="21"/>
        </w:rPr>
        <w:t xml:space="preserve">. </w:t>
      </w:r>
      <w:r w:rsidR="00E91E6D" w:rsidRPr="00B272E2">
        <w:rPr>
          <w:rFonts w:ascii="Arial" w:hAnsi="Arial" w:cs="Times New Roman"/>
          <w:sz w:val="21"/>
          <w:szCs w:val="21"/>
        </w:rPr>
        <w:t xml:space="preserve">Similar </w:t>
      </w:r>
      <w:r w:rsidR="0024501D" w:rsidRPr="00B272E2">
        <w:rPr>
          <w:rFonts w:ascii="Arial" w:hAnsi="Arial" w:cs="Times New Roman"/>
          <w:sz w:val="21"/>
          <w:szCs w:val="21"/>
        </w:rPr>
        <w:t>type</w:t>
      </w:r>
      <w:r w:rsidR="00E91E6D" w:rsidRPr="00B272E2">
        <w:rPr>
          <w:rFonts w:ascii="Arial" w:hAnsi="Arial" w:cs="Times New Roman"/>
          <w:sz w:val="21"/>
          <w:szCs w:val="21"/>
        </w:rPr>
        <w:t xml:space="preserve"> of indicator </w:t>
      </w:r>
      <w:r w:rsidR="009415DD" w:rsidRPr="00B272E2">
        <w:rPr>
          <w:rFonts w:ascii="Arial" w:hAnsi="Arial" w:cs="Times New Roman"/>
          <w:sz w:val="21"/>
          <w:szCs w:val="21"/>
        </w:rPr>
        <w:t xml:space="preserve">– </w:t>
      </w:r>
      <w:r w:rsidR="009415DD" w:rsidRPr="00B272E2">
        <w:rPr>
          <w:rFonts w:ascii="Arial" w:hAnsi="Arial" w:cs="Times New Roman"/>
          <w:b/>
          <w:sz w:val="21"/>
          <w:szCs w:val="21"/>
        </w:rPr>
        <w:t xml:space="preserve">total </w:t>
      </w:r>
      <w:r w:rsidR="00E3075F" w:rsidRPr="00B272E2">
        <w:rPr>
          <w:rFonts w:ascii="Arial" w:hAnsi="Arial" w:cs="Times New Roman"/>
          <w:b/>
          <w:sz w:val="21"/>
          <w:szCs w:val="21"/>
        </w:rPr>
        <w:t>expenditure on social protection (as % of GDP)</w:t>
      </w:r>
      <w:r w:rsidR="009415DD" w:rsidRPr="00B272E2">
        <w:rPr>
          <w:rFonts w:ascii="Arial" w:hAnsi="Arial" w:cs="Times New Roman"/>
          <w:b/>
          <w:sz w:val="21"/>
          <w:szCs w:val="21"/>
        </w:rPr>
        <w:t xml:space="preserve"> </w:t>
      </w:r>
      <w:r w:rsidR="009415DD" w:rsidRPr="00B272E2">
        <w:rPr>
          <w:rFonts w:ascii="Arial" w:hAnsi="Arial" w:cs="Times New Roman"/>
          <w:sz w:val="21"/>
          <w:szCs w:val="21"/>
        </w:rPr>
        <w:t xml:space="preserve">– </w:t>
      </w:r>
      <w:r w:rsidR="00E3075F" w:rsidRPr="00B272E2">
        <w:rPr>
          <w:rFonts w:ascii="Arial" w:hAnsi="Arial" w:cs="Times New Roman"/>
          <w:sz w:val="21"/>
          <w:szCs w:val="21"/>
        </w:rPr>
        <w:t>measur</w:t>
      </w:r>
      <w:r w:rsidR="009415DD" w:rsidRPr="00B272E2">
        <w:rPr>
          <w:rFonts w:ascii="Arial" w:hAnsi="Arial" w:cs="Times New Roman"/>
          <w:sz w:val="21"/>
          <w:szCs w:val="21"/>
        </w:rPr>
        <w:t>es</w:t>
      </w:r>
      <w:r w:rsidR="00803613" w:rsidRPr="00B272E2">
        <w:rPr>
          <w:rFonts w:ascii="Arial" w:hAnsi="Arial" w:cs="Times New Roman"/>
          <w:sz w:val="21"/>
          <w:szCs w:val="21"/>
        </w:rPr>
        <w:t xml:space="preserve"> all interventions from public or private bodies intended to relieve households and individuals of the burden of a</w:t>
      </w:r>
      <w:r w:rsidR="00380D4A" w:rsidRPr="00B272E2">
        <w:rPr>
          <w:rFonts w:ascii="Arial" w:hAnsi="Arial" w:cs="Times New Roman"/>
          <w:sz w:val="21"/>
          <w:szCs w:val="21"/>
        </w:rPr>
        <w:t xml:space="preserve"> defined set of risks or needs </w:t>
      </w:r>
      <w:r w:rsidR="009415DD" w:rsidRPr="00B272E2">
        <w:rPr>
          <w:rFonts w:ascii="Arial" w:hAnsi="Arial" w:cs="Times New Roman"/>
          <w:sz w:val="21"/>
          <w:szCs w:val="21"/>
        </w:rPr>
        <w:t>(</w:t>
      </w:r>
      <w:r w:rsidR="00803613" w:rsidRPr="00B272E2">
        <w:rPr>
          <w:rFonts w:ascii="Arial" w:hAnsi="Arial" w:cs="Times New Roman"/>
          <w:sz w:val="21"/>
          <w:szCs w:val="21"/>
        </w:rPr>
        <w:t>sickness/health care, disa</w:t>
      </w:r>
      <w:r w:rsidR="00380D4A" w:rsidRPr="00B272E2">
        <w:rPr>
          <w:rFonts w:ascii="Arial" w:hAnsi="Arial" w:cs="Times New Roman"/>
          <w:sz w:val="21"/>
          <w:szCs w:val="21"/>
        </w:rPr>
        <w:t>bility, old-age, survivors, family/children, unemployment, housing and s</w:t>
      </w:r>
      <w:r w:rsidR="00803613" w:rsidRPr="00B272E2">
        <w:rPr>
          <w:rFonts w:ascii="Arial" w:hAnsi="Arial" w:cs="Times New Roman"/>
          <w:sz w:val="21"/>
          <w:szCs w:val="21"/>
        </w:rPr>
        <w:t>ocial exclusion not elsewhere classified</w:t>
      </w:r>
      <w:r w:rsidR="009415DD" w:rsidRPr="00B272E2">
        <w:rPr>
          <w:rFonts w:ascii="Arial" w:hAnsi="Arial" w:cs="Times New Roman"/>
          <w:sz w:val="21"/>
          <w:szCs w:val="21"/>
        </w:rPr>
        <w:t>) and</w:t>
      </w:r>
      <w:r w:rsidR="00803613" w:rsidRPr="00B272E2">
        <w:rPr>
          <w:rFonts w:ascii="Arial" w:hAnsi="Arial" w:cs="Times New Roman"/>
          <w:sz w:val="21"/>
          <w:szCs w:val="21"/>
        </w:rPr>
        <w:t xml:space="preserve"> serves as a secondary indicator of</w:t>
      </w:r>
      <w:r w:rsidR="00B27AC1" w:rsidRPr="00B272E2">
        <w:rPr>
          <w:rFonts w:ascii="Arial" w:hAnsi="Arial" w:cs="Times New Roman"/>
          <w:sz w:val="21"/>
          <w:szCs w:val="21"/>
        </w:rPr>
        <w:t xml:space="preserve"> pension</w:t>
      </w:r>
      <w:r w:rsidR="00803613" w:rsidRPr="00B272E2">
        <w:rPr>
          <w:rFonts w:ascii="Arial" w:hAnsi="Arial" w:cs="Times New Roman"/>
          <w:sz w:val="21"/>
          <w:szCs w:val="21"/>
        </w:rPr>
        <w:t xml:space="preserve"> sustainability. </w:t>
      </w:r>
      <w:r w:rsidR="00B27AC1" w:rsidRPr="00B272E2">
        <w:rPr>
          <w:rFonts w:ascii="Arial" w:hAnsi="Arial" w:cs="Times New Roman"/>
          <w:sz w:val="21"/>
          <w:szCs w:val="21"/>
        </w:rPr>
        <w:t xml:space="preserve">This indicator </w:t>
      </w:r>
      <w:r w:rsidR="0024501D" w:rsidRPr="00B272E2">
        <w:rPr>
          <w:rFonts w:ascii="Arial" w:hAnsi="Arial" w:cs="Times New Roman"/>
          <w:sz w:val="21"/>
          <w:szCs w:val="21"/>
        </w:rPr>
        <w:t xml:space="preserve">is now available </w:t>
      </w:r>
      <w:r w:rsidR="00687172" w:rsidRPr="00B272E2">
        <w:rPr>
          <w:rFonts w:ascii="Arial" w:hAnsi="Arial" w:cs="Times New Roman"/>
          <w:sz w:val="21"/>
          <w:szCs w:val="21"/>
        </w:rPr>
        <w:t xml:space="preserve">both in net and gross </w:t>
      </w:r>
      <w:r w:rsidR="00380D4A" w:rsidRPr="00B272E2">
        <w:rPr>
          <w:rFonts w:ascii="Arial" w:hAnsi="Arial" w:cs="Times New Roman"/>
          <w:sz w:val="21"/>
          <w:szCs w:val="21"/>
        </w:rPr>
        <w:t xml:space="preserve">variant. </w:t>
      </w:r>
    </w:p>
    <w:p w14:paraId="3C3717CD" w14:textId="77777777" w:rsidR="00C06FD1" w:rsidRPr="00B272E2" w:rsidRDefault="00F877A9" w:rsidP="00B272E2">
      <w:pPr>
        <w:spacing w:after="240" w:line="360" w:lineRule="auto"/>
        <w:jc w:val="both"/>
        <w:rPr>
          <w:rFonts w:ascii="Arial" w:hAnsi="Arial" w:cs="Times New Roman"/>
          <w:sz w:val="21"/>
          <w:szCs w:val="21"/>
        </w:rPr>
      </w:pPr>
      <w:r w:rsidRPr="00B272E2">
        <w:rPr>
          <w:rFonts w:ascii="Arial" w:hAnsi="Arial" w:cs="Times New Roman"/>
          <w:sz w:val="21"/>
          <w:szCs w:val="21"/>
        </w:rPr>
        <w:t xml:space="preserve">Another set of indicators regarding sustainability of pensions </w:t>
      </w:r>
      <w:r w:rsidR="002000E3" w:rsidRPr="00B272E2">
        <w:rPr>
          <w:rFonts w:ascii="Arial" w:hAnsi="Arial" w:cs="Times New Roman"/>
          <w:sz w:val="21"/>
          <w:szCs w:val="21"/>
        </w:rPr>
        <w:t>consists of</w:t>
      </w:r>
      <w:r w:rsidRPr="00B272E2">
        <w:rPr>
          <w:rFonts w:ascii="Arial" w:hAnsi="Arial" w:cs="Times New Roman"/>
          <w:sz w:val="21"/>
          <w:szCs w:val="21"/>
        </w:rPr>
        <w:t xml:space="preserve"> two indicators with </w:t>
      </w:r>
      <w:r w:rsidR="002000E3" w:rsidRPr="00B272E2">
        <w:rPr>
          <w:rFonts w:ascii="Arial" w:hAnsi="Arial" w:cs="Times New Roman"/>
          <w:sz w:val="21"/>
          <w:szCs w:val="21"/>
        </w:rPr>
        <w:t>E</w:t>
      </w:r>
      <w:r w:rsidR="00FB7A90">
        <w:rPr>
          <w:rFonts w:ascii="Arial" w:hAnsi="Arial" w:cs="Times New Roman"/>
          <w:sz w:val="21"/>
          <w:szCs w:val="21"/>
        </w:rPr>
        <w:t>U</w:t>
      </w:r>
      <w:r w:rsidR="002000E3" w:rsidRPr="00B272E2">
        <w:rPr>
          <w:rFonts w:ascii="Arial" w:hAnsi="Arial" w:cs="Times New Roman"/>
          <w:sz w:val="21"/>
          <w:szCs w:val="21"/>
        </w:rPr>
        <w:t xml:space="preserve">-LFS as a </w:t>
      </w:r>
      <w:r w:rsidRPr="00B272E2">
        <w:rPr>
          <w:rFonts w:ascii="Arial" w:hAnsi="Arial" w:cs="Times New Roman"/>
          <w:sz w:val="21"/>
          <w:szCs w:val="21"/>
        </w:rPr>
        <w:t xml:space="preserve">source, both serving as primary indicators. </w:t>
      </w:r>
      <w:r w:rsidR="0038281E" w:rsidRPr="00B272E2">
        <w:rPr>
          <w:rFonts w:ascii="Arial" w:hAnsi="Arial" w:cs="Times New Roman"/>
          <w:sz w:val="21"/>
          <w:szCs w:val="21"/>
        </w:rPr>
        <w:t>This</w:t>
      </w:r>
      <w:r w:rsidRPr="00B272E2">
        <w:rPr>
          <w:rFonts w:ascii="Arial" w:hAnsi="Arial" w:cs="Times New Roman"/>
          <w:sz w:val="21"/>
          <w:szCs w:val="21"/>
        </w:rPr>
        <w:t xml:space="preserve"> </w:t>
      </w:r>
      <w:r w:rsidR="002E3C00" w:rsidRPr="00B272E2">
        <w:rPr>
          <w:rFonts w:ascii="Arial" w:hAnsi="Arial" w:cs="Times New Roman"/>
          <w:sz w:val="21"/>
          <w:szCs w:val="21"/>
        </w:rPr>
        <w:t xml:space="preserve">is </w:t>
      </w:r>
      <w:r w:rsidR="002000E3" w:rsidRPr="00B272E2">
        <w:rPr>
          <w:rFonts w:ascii="Arial" w:hAnsi="Arial" w:cs="Times New Roman"/>
          <w:b/>
          <w:sz w:val="21"/>
          <w:szCs w:val="21"/>
        </w:rPr>
        <w:t xml:space="preserve">employment </w:t>
      </w:r>
      <w:r w:rsidR="002E3C00" w:rsidRPr="00B272E2">
        <w:rPr>
          <w:rFonts w:ascii="Arial" w:hAnsi="Arial" w:cs="Times New Roman"/>
          <w:b/>
          <w:sz w:val="21"/>
          <w:szCs w:val="21"/>
        </w:rPr>
        <w:t>rate</w:t>
      </w:r>
      <w:r w:rsidR="00BB0AA1" w:rsidRPr="00B272E2">
        <w:rPr>
          <w:rFonts w:ascii="Arial" w:hAnsi="Arial" w:cs="Times New Roman"/>
          <w:sz w:val="21"/>
          <w:szCs w:val="21"/>
        </w:rPr>
        <w:t xml:space="preserve"> for various age-group breakdowns with particular focus on employment rate of 55-64, allowing the analysis of “change in employment rates with age brackets and paths of early exit from the </w:t>
      </w:r>
      <w:r w:rsidR="008547DD" w:rsidRPr="00B272E2">
        <w:rPr>
          <w:rFonts w:ascii="Arial" w:hAnsi="Arial" w:cs="Times New Roman"/>
          <w:sz w:val="21"/>
          <w:szCs w:val="21"/>
        </w:rPr>
        <w:t>labor</w:t>
      </w:r>
      <w:r w:rsidR="00BB0AA1" w:rsidRPr="00B272E2">
        <w:rPr>
          <w:rFonts w:ascii="Arial" w:hAnsi="Arial" w:cs="Times New Roman"/>
          <w:sz w:val="21"/>
          <w:szCs w:val="21"/>
        </w:rPr>
        <w:t xml:space="preserve"> market”</w:t>
      </w:r>
      <w:r w:rsidR="002000E3" w:rsidRPr="00B272E2">
        <w:rPr>
          <w:rStyle w:val="FootnoteReference"/>
          <w:rFonts w:ascii="Arial" w:hAnsi="Arial" w:cs="Times New Roman"/>
          <w:sz w:val="21"/>
          <w:szCs w:val="21"/>
        </w:rPr>
        <w:footnoteReference w:id="5"/>
      </w:r>
      <w:r w:rsidR="0038281E" w:rsidRPr="00B272E2">
        <w:rPr>
          <w:rFonts w:ascii="Arial" w:hAnsi="Arial" w:cs="Times New Roman"/>
          <w:sz w:val="21"/>
          <w:szCs w:val="21"/>
        </w:rPr>
        <w:t xml:space="preserve">. Another indicator is </w:t>
      </w:r>
      <w:r w:rsidR="00EA1CD4" w:rsidRPr="00B272E2">
        <w:rPr>
          <w:rFonts w:ascii="Arial" w:hAnsi="Arial" w:cs="Times New Roman"/>
          <w:b/>
          <w:sz w:val="21"/>
          <w:szCs w:val="21"/>
        </w:rPr>
        <w:t>duration of working life</w:t>
      </w:r>
      <w:r w:rsidR="0038281E" w:rsidRPr="00B272E2">
        <w:rPr>
          <w:rFonts w:ascii="Arial" w:hAnsi="Arial" w:cs="Times New Roman"/>
          <w:sz w:val="21"/>
          <w:szCs w:val="21"/>
        </w:rPr>
        <w:t>, which replaced previous indicator</w:t>
      </w:r>
      <w:r w:rsidR="00943B45">
        <w:rPr>
          <w:rFonts w:ascii="Arial" w:hAnsi="Arial" w:cs="Times New Roman"/>
          <w:sz w:val="21"/>
          <w:szCs w:val="21"/>
        </w:rPr>
        <w:t xml:space="preserve"> – </w:t>
      </w:r>
      <w:r w:rsidR="00943B45" w:rsidRPr="00B272E2">
        <w:rPr>
          <w:rFonts w:ascii="Arial" w:hAnsi="Arial" w:cs="Times New Roman"/>
          <w:sz w:val="21"/>
          <w:szCs w:val="21"/>
        </w:rPr>
        <w:t>effective</w:t>
      </w:r>
      <w:r w:rsidR="0038281E" w:rsidRPr="00B272E2">
        <w:rPr>
          <w:rFonts w:ascii="Arial" w:hAnsi="Arial" w:cs="Times New Roman"/>
          <w:sz w:val="21"/>
          <w:szCs w:val="21"/>
        </w:rPr>
        <w:t xml:space="preserve"> </w:t>
      </w:r>
      <w:r w:rsidR="00BB5B98" w:rsidRPr="00B272E2">
        <w:rPr>
          <w:rFonts w:ascii="Arial" w:hAnsi="Arial" w:cs="Times New Roman"/>
          <w:sz w:val="21"/>
          <w:szCs w:val="21"/>
        </w:rPr>
        <w:t xml:space="preserve">age </w:t>
      </w:r>
      <w:r w:rsidR="00BB5B98">
        <w:rPr>
          <w:rFonts w:ascii="Arial" w:hAnsi="Arial" w:cs="Times New Roman"/>
          <w:sz w:val="21"/>
          <w:szCs w:val="21"/>
        </w:rPr>
        <w:t xml:space="preserve">of </w:t>
      </w:r>
      <w:r w:rsidR="008547DD" w:rsidRPr="00B272E2">
        <w:rPr>
          <w:rFonts w:ascii="Arial" w:hAnsi="Arial" w:cs="Times New Roman"/>
          <w:sz w:val="21"/>
          <w:szCs w:val="21"/>
        </w:rPr>
        <w:t>labor</w:t>
      </w:r>
      <w:r w:rsidR="0038281E" w:rsidRPr="00B272E2">
        <w:rPr>
          <w:rFonts w:ascii="Arial" w:hAnsi="Arial" w:cs="Times New Roman"/>
          <w:sz w:val="21"/>
          <w:szCs w:val="21"/>
        </w:rPr>
        <w:t xml:space="preserve"> market exit. </w:t>
      </w:r>
      <w:r w:rsidR="00DC14CB" w:rsidRPr="00B272E2">
        <w:rPr>
          <w:rFonts w:ascii="Arial" w:hAnsi="Arial" w:cs="Times New Roman"/>
          <w:sz w:val="21"/>
          <w:szCs w:val="21"/>
        </w:rPr>
        <w:t>This indicator has been developed and produced for analysis and monitoring under the E</w:t>
      </w:r>
      <w:r w:rsidR="008075A1" w:rsidRPr="00B272E2">
        <w:rPr>
          <w:rFonts w:ascii="Arial" w:hAnsi="Arial" w:cs="Times New Roman"/>
          <w:sz w:val="21"/>
          <w:szCs w:val="21"/>
        </w:rPr>
        <w:t xml:space="preserve">urope 2020 employment strategy and it reflects one of two White paper messages – balancing work and retirement time. </w:t>
      </w:r>
      <w:r w:rsidR="00E546EF" w:rsidRPr="00B272E2">
        <w:rPr>
          <w:rFonts w:ascii="Arial" w:hAnsi="Arial" w:cs="Times New Roman"/>
          <w:sz w:val="21"/>
          <w:szCs w:val="21"/>
        </w:rPr>
        <w:t xml:space="preserve">This indicator is actually an expectation on number of years </w:t>
      </w:r>
      <w:r w:rsidR="002414E8" w:rsidRPr="00B272E2">
        <w:rPr>
          <w:rFonts w:ascii="Arial" w:hAnsi="Arial" w:cs="Times New Roman"/>
          <w:sz w:val="21"/>
          <w:szCs w:val="21"/>
        </w:rPr>
        <w:t xml:space="preserve">a </w:t>
      </w:r>
      <w:r w:rsidR="00E546EF" w:rsidRPr="00B272E2">
        <w:rPr>
          <w:rFonts w:ascii="Arial" w:hAnsi="Arial" w:cs="Times New Roman"/>
          <w:sz w:val="21"/>
          <w:szCs w:val="21"/>
        </w:rPr>
        <w:t>person be</w:t>
      </w:r>
      <w:r w:rsidR="002414E8" w:rsidRPr="00B272E2">
        <w:rPr>
          <w:rFonts w:ascii="Arial" w:hAnsi="Arial" w:cs="Times New Roman"/>
          <w:sz w:val="21"/>
          <w:szCs w:val="21"/>
        </w:rPr>
        <w:t>ing</w:t>
      </w:r>
      <w:r w:rsidR="00E546EF" w:rsidRPr="00B272E2">
        <w:rPr>
          <w:rFonts w:ascii="Arial" w:hAnsi="Arial" w:cs="Times New Roman"/>
          <w:sz w:val="21"/>
          <w:szCs w:val="21"/>
        </w:rPr>
        <w:t xml:space="preserve"> active in the </w:t>
      </w:r>
      <w:r w:rsidR="008547DD" w:rsidRPr="00B272E2">
        <w:rPr>
          <w:rFonts w:ascii="Arial" w:hAnsi="Arial" w:cs="Times New Roman"/>
          <w:sz w:val="21"/>
          <w:szCs w:val="21"/>
        </w:rPr>
        <w:t>labor</w:t>
      </w:r>
      <w:r w:rsidR="00E546EF" w:rsidRPr="00B272E2">
        <w:rPr>
          <w:rFonts w:ascii="Arial" w:hAnsi="Arial" w:cs="Times New Roman"/>
          <w:sz w:val="21"/>
          <w:szCs w:val="21"/>
        </w:rPr>
        <w:t xml:space="preserve"> market, and </w:t>
      </w:r>
      <w:r w:rsidR="00EE7B52" w:rsidRPr="00B272E2">
        <w:rPr>
          <w:rFonts w:ascii="Arial" w:hAnsi="Arial" w:cs="Times New Roman"/>
          <w:sz w:val="21"/>
          <w:szCs w:val="21"/>
        </w:rPr>
        <w:t>for its calculation both</w:t>
      </w:r>
      <w:r w:rsidR="00E546EF" w:rsidRPr="00B272E2">
        <w:rPr>
          <w:rFonts w:ascii="Arial" w:hAnsi="Arial" w:cs="Times New Roman"/>
          <w:sz w:val="21"/>
          <w:szCs w:val="21"/>
        </w:rPr>
        <w:t xml:space="preserve"> LFS </w:t>
      </w:r>
      <w:r w:rsidR="00EE7B52" w:rsidRPr="00B272E2">
        <w:rPr>
          <w:rFonts w:ascii="Arial" w:hAnsi="Arial" w:cs="Times New Roman"/>
          <w:sz w:val="21"/>
          <w:szCs w:val="21"/>
        </w:rPr>
        <w:t xml:space="preserve">activity rates and </w:t>
      </w:r>
      <w:r w:rsidR="002414E8" w:rsidRPr="00B272E2">
        <w:rPr>
          <w:rFonts w:ascii="Arial" w:hAnsi="Arial" w:cs="Times New Roman"/>
          <w:sz w:val="21"/>
          <w:szCs w:val="21"/>
        </w:rPr>
        <w:t xml:space="preserve">Eurostat </w:t>
      </w:r>
      <w:r w:rsidR="00E546EF" w:rsidRPr="00B272E2">
        <w:rPr>
          <w:rFonts w:ascii="Arial" w:hAnsi="Arial" w:cs="Times New Roman"/>
          <w:sz w:val="21"/>
          <w:szCs w:val="21"/>
        </w:rPr>
        <w:t>survival functions</w:t>
      </w:r>
      <w:r w:rsidR="00EE7B52" w:rsidRPr="00B272E2">
        <w:rPr>
          <w:rFonts w:ascii="Arial" w:hAnsi="Arial" w:cs="Times New Roman"/>
          <w:sz w:val="21"/>
          <w:szCs w:val="21"/>
        </w:rPr>
        <w:t xml:space="preserve"> are needed</w:t>
      </w:r>
      <w:r w:rsidR="00E546EF" w:rsidRPr="00B272E2">
        <w:rPr>
          <w:rFonts w:ascii="Arial" w:hAnsi="Arial" w:cs="Times New Roman"/>
          <w:sz w:val="21"/>
          <w:szCs w:val="21"/>
        </w:rPr>
        <w:t xml:space="preserve">. </w:t>
      </w:r>
    </w:p>
    <w:p w14:paraId="2898E0BA" w14:textId="77777777" w:rsidR="007F5F7A" w:rsidRPr="00B272E2" w:rsidRDefault="007D13C5" w:rsidP="00B272E2">
      <w:pPr>
        <w:spacing w:after="240" w:line="360" w:lineRule="auto"/>
        <w:jc w:val="both"/>
        <w:rPr>
          <w:rFonts w:ascii="Arial" w:hAnsi="Arial" w:cs="Times New Roman"/>
          <w:sz w:val="21"/>
          <w:szCs w:val="21"/>
        </w:rPr>
      </w:pPr>
      <w:r w:rsidRPr="00B272E2">
        <w:rPr>
          <w:rFonts w:ascii="Arial" w:hAnsi="Arial" w:cs="Times New Roman"/>
          <w:sz w:val="21"/>
          <w:szCs w:val="21"/>
        </w:rPr>
        <w:t>F</w:t>
      </w:r>
      <w:r w:rsidR="00C06FD1" w:rsidRPr="00B272E2">
        <w:rPr>
          <w:rFonts w:ascii="Arial" w:hAnsi="Arial" w:cs="Times New Roman"/>
          <w:sz w:val="21"/>
          <w:szCs w:val="21"/>
        </w:rPr>
        <w:t xml:space="preserve">inal set of indicators regarding sustainability </w:t>
      </w:r>
      <w:r w:rsidR="00EE7B52" w:rsidRPr="00B272E2">
        <w:rPr>
          <w:rFonts w:ascii="Arial" w:hAnsi="Arial" w:cs="Times New Roman"/>
          <w:sz w:val="21"/>
          <w:szCs w:val="21"/>
        </w:rPr>
        <w:t xml:space="preserve">of pensions </w:t>
      </w:r>
      <w:r w:rsidR="009415DD" w:rsidRPr="00B272E2">
        <w:rPr>
          <w:rFonts w:ascii="Arial" w:hAnsi="Arial" w:cs="Times New Roman"/>
          <w:sz w:val="21"/>
          <w:szCs w:val="21"/>
        </w:rPr>
        <w:t>is</w:t>
      </w:r>
      <w:r w:rsidR="00C06FD1" w:rsidRPr="00B272E2">
        <w:rPr>
          <w:rFonts w:ascii="Arial" w:hAnsi="Arial" w:cs="Times New Roman"/>
          <w:sz w:val="21"/>
          <w:szCs w:val="21"/>
        </w:rPr>
        <w:t xml:space="preserve"> </w:t>
      </w:r>
      <w:r w:rsidR="002414E8" w:rsidRPr="00B272E2">
        <w:rPr>
          <w:rFonts w:ascii="Arial" w:hAnsi="Arial" w:cs="Times New Roman"/>
          <w:sz w:val="21"/>
          <w:szCs w:val="21"/>
        </w:rPr>
        <w:t>created</w:t>
      </w:r>
      <w:r w:rsidRPr="00B272E2">
        <w:rPr>
          <w:rFonts w:ascii="Arial" w:hAnsi="Arial" w:cs="Times New Roman"/>
          <w:sz w:val="21"/>
          <w:szCs w:val="21"/>
        </w:rPr>
        <w:t xml:space="preserve"> for Aging Report</w:t>
      </w:r>
      <w:r w:rsidR="009F6C12" w:rsidRPr="00B272E2">
        <w:rPr>
          <w:rFonts w:ascii="Arial" w:hAnsi="Arial" w:cs="Times New Roman"/>
          <w:sz w:val="21"/>
          <w:szCs w:val="21"/>
        </w:rPr>
        <w:t xml:space="preserve"> </w:t>
      </w:r>
      <w:r w:rsidR="00DF2C94">
        <w:rPr>
          <w:rFonts w:ascii="Arial" w:hAnsi="Arial" w:cs="Times New Roman"/>
          <w:sz w:val="21"/>
          <w:szCs w:val="21"/>
        </w:rPr>
        <w:t xml:space="preserve">produced by </w:t>
      </w:r>
      <w:r w:rsidR="00075AD4" w:rsidRPr="00B272E2">
        <w:rPr>
          <w:rFonts w:ascii="Arial" w:hAnsi="Arial" w:cs="Times New Roman"/>
          <w:sz w:val="21"/>
          <w:szCs w:val="21"/>
        </w:rPr>
        <w:t xml:space="preserve">Economic Commission </w:t>
      </w:r>
      <w:r w:rsidR="007C0042" w:rsidRPr="00B272E2">
        <w:rPr>
          <w:rFonts w:ascii="Arial" w:hAnsi="Arial" w:cs="Times New Roman"/>
          <w:sz w:val="21"/>
          <w:szCs w:val="21"/>
        </w:rPr>
        <w:t>(DG ECFIN</w:t>
      </w:r>
      <w:r w:rsidR="00075AD4" w:rsidRPr="00B272E2">
        <w:rPr>
          <w:rFonts w:ascii="Arial" w:hAnsi="Arial" w:cs="Times New Roman"/>
          <w:sz w:val="21"/>
          <w:szCs w:val="21"/>
        </w:rPr>
        <w:t xml:space="preserve">) and </w:t>
      </w:r>
      <w:r w:rsidR="009F6C12" w:rsidRPr="00B272E2">
        <w:rPr>
          <w:rFonts w:ascii="Arial" w:hAnsi="Arial" w:cs="Times New Roman"/>
          <w:sz w:val="21"/>
          <w:szCs w:val="21"/>
        </w:rPr>
        <w:t xml:space="preserve">Economic Policy Committee (EPC) </w:t>
      </w:r>
      <w:r w:rsidR="00822BE1" w:rsidRPr="00B272E2">
        <w:rPr>
          <w:rFonts w:ascii="Arial" w:hAnsi="Arial" w:cs="Times New Roman"/>
          <w:sz w:val="21"/>
          <w:szCs w:val="21"/>
        </w:rPr>
        <w:t xml:space="preserve">– </w:t>
      </w:r>
      <w:r w:rsidR="009F6C12" w:rsidRPr="00B272E2">
        <w:rPr>
          <w:rFonts w:ascii="Arial" w:hAnsi="Arial" w:cs="Times New Roman"/>
          <w:sz w:val="21"/>
          <w:szCs w:val="21"/>
        </w:rPr>
        <w:t>Aging Working Group (AWG).</w:t>
      </w:r>
      <w:r w:rsidR="000F2E9B" w:rsidRPr="00B272E2">
        <w:rPr>
          <w:rFonts w:ascii="Arial" w:hAnsi="Arial" w:cs="Times New Roman"/>
          <w:sz w:val="21"/>
          <w:szCs w:val="21"/>
        </w:rPr>
        <w:t xml:space="preserve"> </w:t>
      </w:r>
      <w:r w:rsidR="000240A8" w:rsidRPr="00B272E2">
        <w:rPr>
          <w:rFonts w:ascii="Arial" w:hAnsi="Arial" w:cs="Times New Roman"/>
          <w:sz w:val="21"/>
          <w:szCs w:val="21"/>
        </w:rPr>
        <w:t xml:space="preserve">It </w:t>
      </w:r>
      <w:r w:rsidR="00822BE1" w:rsidRPr="00B272E2">
        <w:rPr>
          <w:rFonts w:ascii="Arial" w:hAnsi="Arial" w:cs="Times New Roman"/>
          <w:sz w:val="21"/>
          <w:szCs w:val="21"/>
        </w:rPr>
        <w:t>consists of</w:t>
      </w:r>
      <w:r w:rsidR="000240A8" w:rsidRPr="00B272E2">
        <w:rPr>
          <w:rFonts w:ascii="Arial" w:hAnsi="Arial" w:cs="Times New Roman"/>
          <w:sz w:val="21"/>
          <w:szCs w:val="21"/>
        </w:rPr>
        <w:t xml:space="preserve"> </w:t>
      </w:r>
      <w:r w:rsidR="00822BE1" w:rsidRPr="00B272E2">
        <w:rPr>
          <w:rFonts w:ascii="Arial" w:hAnsi="Arial" w:cs="Times New Roman"/>
          <w:b/>
          <w:sz w:val="21"/>
          <w:szCs w:val="21"/>
        </w:rPr>
        <w:t xml:space="preserve">projections </w:t>
      </w:r>
      <w:r w:rsidR="000240A8" w:rsidRPr="00B272E2">
        <w:rPr>
          <w:rFonts w:ascii="Arial" w:hAnsi="Arial" w:cs="Times New Roman"/>
          <w:b/>
          <w:sz w:val="21"/>
          <w:szCs w:val="21"/>
        </w:rPr>
        <w:t>of pension expenditure, public and total (% of GDP)</w:t>
      </w:r>
      <w:r w:rsidR="000240A8" w:rsidRPr="00B272E2">
        <w:rPr>
          <w:rFonts w:ascii="Arial" w:hAnsi="Arial" w:cs="Times New Roman"/>
          <w:sz w:val="21"/>
          <w:szCs w:val="21"/>
        </w:rPr>
        <w:t xml:space="preserve"> and </w:t>
      </w:r>
      <w:r w:rsidR="00822BE1" w:rsidRPr="00B272E2">
        <w:rPr>
          <w:rFonts w:ascii="Arial" w:hAnsi="Arial" w:cs="Times New Roman"/>
          <w:b/>
          <w:sz w:val="21"/>
          <w:szCs w:val="21"/>
        </w:rPr>
        <w:t xml:space="preserve">decomposition </w:t>
      </w:r>
      <w:r w:rsidR="00824E63" w:rsidRPr="00B272E2">
        <w:rPr>
          <w:rFonts w:ascii="Arial" w:hAnsi="Arial" w:cs="Times New Roman"/>
          <w:b/>
          <w:sz w:val="21"/>
          <w:szCs w:val="21"/>
        </w:rPr>
        <w:t>of the projected increase in public pension expenditure</w:t>
      </w:r>
      <w:r w:rsidR="00824E63" w:rsidRPr="00B272E2">
        <w:rPr>
          <w:rFonts w:ascii="Arial" w:hAnsi="Arial" w:cs="Times New Roman"/>
          <w:sz w:val="21"/>
          <w:szCs w:val="21"/>
        </w:rPr>
        <w:t xml:space="preserve"> (effect of old age dependency ratio, the employment effect, the take-up ratio and the benefit ratio</w:t>
      </w:r>
      <w:r w:rsidR="00EE7B52" w:rsidRPr="00B272E2">
        <w:rPr>
          <w:rFonts w:ascii="Arial" w:hAnsi="Arial" w:cs="Times New Roman"/>
          <w:sz w:val="21"/>
          <w:szCs w:val="21"/>
        </w:rPr>
        <w:t>)</w:t>
      </w:r>
      <w:r w:rsidR="00824E63" w:rsidRPr="00B272E2">
        <w:rPr>
          <w:rFonts w:ascii="Arial" w:hAnsi="Arial" w:cs="Times New Roman"/>
          <w:sz w:val="21"/>
          <w:szCs w:val="21"/>
        </w:rPr>
        <w:t>.</w:t>
      </w:r>
      <w:r w:rsidR="00E346F7" w:rsidRPr="00B272E2">
        <w:rPr>
          <w:rFonts w:ascii="Arial" w:hAnsi="Arial" w:cs="Times New Roman"/>
          <w:sz w:val="21"/>
          <w:szCs w:val="21"/>
        </w:rPr>
        <w:t xml:space="preserve"> These are national indicators</w:t>
      </w:r>
      <w:r w:rsidR="00912698" w:rsidRPr="00B272E2">
        <w:rPr>
          <w:rFonts w:ascii="Arial" w:hAnsi="Arial" w:cs="Times New Roman"/>
          <w:sz w:val="21"/>
          <w:szCs w:val="21"/>
        </w:rPr>
        <w:t xml:space="preserve"> as defined by SPC (2015) </w:t>
      </w:r>
      <w:r w:rsidR="006A5A25" w:rsidRPr="00B272E2">
        <w:rPr>
          <w:rFonts w:ascii="Arial" w:hAnsi="Arial" w:cs="Times New Roman"/>
          <w:sz w:val="21"/>
          <w:szCs w:val="21"/>
        </w:rPr>
        <w:t>since projections of pension expenditure were to be carried out by the Member States using national models on the basis of the commonl</w:t>
      </w:r>
      <w:r w:rsidR="00AF7AB1" w:rsidRPr="00B272E2">
        <w:rPr>
          <w:rFonts w:ascii="Arial" w:hAnsi="Arial" w:cs="Times New Roman"/>
          <w:sz w:val="21"/>
          <w:szCs w:val="21"/>
        </w:rPr>
        <w:t>y agreed underlying assumptions. “</w:t>
      </w:r>
      <w:r w:rsidR="006A5A25" w:rsidRPr="00B272E2">
        <w:rPr>
          <w:rFonts w:ascii="Arial" w:hAnsi="Arial" w:cs="Times New Roman"/>
          <w:sz w:val="21"/>
          <w:szCs w:val="21"/>
        </w:rPr>
        <w:t>This approach was chosen by the Commission and EPC because pension systems and arrangements are very diverse in the EU Member States, making it extremely difficult to reliably project pension expenditure on the basis of one common model, to be used for all the 28 EU Member State</w:t>
      </w:r>
      <w:r w:rsidR="00822BE1" w:rsidRPr="00B272E2">
        <w:rPr>
          <w:rFonts w:ascii="Arial" w:hAnsi="Arial" w:cs="Times New Roman"/>
          <w:sz w:val="21"/>
          <w:szCs w:val="21"/>
        </w:rPr>
        <w:t>s</w:t>
      </w:r>
      <w:r w:rsidR="00AF7AB1" w:rsidRPr="00B272E2">
        <w:rPr>
          <w:rFonts w:ascii="Arial" w:hAnsi="Arial" w:cs="Times New Roman"/>
          <w:sz w:val="21"/>
          <w:szCs w:val="21"/>
        </w:rPr>
        <w:t>” (E</w:t>
      </w:r>
      <w:r w:rsidR="00CA5888">
        <w:rPr>
          <w:rFonts w:ascii="Arial" w:hAnsi="Arial" w:cs="Times New Roman"/>
          <w:sz w:val="21"/>
          <w:szCs w:val="21"/>
        </w:rPr>
        <w:t>C</w:t>
      </w:r>
      <w:r w:rsidR="00AF7AB1" w:rsidRPr="00B272E2">
        <w:rPr>
          <w:rFonts w:ascii="Arial" w:hAnsi="Arial" w:cs="Times New Roman"/>
          <w:sz w:val="21"/>
          <w:szCs w:val="21"/>
        </w:rPr>
        <w:t>, 2015:102).</w:t>
      </w:r>
    </w:p>
    <w:p w14:paraId="0BF1FD77" w14:textId="77777777" w:rsidR="00CA5888" w:rsidRDefault="007F5F7A" w:rsidP="00CA5888">
      <w:pPr>
        <w:spacing w:after="240" w:line="360" w:lineRule="auto"/>
        <w:jc w:val="both"/>
        <w:rPr>
          <w:rFonts w:ascii="Arial" w:hAnsi="Arial" w:cs="Times New Roman"/>
          <w:sz w:val="21"/>
          <w:szCs w:val="21"/>
        </w:rPr>
      </w:pPr>
      <w:r w:rsidRPr="00B272E2">
        <w:rPr>
          <w:rFonts w:ascii="Arial" w:hAnsi="Arial" w:cs="Times New Roman"/>
          <w:sz w:val="21"/>
          <w:szCs w:val="21"/>
        </w:rPr>
        <w:t xml:space="preserve">Context information that belongs to this group of indicators </w:t>
      </w:r>
      <w:r w:rsidR="00822BE1" w:rsidRPr="00B272E2">
        <w:rPr>
          <w:rFonts w:ascii="Arial" w:hAnsi="Arial" w:cs="Times New Roman"/>
          <w:sz w:val="21"/>
          <w:szCs w:val="21"/>
        </w:rPr>
        <w:t>is</w:t>
      </w:r>
      <w:r w:rsidRPr="00B272E2">
        <w:rPr>
          <w:rFonts w:ascii="Arial" w:hAnsi="Arial" w:cs="Times New Roman"/>
          <w:sz w:val="21"/>
          <w:szCs w:val="21"/>
        </w:rPr>
        <w:t xml:space="preserve">: </w:t>
      </w:r>
      <w:r w:rsidRPr="00B272E2">
        <w:rPr>
          <w:rFonts w:ascii="Arial" w:hAnsi="Arial" w:cs="Times New Roman"/>
          <w:b/>
          <w:sz w:val="21"/>
          <w:szCs w:val="21"/>
        </w:rPr>
        <w:t>o</w:t>
      </w:r>
      <w:r w:rsidR="006A7C68" w:rsidRPr="00B272E2">
        <w:rPr>
          <w:rFonts w:ascii="Arial" w:hAnsi="Arial" w:cs="Times New Roman"/>
          <w:b/>
          <w:sz w:val="21"/>
          <w:szCs w:val="21"/>
        </w:rPr>
        <w:t>ld-age dependency ratio</w:t>
      </w:r>
      <w:r w:rsidR="006A7C68" w:rsidRPr="00B272E2">
        <w:rPr>
          <w:rFonts w:ascii="Arial" w:hAnsi="Arial" w:cs="Times New Roman"/>
          <w:b/>
          <w:i/>
          <w:sz w:val="21"/>
          <w:szCs w:val="21"/>
        </w:rPr>
        <w:t xml:space="preserve"> </w:t>
      </w:r>
      <w:r w:rsidR="006A7C68" w:rsidRPr="00B272E2">
        <w:rPr>
          <w:rFonts w:ascii="Arial" w:hAnsi="Arial" w:cs="Times New Roman"/>
          <w:sz w:val="21"/>
          <w:szCs w:val="21"/>
        </w:rPr>
        <w:t>(c</w:t>
      </w:r>
      <w:r w:rsidRPr="00B272E2">
        <w:rPr>
          <w:rFonts w:ascii="Arial" w:hAnsi="Arial" w:cs="Times New Roman"/>
          <w:sz w:val="21"/>
          <w:szCs w:val="21"/>
        </w:rPr>
        <w:t>urrent and projected</w:t>
      </w:r>
      <w:r w:rsidR="006A7C68" w:rsidRPr="00B272E2">
        <w:rPr>
          <w:rFonts w:ascii="Arial" w:hAnsi="Arial" w:cs="Times New Roman"/>
          <w:sz w:val="21"/>
          <w:szCs w:val="21"/>
        </w:rPr>
        <w:t xml:space="preserve">), </w:t>
      </w:r>
      <w:r w:rsidR="000E5997" w:rsidRPr="00B272E2">
        <w:rPr>
          <w:rFonts w:ascii="Arial" w:hAnsi="Arial" w:cs="Times New Roman"/>
          <w:b/>
          <w:sz w:val="21"/>
          <w:szCs w:val="21"/>
        </w:rPr>
        <w:t>e</w:t>
      </w:r>
      <w:r w:rsidRPr="00B272E2">
        <w:rPr>
          <w:rFonts w:ascii="Arial" w:hAnsi="Arial" w:cs="Times New Roman"/>
          <w:b/>
          <w:sz w:val="21"/>
          <w:szCs w:val="21"/>
        </w:rPr>
        <w:t>volution of life expectancy at birth and at ages 60 and 65</w:t>
      </w:r>
      <w:r w:rsidRPr="00B272E2">
        <w:rPr>
          <w:rFonts w:ascii="Arial" w:hAnsi="Arial" w:cs="Times New Roman"/>
          <w:sz w:val="21"/>
          <w:szCs w:val="21"/>
        </w:rPr>
        <w:t>, by gender (current and projected)</w:t>
      </w:r>
      <w:r w:rsidR="006A7C68" w:rsidRPr="00B272E2">
        <w:rPr>
          <w:rFonts w:ascii="Arial" w:hAnsi="Arial" w:cs="Times New Roman"/>
          <w:sz w:val="21"/>
          <w:szCs w:val="21"/>
        </w:rPr>
        <w:t xml:space="preserve">, </w:t>
      </w:r>
      <w:r w:rsidR="006A7C68" w:rsidRPr="00B272E2">
        <w:rPr>
          <w:rFonts w:ascii="Arial" w:hAnsi="Arial" w:cs="Times New Roman"/>
          <w:b/>
          <w:sz w:val="21"/>
          <w:szCs w:val="21"/>
        </w:rPr>
        <w:t>p</w:t>
      </w:r>
      <w:r w:rsidRPr="00B272E2">
        <w:rPr>
          <w:rFonts w:ascii="Arial" w:hAnsi="Arial" w:cs="Times New Roman"/>
          <w:b/>
          <w:sz w:val="21"/>
          <w:szCs w:val="21"/>
        </w:rPr>
        <w:t>ension system dependency r</w:t>
      </w:r>
      <w:r w:rsidR="006A7C68" w:rsidRPr="00B272E2">
        <w:rPr>
          <w:rFonts w:ascii="Arial" w:hAnsi="Arial" w:cs="Times New Roman"/>
          <w:b/>
          <w:sz w:val="21"/>
          <w:szCs w:val="21"/>
        </w:rPr>
        <w:t>atio</w:t>
      </w:r>
      <w:r w:rsidR="006A7C68" w:rsidRPr="00B272E2">
        <w:rPr>
          <w:rFonts w:ascii="Arial" w:hAnsi="Arial" w:cs="Times New Roman"/>
          <w:sz w:val="21"/>
          <w:szCs w:val="21"/>
        </w:rPr>
        <w:t xml:space="preserve"> (n</w:t>
      </w:r>
      <w:r w:rsidRPr="00B272E2">
        <w:rPr>
          <w:rFonts w:ascii="Arial" w:hAnsi="Arial" w:cs="Times New Roman"/>
          <w:sz w:val="21"/>
          <w:szCs w:val="21"/>
        </w:rPr>
        <w:t>umber of pensioners relative to contributors, current and projected up to 2050</w:t>
      </w:r>
      <w:r w:rsidR="006A7C68" w:rsidRPr="00B272E2">
        <w:rPr>
          <w:rFonts w:ascii="Arial" w:hAnsi="Arial" w:cs="Times New Roman"/>
          <w:sz w:val="21"/>
          <w:szCs w:val="21"/>
        </w:rPr>
        <w:t>)</w:t>
      </w:r>
      <w:r w:rsidR="000E5997" w:rsidRPr="00B272E2">
        <w:rPr>
          <w:rFonts w:ascii="Arial" w:hAnsi="Arial" w:cs="Times New Roman"/>
          <w:sz w:val="21"/>
          <w:szCs w:val="21"/>
        </w:rPr>
        <w:t xml:space="preserve"> and </w:t>
      </w:r>
      <w:r w:rsidR="000E5997" w:rsidRPr="00B272E2">
        <w:rPr>
          <w:rFonts w:ascii="Arial" w:hAnsi="Arial" w:cs="Times New Roman"/>
          <w:b/>
          <w:sz w:val="21"/>
          <w:szCs w:val="21"/>
        </w:rPr>
        <w:t>c</w:t>
      </w:r>
      <w:r w:rsidRPr="00B272E2">
        <w:rPr>
          <w:rFonts w:ascii="Arial" w:hAnsi="Arial" w:cs="Times New Roman"/>
          <w:b/>
          <w:sz w:val="21"/>
          <w:szCs w:val="21"/>
        </w:rPr>
        <w:t>ontribution to publi</w:t>
      </w:r>
      <w:r w:rsidR="000E5997" w:rsidRPr="00B272E2">
        <w:rPr>
          <w:rFonts w:ascii="Arial" w:hAnsi="Arial" w:cs="Times New Roman"/>
          <w:b/>
          <w:sz w:val="21"/>
          <w:szCs w:val="21"/>
        </w:rPr>
        <w:t>c and private pension schemes</w:t>
      </w:r>
      <w:r w:rsidR="000E5997" w:rsidRPr="00B272E2">
        <w:rPr>
          <w:rFonts w:ascii="Arial" w:hAnsi="Arial" w:cs="Times New Roman"/>
          <w:sz w:val="21"/>
          <w:szCs w:val="21"/>
        </w:rPr>
        <w:t xml:space="preserve"> </w:t>
      </w:r>
      <w:r w:rsidR="000E5997" w:rsidRPr="00B272E2">
        <w:rPr>
          <w:rFonts w:ascii="Arial" w:hAnsi="Arial" w:cs="Times New Roman"/>
          <w:sz w:val="21"/>
          <w:szCs w:val="21"/>
        </w:rPr>
        <w:lastRenderedPageBreak/>
        <w:t>(p</w:t>
      </w:r>
      <w:r w:rsidRPr="00B272E2">
        <w:rPr>
          <w:rFonts w:ascii="Arial" w:hAnsi="Arial" w:cs="Times New Roman"/>
          <w:sz w:val="21"/>
          <w:szCs w:val="21"/>
        </w:rPr>
        <w:t>ension contributions to public pension schemes as a share of GDP, current and projected</w:t>
      </w:r>
      <w:r w:rsidR="000E5997" w:rsidRPr="00B272E2">
        <w:rPr>
          <w:rFonts w:ascii="Arial" w:hAnsi="Arial" w:cs="Times New Roman"/>
          <w:sz w:val="21"/>
          <w:szCs w:val="21"/>
        </w:rPr>
        <w:t xml:space="preserve"> </w:t>
      </w:r>
      <w:r w:rsidRPr="00B272E2">
        <w:rPr>
          <w:rFonts w:ascii="Arial" w:hAnsi="Arial" w:cs="Times New Roman"/>
          <w:sz w:val="21"/>
          <w:szCs w:val="21"/>
        </w:rPr>
        <w:t>to 2050).</w:t>
      </w:r>
      <w:r w:rsidR="00F2034F" w:rsidRPr="00B272E2">
        <w:rPr>
          <w:rFonts w:ascii="Arial" w:hAnsi="Arial" w:cs="Times New Roman"/>
          <w:sz w:val="21"/>
          <w:szCs w:val="21"/>
        </w:rPr>
        <w:t xml:space="preserve"> First two indicators are demographic indicators and other two are prod</w:t>
      </w:r>
      <w:r w:rsidR="00CA5888">
        <w:rPr>
          <w:rFonts w:ascii="Arial" w:hAnsi="Arial" w:cs="Times New Roman"/>
          <w:sz w:val="21"/>
          <w:szCs w:val="21"/>
        </w:rPr>
        <w:t xml:space="preserve">uced in Aging </w:t>
      </w:r>
      <w:r w:rsidR="00F2034F" w:rsidRPr="00B272E2">
        <w:rPr>
          <w:rFonts w:ascii="Arial" w:hAnsi="Arial" w:cs="Times New Roman"/>
          <w:sz w:val="21"/>
          <w:szCs w:val="21"/>
        </w:rPr>
        <w:t>reports</w:t>
      </w:r>
      <w:r w:rsidR="00962330" w:rsidRPr="00B272E2">
        <w:rPr>
          <w:rFonts w:ascii="Arial" w:hAnsi="Arial" w:cs="Times New Roman"/>
          <w:sz w:val="21"/>
          <w:szCs w:val="21"/>
        </w:rPr>
        <w:t xml:space="preserve">. </w:t>
      </w:r>
    </w:p>
    <w:p w14:paraId="5D95730E" w14:textId="77777777" w:rsidR="005D3577" w:rsidRPr="00CA5888" w:rsidRDefault="001E3386" w:rsidP="00CA5888">
      <w:pPr>
        <w:spacing w:after="240" w:line="360" w:lineRule="auto"/>
        <w:jc w:val="both"/>
        <w:rPr>
          <w:rFonts w:ascii="Arial" w:hAnsi="Arial" w:cs="Times New Roman"/>
          <w:sz w:val="21"/>
          <w:szCs w:val="21"/>
        </w:rPr>
      </w:pPr>
      <w:r w:rsidRPr="00B272E2">
        <w:rPr>
          <w:rFonts w:ascii="Arial" w:hAnsi="Arial"/>
          <w:b/>
          <w:sz w:val="21"/>
          <w:szCs w:val="21"/>
        </w:rPr>
        <w:t>Modernized pensions:</w:t>
      </w:r>
      <w:r w:rsidR="005F5487" w:rsidRPr="00B272E2">
        <w:rPr>
          <w:rFonts w:ascii="Arial" w:hAnsi="Arial"/>
          <w:b/>
          <w:sz w:val="21"/>
          <w:szCs w:val="21"/>
        </w:rPr>
        <w:t xml:space="preserve"> 3 primary and 1 secondary</w:t>
      </w:r>
    </w:p>
    <w:p w14:paraId="496BBC19" w14:textId="77777777" w:rsidR="00145B7D" w:rsidRPr="00B272E2" w:rsidRDefault="00145B7D" w:rsidP="00B272E2">
      <w:pPr>
        <w:spacing w:line="360" w:lineRule="auto"/>
        <w:rPr>
          <w:rFonts w:ascii="Arial" w:hAnsi="Arial"/>
          <w:b/>
          <w:i/>
          <w:sz w:val="21"/>
          <w:szCs w:val="21"/>
          <w:u w:val="single"/>
        </w:rPr>
      </w:pPr>
    </w:p>
    <w:p w14:paraId="451BE705" w14:textId="77777777" w:rsidR="00D3653C" w:rsidRPr="00B272E2" w:rsidRDefault="005D3577" w:rsidP="00B272E2">
      <w:pPr>
        <w:spacing w:after="240" w:line="360" w:lineRule="auto"/>
        <w:jc w:val="both"/>
        <w:rPr>
          <w:rFonts w:ascii="Arial" w:hAnsi="Arial"/>
          <w:sz w:val="21"/>
          <w:szCs w:val="21"/>
        </w:rPr>
      </w:pPr>
      <w:r w:rsidRPr="00B272E2">
        <w:rPr>
          <w:rFonts w:ascii="Arial" w:hAnsi="Arial"/>
          <w:sz w:val="21"/>
          <w:szCs w:val="21"/>
        </w:rPr>
        <w:t>This objective is basically measure</w:t>
      </w:r>
      <w:r w:rsidR="003E79A8" w:rsidRPr="00B272E2">
        <w:rPr>
          <w:rFonts w:ascii="Arial" w:hAnsi="Arial"/>
          <w:sz w:val="21"/>
          <w:szCs w:val="21"/>
        </w:rPr>
        <w:t>d</w:t>
      </w:r>
      <w:r w:rsidRPr="00B272E2">
        <w:rPr>
          <w:rFonts w:ascii="Arial" w:hAnsi="Arial"/>
          <w:sz w:val="21"/>
          <w:szCs w:val="21"/>
        </w:rPr>
        <w:t xml:space="preserve"> only for its part dealing with gender issues. </w:t>
      </w:r>
      <w:r w:rsidR="003E79A8" w:rsidRPr="00B272E2">
        <w:rPr>
          <w:rFonts w:ascii="Arial" w:hAnsi="Arial"/>
          <w:sz w:val="21"/>
          <w:szCs w:val="21"/>
        </w:rPr>
        <w:t>T</w:t>
      </w:r>
      <w:r w:rsidRPr="00B272E2">
        <w:rPr>
          <w:rFonts w:ascii="Arial" w:hAnsi="Arial"/>
          <w:sz w:val="21"/>
          <w:szCs w:val="21"/>
        </w:rPr>
        <w:t xml:space="preserve">he </w:t>
      </w:r>
      <w:r w:rsidR="001A27F6" w:rsidRPr="00B272E2">
        <w:rPr>
          <w:rFonts w:ascii="Arial" w:hAnsi="Arial"/>
          <w:sz w:val="21"/>
          <w:szCs w:val="21"/>
        </w:rPr>
        <w:t xml:space="preserve">primary </w:t>
      </w:r>
      <w:r w:rsidRPr="00B272E2">
        <w:rPr>
          <w:rFonts w:ascii="Arial" w:hAnsi="Arial"/>
          <w:sz w:val="21"/>
          <w:szCs w:val="21"/>
        </w:rPr>
        <w:t xml:space="preserve">indicators are </w:t>
      </w:r>
      <w:r w:rsidRPr="00B272E2">
        <w:rPr>
          <w:rFonts w:ascii="Arial" w:hAnsi="Arial"/>
          <w:b/>
          <w:sz w:val="21"/>
          <w:szCs w:val="21"/>
        </w:rPr>
        <w:t>gender differences</w:t>
      </w:r>
      <w:r w:rsidRPr="00B272E2">
        <w:rPr>
          <w:rFonts w:ascii="Arial" w:hAnsi="Arial"/>
          <w:sz w:val="21"/>
          <w:szCs w:val="21"/>
        </w:rPr>
        <w:t xml:space="preserve"> of AROP</w:t>
      </w:r>
      <w:r w:rsidR="001E3386" w:rsidRPr="00B272E2">
        <w:rPr>
          <w:rFonts w:ascii="Arial" w:hAnsi="Arial"/>
          <w:sz w:val="21"/>
          <w:szCs w:val="21"/>
        </w:rPr>
        <w:t xml:space="preserve"> and </w:t>
      </w:r>
      <w:r w:rsidR="00AF25DE" w:rsidRPr="00020A59">
        <w:rPr>
          <w:rFonts w:ascii="Arial" w:hAnsi="Arial"/>
          <w:b/>
          <w:sz w:val="21"/>
          <w:szCs w:val="21"/>
        </w:rPr>
        <w:t>relative income of elderly</w:t>
      </w:r>
      <w:r w:rsidR="001A27F6" w:rsidRPr="00B272E2">
        <w:rPr>
          <w:rFonts w:ascii="Arial" w:hAnsi="Arial"/>
          <w:sz w:val="21"/>
          <w:szCs w:val="21"/>
        </w:rPr>
        <w:t xml:space="preserve">, and </w:t>
      </w:r>
      <w:r w:rsidR="001A27F6" w:rsidRPr="00020A59">
        <w:rPr>
          <w:rFonts w:ascii="Arial" w:hAnsi="Arial"/>
          <w:b/>
          <w:sz w:val="21"/>
          <w:szCs w:val="21"/>
        </w:rPr>
        <w:t>ARR</w:t>
      </w:r>
      <w:r w:rsidR="00AF25DE" w:rsidRPr="00B272E2">
        <w:rPr>
          <w:rFonts w:ascii="Arial" w:hAnsi="Arial"/>
          <w:sz w:val="21"/>
          <w:szCs w:val="21"/>
        </w:rPr>
        <w:t xml:space="preserve">. </w:t>
      </w:r>
      <w:r w:rsidR="007C0042" w:rsidRPr="00B272E2">
        <w:rPr>
          <w:rFonts w:ascii="Arial" w:hAnsi="Arial"/>
          <w:sz w:val="21"/>
          <w:szCs w:val="21"/>
        </w:rPr>
        <w:t>Gender differences in the relative income of elderly for additional age groups (</w:t>
      </w:r>
      <w:r w:rsidR="001A27F6" w:rsidRPr="00B272E2">
        <w:rPr>
          <w:rFonts w:ascii="Arial" w:hAnsi="Arial"/>
          <w:sz w:val="21"/>
          <w:szCs w:val="21"/>
        </w:rPr>
        <w:t>60</w:t>
      </w:r>
      <w:r w:rsidR="00822BE1" w:rsidRPr="00B272E2">
        <w:rPr>
          <w:rFonts w:ascii="Arial" w:hAnsi="Arial"/>
          <w:sz w:val="21"/>
          <w:szCs w:val="21"/>
        </w:rPr>
        <w:t xml:space="preserve"> and above</w:t>
      </w:r>
      <w:r w:rsidR="001A27F6" w:rsidRPr="00B272E2">
        <w:rPr>
          <w:rFonts w:ascii="Arial" w:hAnsi="Arial"/>
          <w:sz w:val="21"/>
          <w:szCs w:val="21"/>
        </w:rPr>
        <w:t>, 75</w:t>
      </w:r>
      <w:r w:rsidR="00822BE1" w:rsidRPr="00B272E2">
        <w:rPr>
          <w:rFonts w:ascii="Arial" w:hAnsi="Arial"/>
          <w:sz w:val="21"/>
          <w:szCs w:val="21"/>
        </w:rPr>
        <w:t xml:space="preserve"> and above</w:t>
      </w:r>
      <w:r w:rsidR="001A27F6" w:rsidRPr="00B272E2">
        <w:rPr>
          <w:rFonts w:ascii="Arial" w:hAnsi="Arial"/>
          <w:sz w:val="21"/>
          <w:szCs w:val="21"/>
        </w:rPr>
        <w:t xml:space="preserve">) serve as a secondary indicator. </w:t>
      </w:r>
    </w:p>
    <w:p w14:paraId="5A7A7FC9" w14:textId="77777777" w:rsidR="00203D5A" w:rsidRPr="00B272E2" w:rsidRDefault="00AD412C" w:rsidP="00B272E2">
      <w:pPr>
        <w:spacing w:after="240" w:line="360" w:lineRule="auto"/>
        <w:jc w:val="both"/>
        <w:rPr>
          <w:rFonts w:ascii="Arial" w:hAnsi="Arial"/>
          <w:b/>
          <w:sz w:val="21"/>
          <w:szCs w:val="21"/>
        </w:rPr>
      </w:pPr>
      <w:r w:rsidRPr="00B272E2">
        <w:rPr>
          <w:rFonts w:ascii="Arial" w:hAnsi="Arial"/>
          <w:sz w:val="21"/>
          <w:szCs w:val="21"/>
        </w:rPr>
        <w:t xml:space="preserve">When it comes to </w:t>
      </w:r>
      <w:r w:rsidRPr="00B272E2">
        <w:rPr>
          <w:rFonts w:ascii="Arial" w:hAnsi="Arial"/>
          <w:b/>
          <w:sz w:val="21"/>
          <w:szCs w:val="21"/>
        </w:rPr>
        <w:t>overarching indicators</w:t>
      </w:r>
      <w:r w:rsidRPr="00B272E2">
        <w:rPr>
          <w:rFonts w:ascii="Arial" w:hAnsi="Arial"/>
          <w:sz w:val="21"/>
          <w:szCs w:val="21"/>
        </w:rPr>
        <w:t xml:space="preserve"> that measure</w:t>
      </w:r>
      <w:r w:rsidR="00AA7C5E" w:rsidRPr="00B272E2">
        <w:rPr>
          <w:rFonts w:ascii="Arial" w:hAnsi="Arial"/>
          <w:sz w:val="21"/>
          <w:szCs w:val="21"/>
        </w:rPr>
        <w:t xml:space="preserve"> </w:t>
      </w:r>
      <w:r w:rsidR="00B4755E" w:rsidRPr="00B272E2">
        <w:rPr>
          <w:rFonts w:ascii="Arial" w:hAnsi="Arial"/>
          <w:sz w:val="21"/>
          <w:szCs w:val="21"/>
        </w:rPr>
        <w:t>the link between the main policy areas and ultimate social cohesion outcomes</w:t>
      </w:r>
      <w:r w:rsidRPr="00B272E2">
        <w:rPr>
          <w:rFonts w:ascii="Arial" w:hAnsi="Arial"/>
          <w:sz w:val="21"/>
          <w:szCs w:val="21"/>
        </w:rPr>
        <w:t xml:space="preserve">, </w:t>
      </w:r>
      <w:r w:rsidR="00D26A58" w:rsidRPr="00B272E2">
        <w:rPr>
          <w:rFonts w:ascii="Arial" w:hAnsi="Arial"/>
          <w:sz w:val="21"/>
          <w:szCs w:val="21"/>
        </w:rPr>
        <w:t xml:space="preserve">two </w:t>
      </w:r>
      <w:r w:rsidR="00BE1A34" w:rsidRPr="00B272E2">
        <w:rPr>
          <w:rFonts w:ascii="Arial" w:hAnsi="Arial"/>
          <w:sz w:val="21"/>
          <w:szCs w:val="21"/>
        </w:rPr>
        <w:t>ad</w:t>
      </w:r>
      <w:r w:rsidRPr="00B272E2">
        <w:rPr>
          <w:rFonts w:ascii="Arial" w:hAnsi="Arial"/>
          <w:sz w:val="21"/>
          <w:szCs w:val="21"/>
        </w:rPr>
        <w:t xml:space="preserve">equacy indicators are included </w:t>
      </w:r>
      <w:r w:rsidR="00920088" w:rsidRPr="00B272E2">
        <w:rPr>
          <w:rFonts w:ascii="Arial" w:hAnsi="Arial"/>
          <w:sz w:val="21"/>
          <w:szCs w:val="21"/>
        </w:rPr>
        <w:t xml:space="preserve">related to pension policy </w:t>
      </w:r>
      <w:r w:rsidR="002C250A" w:rsidRPr="00B272E2">
        <w:rPr>
          <w:rFonts w:ascii="Arial" w:hAnsi="Arial"/>
          <w:sz w:val="21"/>
          <w:szCs w:val="21"/>
        </w:rPr>
        <w:t xml:space="preserve">– </w:t>
      </w:r>
      <w:r w:rsidR="004D2003" w:rsidRPr="00B272E2">
        <w:rPr>
          <w:rFonts w:ascii="Arial" w:hAnsi="Arial"/>
          <w:b/>
          <w:sz w:val="21"/>
          <w:szCs w:val="21"/>
        </w:rPr>
        <w:t>aggregate replacement ratio</w:t>
      </w:r>
      <w:r w:rsidR="004D2003" w:rsidRPr="00B272E2">
        <w:rPr>
          <w:rFonts w:ascii="Arial" w:hAnsi="Arial"/>
          <w:sz w:val="21"/>
          <w:szCs w:val="21"/>
        </w:rPr>
        <w:t xml:space="preserve"> and </w:t>
      </w:r>
      <w:r w:rsidR="004D2003" w:rsidRPr="00B272E2">
        <w:rPr>
          <w:rFonts w:ascii="Arial" w:hAnsi="Arial"/>
          <w:b/>
          <w:sz w:val="21"/>
          <w:szCs w:val="21"/>
        </w:rPr>
        <w:t xml:space="preserve">median relative income of elderly. </w:t>
      </w:r>
    </w:p>
    <w:p w14:paraId="156DD9E4" w14:textId="1D3CFFB1" w:rsidR="005B2D9A" w:rsidRPr="00B272E2" w:rsidRDefault="00203D5A" w:rsidP="00B272E2">
      <w:pPr>
        <w:spacing w:after="240" w:line="360" w:lineRule="auto"/>
        <w:jc w:val="both"/>
        <w:rPr>
          <w:rFonts w:ascii="Arial" w:hAnsi="Arial"/>
          <w:sz w:val="21"/>
          <w:szCs w:val="21"/>
        </w:rPr>
      </w:pPr>
      <w:r w:rsidRPr="00B272E2">
        <w:rPr>
          <w:rFonts w:ascii="Arial" w:hAnsi="Arial"/>
          <w:sz w:val="21"/>
          <w:szCs w:val="21"/>
        </w:rPr>
        <w:t xml:space="preserve">In addition, ISG considers further development </w:t>
      </w:r>
      <w:r w:rsidR="00216236" w:rsidRPr="00B272E2">
        <w:rPr>
          <w:rFonts w:ascii="Arial" w:hAnsi="Arial"/>
          <w:sz w:val="21"/>
          <w:szCs w:val="21"/>
        </w:rPr>
        <w:t xml:space="preserve">and inclusion </w:t>
      </w:r>
      <w:r w:rsidR="002C250A" w:rsidRPr="00B272E2">
        <w:rPr>
          <w:rFonts w:ascii="Arial" w:hAnsi="Arial"/>
          <w:sz w:val="21"/>
          <w:szCs w:val="21"/>
        </w:rPr>
        <w:t xml:space="preserve">of additional indicators </w:t>
      </w:r>
      <w:r w:rsidR="00216236" w:rsidRPr="00B272E2">
        <w:rPr>
          <w:rFonts w:ascii="Arial" w:hAnsi="Arial"/>
          <w:sz w:val="21"/>
          <w:szCs w:val="21"/>
        </w:rPr>
        <w:t xml:space="preserve">in pension portfolio such as material deprivation </w:t>
      </w:r>
      <w:r w:rsidR="00AE0437" w:rsidRPr="00B272E2">
        <w:rPr>
          <w:rFonts w:ascii="Arial" w:hAnsi="Arial"/>
          <w:sz w:val="21"/>
          <w:szCs w:val="21"/>
        </w:rPr>
        <w:t xml:space="preserve">of older people, age of the </w:t>
      </w:r>
      <w:r w:rsidR="002C250A" w:rsidRPr="00B272E2">
        <w:rPr>
          <w:rFonts w:ascii="Arial" w:hAnsi="Arial"/>
          <w:sz w:val="21"/>
          <w:szCs w:val="21"/>
        </w:rPr>
        <w:t>labor</w:t>
      </w:r>
      <w:r w:rsidR="00AE0437" w:rsidRPr="00B272E2">
        <w:rPr>
          <w:rFonts w:ascii="Arial" w:hAnsi="Arial"/>
          <w:sz w:val="21"/>
          <w:szCs w:val="21"/>
        </w:rPr>
        <w:t xml:space="preserve"> market </w:t>
      </w:r>
      <w:r w:rsidR="002C250A" w:rsidRPr="00B272E2">
        <w:rPr>
          <w:rFonts w:ascii="Arial" w:hAnsi="Arial"/>
          <w:sz w:val="21"/>
          <w:szCs w:val="21"/>
        </w:rPr>
        <w:t xml:space="preserve">entry </w:t>
      </w:r>
      <w:r w:rsidR="00AE0437" w:rsidRPr="00B272E2">
        <w:rPr>
          <w:rFonts w:ascii="Arial" w:hAnsi="Arial"/>
          <w:sz w:val="21"/>
          <w:szCs w:val="21"/>
        </w:rPr>
        <w:t>(as a % of working age)</w:t>
      </w:r>
      <w:r w:rsidR="002C250A" w:rsidRPr="00B272E2">
        <w:rPr>
          <w:rFonts w:ascii="Arial" w:hAnsi="Arial"/>
          <w:sz w:val="21"/>
          <w:szCs w:val="21"/>
        </w:rPr>
        <w:t>.</w:t>
      </w:r>
    </w:p>
    <w:p w14:paraId="324CB5B4" w14:textId="77777777" w:rsidR="00D26A58" w:rsidRPr="00B272E2" w:rsidRDefault="007F7690" w:rsidP="005B2D9A">
      <w:pPr>
        <w:pStyle w:val="Heading2"/>
        <w:numPr>
          <w:ilvl w:val="1"/>
          <w:numId w:val="5"/>
        </w:numPr>
        <w:spacing w:line="360" w:lineRule="auto"/>
        <w:ind w:left="852"/>
        <w:rPr>
          <w:rFonts w:ascii="Arial" w:hAnsi="Arial"/>
          <w:sz w:val="21"/>
          <w:szCs w:val="21"/>
        </w:rPr>
      </w:pPr>
      <w:bookmarkStart w:id="4" w:name="_Toc493760331"/>
      <w:r w:rsidRPr="00B272E2">
        <w:rPr>
          <w:rFonts w:ascii="Arial" w:hAnsi="Arial"/>
          <w:sz w:val="21"/>
          <w:szCs w:val="21"/>
        </w:rPr>
        <w:t>Other relevant EU indicators</w:t>
      </w:r>
      <w:bookmarkEnd w:id="4"/>
    </w:p>
    <w:p w14:paraId="43E384DF" w14:textId="77777777" w:rsidR="00C338C1" w:rsidRPr="00B272E2" w:rsidRDefault="00C338C1" w:rsidP="00B272E2">
      <w:pPr>
        <w:spacing w:line="360" w:lineRule="auto"/>
        <w:rPr>
          <w:rFonts w:ascii="Arial" w:hAnsi="Arial"/>
          <w:sz w:val="21"/>
          <w:szCs w:val="21"/>
        </w:rPr>
      </w:pPr>
    </w:p>
    <w:p w14:paraId="0A6D279F" w14:textId="77777777" w:rsidR="00940BF3" w:rsidRPr="00B272E2" w:rsidRDefault="00627ED6" w:rsidP="00B272E2">
      <w:pPr>
        <w:spacing w:after="240" w:line="360" w:lineRule="auto"/>
        <w:jc w:val="both"/>
        <w:rPr>
          <w:rFonts w:ascii="Arial" w:hAnsi="Arial"/>
          <w:b/>
          <w:i/>
          <w:sz w:val="21"/>
          <w:szCs w:val="21"/>
        </w:rPr>
      </w:pPr>
      <w:r w:rsidRPr="00B272E2">
        <w:rPr>
          <w:rFonts w:ascii="Arial" w:hAnsi="Arial"/>
          <w:b/>
          <w:sz w:val="21"/>
          <w:szCs w:val="21"/>
        </w:rPr>
        <w:t>Social Protection Performance Monitor (SPPM) dashboard</w:t>
      </w:r>
      <w:r w:rsidR="0038675F" w:rsidRPr="00B272E2">
        <w:rPr>
          <w:rStyle w:val="FootnoteReference"/>
          <w:rFonts w:ascii="Arial" w:hAnsi="Arial"/>
          <w:b/>
          <w:sz w:val="21"/>
          <w:szCs w:val="21"/>
        </w:rPr>
        <w:footnoteReference w:id="6"/>
      </w:r>
      <w:r w:rsidR="000C629F" w:rsidRPr="00B272E2">
        <w:rPr>
          <w:rFonts w:ascii="Arial" w:hAnsi="Arial"/>
          <w:sz w:val="21"/>
          <w:szCs w:val="21"/>
        </w:rPr>
        <w:t xml:space="preserve"> – </w:t>
      </w:r>
      <w:r w:rsidRPr="00B272E2">
        <w:rPr>
          <w:rFonts w:ascii="Arial" w:hAnsi="Arial"/>
          <w:sz w:val="21"/>
          <w:szCs w:val="21"/>
        </w:rPr>
        <w:t xml:space="preserve">a tool which uses a set of </w:t>
      </w:r>
      <w:r w:rsidR="000C629F" w:rsidRPr="00B272E2">
        <w:rPr>
          <w:rFonts w:ascii="Arial" w:hAnsi="Arial"/>
          <w:sz w:val="21"/>
          <w:szCs w:val="21"/>
        </w:rPr>
        <w:t xml:space="preserve">the </w:t>
      </w:r>
      <w:r w:rsidRPr="00B272E2">
        <w:rPr>
          <w:rFonts w:ascii="Arial" w:hAnsi="Arial"/>
          <w:sz w:val="21"/>
          <w:szCs w:val="21"/>
        </w:rPr>
        <w:t xml:space="preserve">key EU social indicators for monitoring </w:t>
      </w:r>
      <w:r w:rsidR="000C629F" w:rsidRPr="00B272E2">
        <w:rPr>
          <w:rFonts w:ascii="Arial" w:hAnsi="Arial"/>
          <w:sz w:val="21"/>
          <w:szCs w:val="21"/>
        </w:rPr>
        <w:t xml:space="preserve">social </w:t>
      </w:r>
      <w:r w:rsidRPr="00B272E2">
        <w:rPr>
          <w:rFonts w:ascii="Arial" w:hAnsi="Arial"/>
          <w:sz w:val="21"/>
          <w:szCs w:val="21"/>
        </w:rPr>
        <w:t>development in the EU</w:t>
      </w:r>
      <w:r w:rsidR="000C629F" w:rsidRPr="00B272E2">
        <w:rPr>
          <w:rFonts w:ascii="Arial" w:hAnsi="Arial"/>
          <w:sz w:val="21"/>
          <w:szCs w:val="21"/>
        </w:rPr>
        <w:t xml:space="preserve"> – regarding</w:t>
      </w:r>
      <w:r w:rsidR="00A162CD" w:rsidRPr="00B272E2">
        <w:rPr>
          <w:rFonts w:ascii="Arial" w:hAnsi="Arial"/>
          <w:sz w:val="21"/>
          <w:szCs w:val="21"/>
        </w:rPr>
        <w:t xml:space="preserve"> pension</w:t>
      </w:r>
      <w:r w:rsidR="000C629F" w:rsidRPr="00B272E2">
        <w:rPr>
          <w:rFonts w:ascii="Arial" w:hAnsi="Arial"/>
          <w:sz w:val="21"/>
          <w:szCs w:val="21"/>
        </w:rPr>
        <w:t>s</w:t>
      </w:r>
      <w:r w:rsidR="00A162CD" w:rsidRPr="00B272E2">
        <w:rPr>
          <w:rFonts w:ascii="Arial" w:hAnsi="Arial"/>
          <w:sz w:val="21"/>
          <w:szCs w:val="21"/>
        </w:rPr>
        <w:t xml:space="preserve"> consists</w:t>
      </w:r>
      <w:r w:rsidR="00290EC7" w:rsidRPr="00B272E2">
        <w:rPr>
          <w:rFonts w:ascii="Arial" w:hAnsi="Arial"/>
          <w:sz w:val="21"/>
          <w:szCs w:val="21"/>
        </w:rPr>
        <w:t xml:space="preserve"> </w:t>
      </w:r>
      <w:r w:rsidR="000C629F" w:rsidRPr="00B272E2">
        <w:rPr>
          <w:rFonts w:ascii="Arial" w:hAnsi="Arial"/>
          <w:sz w:val="21"/>
          <w:szCs w:val="21"/>
        </w:rPr>
        <w:t xml:space="preserve">of </w:t>
      </w:r>
      <w:r w:rsidR="0038675F" w:rsidRPr="00B272E2">
        <w:rPr>
          <w:rFonts w:ascii="Arial" w:hAnsi="Arial"/>
          <w:sz w:val="21"/>
          <w:szCs w:val="21"/>
        </w:rPr>
        <w:t>overarching indicators (</w:t>
      </w:r>
      <w:r w:rsidR="00290EC7" w:rsidRPr="00B272E2">
        <w:rPr>
          <w:rFonts w:ascii="Arial" w:hAnsi="Arial"/>
          <w:b/>
          <w:sz w:val="21"/>
          <w:szCs w:val="21"/>
        </w:rPr>
        <w:t>aggregate replacement ratio</w:t>
      </w:r>
      <w:r w:rsidR="00290EC7" w:rsidRPr="00B272E2">
        <w:rPr>
          <w:rFonts w:ascii="Arial" w:hAnsi="Arial"/>
          <w:sz w:val="21"/>
          <w:szCs w:val="21"/>
        </w:rPr>
        <w:t xml:space="preserve"> and </w:t>
      </w:r>
      <w:r w:rsidR="00290EC7" w:rsidRPr="00B272E2">
        <w:rPr>
          <w:rFonts w:ascii="Arial" w:hAnsi="Arial"/>
          <w:b/>
          <w:sz w:val="21"/>
          <w:szCs w:val="21"/>
        </w:rPr>
        <w:t>median relative income of elderly indicators</w:t>
      </w:r>
      <w:r w:rsidR="00A162CD" w:rsidRPr="00B272E2">
        <w:rPr>
          <w:rFonts w:ascii="Arial" w:hAnsi="Arial"/>
          <w:sz w:val="21"/>
          <w:szCs w:val="21"/>
        </w:rPr>
        <w:t>)</w:t>
      </w:r>
      <w:r w:rsidR="00A12039" w:rsidRPr="00B272E2">
        <w:rPr>
          <w:rFonts w:ascii="Arial" w:hAnsi="Arial"/>
          <w:b/>
          <w:i/>
          <w:sz w:val="21"/>
          <w:szCs w:val="21"/>
        </w:rPr>
        <w:t xml:space="preserve"> </w:t>
      </w:r>
      <w:r w:rsidR="00A12039" w:rsidRPr="00B272E2">
        <w:rPr>
          <w:rFonts w:ascii="Arial" w:hAnsi="Arial"/>
          <w:sz w:val="21"/>
          <w:szCs w:val="21"/>
        </w:rPr>
        <w:t>and</w:t>
      </w:r>
      <w:r w:rsidR="00A12039" w:rsidRPr="00B272E2">
        <w:rPr>
          <w:rFonts w:ascii="Arial" w:hAnsi="Arial"/>
          <w:b/>
          <w:i/>
          <w:sz w:val="21"/>
          <w:szCs w:val="21"/>
        </w:rPr>
        <w:t xml:space="preserve"> </w:t>
      </w:r>
      <w:r w:rsidR="00A12039" w:rsidRPr="00B272E2">
        <w:rPr>
          <w:rFonts w:ascii="Arial" w:hAnsi="Arial"/>
          <w:b/>
          <w:sz w:val="21"/>
          <w:szCs w:val="21"/>
        </w:rPr>
        <w:t xml:space="preserve">AROPE </w:t>
      </w:r>
      <w:r w:rsidR="00F918D3" w:rsidRPr="00B272E2">
        <w:rPr>
          <w:rFonts w:ascii="Arial" w:hAnsi="Arial"/>
          <w:b/>
          <w:sz w:val="21"/>
          <w:szCs w:val="21"/>
        </w:rPr>
        <w:t xml:space="preserve">(at-risk-of poverty and social inclusion) </w:t>
      </w:r>
      <w:r w:rsidR="00A12039" w:rsidRPr="00B272E2">
        <w:rPr>
          <w:rFonts w:ascii="Arial" w:hAnsi="Arial"/>
          <w:b/>
          <w:sz w:val="21"/>
          <w:szCs w:val="21"/>
        </w:rPr>
        <w:t>65</w:t>
      </w:r>
      <w:r w:rsidR="000C629F" w:rsidRPr="00B272E2">
        <w:rPr>
          <w:rFonts w:ascii="Arial" w:hAnsi="Arial"/>
          <w:b/>
          <w:sz w:val="21"/>
          <w:szCs w:val="21"/>
        </w:rPr>
        <w:t xml:space="preserve"> and above</w:t>
      </w:r>
      <w:r w:rsidR="00A12039" w:rsidRPr="00B272E2">
        <w:rPr>
          <w:rFonts w:ascii="Arial" w:hAnsi="Arial"/>
          <w:b/>
          <w:sz w:val="21"/>
          <w:szCs w:val="21"/>
        </w:rPr>
        <w:t>.</w:t>
      </w:r>
      <w:r w:rsidR="00A12039" w:rsidRPr="00B272E2">
        <w:rPr>
          <w:rFonts w:ascii="Arial" w:hAnsi="Arial"/>
          <w:b/>
          <w:i/>
          <w:sz w:val="21"/>
          <w:szCs w:val="21"/>
        </w:rPr>
        <w:t xml:space="preserve"> </w:t>
      </w:r>
      <w:r w:rsidR="001F77D2" w:rsidRPr="00B272E2">
        <w:rPr>
          <w:rFonts w:ascii="Arial" w:hAnsi="Arial"/>
          <w:sz w:val="21"/>
          <w:szCs w:val="21"/>
        </w:rPr>
        <w:t>AROPE indicator combines 3 measures (at-risk-of poverty rate</w:t>
      </w:r>
      <w:r w:rsidR="005753CF" w:rsidRPr="00B272E2">
        <w:rPr>
          <w:rFonts w:ascii="Arial" w:hAnsi="Arial"/>
          <w:sz w:val="21"/>
          <w:szCs w:val="21"/>
        </w:rPr>
        <w:t xml:space="preserve"> (AROP)</w:t>
      </w:r>
      <w:r w:rsidR="001F77D2" w:rsidRPr="00B272E2">
        <w:rPr>
          <w:rFonts w:ascii="Arial" w:hAnsi="Arial"/>
          <w:sz w:val="21"/>
          <w:szCs w:val="21"/>
        </w:rPr>
        <w:t xml:space="preserve">, </w:t>
      </w:r>
      <w:r w:rsidR="005753CF" w:rsidRPr="00B272E2">
        <w:rPr>
          <w:rFonts w:ascii="Arial" w:hAnsi="Arial"/>
          <w:sz w:val="21"/>
          <w:szCs w:val="21"/>
        </w:rPr>
        <w:t xml:space="preserve">severe </w:t>
      </w:r>
      <w:r w:rsidR="001F77D2" w:rsidRPr="00B272E2">
        <w:rPr>
          <w:rFonts w:ascii="Arial" w:hAnsi="Arial"/>
          <w:sz w:val="21"/>
          <w:szCs w:val="21"/>
        </w:rPr>
        <w:t xml:space="preserve">material deprivation </w:t>
      </w:r>
      <w:r w:rsidR="005753CF" w:rsidRPr="00B272E2">
        <w:rPr>
          <w:rFonts w:ascii="Arial" w:hAnsi="Arial"/>
          <w:sz w:val="21"/>
          <w:szCs w:val="21"/>
        </w:rPr>
        <w:t>and living in a household with a very low intensity). However, AROPE 65</w:t>
      </w:r>
      <w:r w:rsidR="000C629F" w:rsidRPr="00B272E2">
        <w:rPr>
          <w:rFonts w:ascii="Arial" w:hAnsi="Arial"/>
          <w:sz w:val="21"/>
          <w:szCs w:val="21"/>
        </w:rPr>
        <w:t xml:space="preserve"> and above</w:t>
      </w:r>
      <w:r w:rsidR="005753CF" w:rsidRPr="00B272E2">
        <w:rPr>
          <w:rFonts w:ascii="Arial" w:hAnsi="Arial"/>
          <w:sz w:val="21"/>
          <w:szCs w:val="21"/>
        </w:rPr>
        <w:t xml:space="preserve"> actually</w:t>
      </w:r>
      <w:r w:rsidR="001F77D2" w:rsidRPr="00B272E2">
        <w:rPr>
          <w:rFonts w:ascii="Arial" w:hAnsi="Arial"/>
          <w:sz w:val="21"/>
          <w:szCs w:val="21"/>
        </w:rPr>
        <w:t xml:space="preserve"> combines </w:t>
      </w:r>
      <w:r w:rsidR="005753CF" w:rsidRPr="00B272E2">
        <w:rPr>
          <w:rFonts w:ascii="Arial" w:hAnsi="Arial"/>
          <w:sz w:val="21"/>
          <w:szCs w:val="21"/>
        </w:rPr>
        <w:t>the first two measures</w:t>
      </w:r>
      <w:r w:rsidR="001F77D2" w:rsidRPr="00B272E2">
        <w:rPr>
          <w:rFonts w:ascii="Arial" w:hAnsi="Arial"/>
          <w:sz w:val="21"/>
          <w:szCs w:val="21"/>
        </w:rPr>
        <w:t xml:space="preserve">, whereas the third component </w:t>
      </w:r>
      <w:r w:rsidR="000C629F" w:rsidRPr="00B272E2">
        <w:rPr>
          <w:rFonts w:ascii="Arial" w:hAnsi="Arial"/>
          <w:sz w:val="21"/>
          <w:szCs w:val="21"/>
        </w:rPr>
        <w:t xml:space="preserve">– </w:t>
      </w:r>
      <w:r w:rsidR="001F77D2" w:rsidRPr="00B272E2">
        <w:rPr>
          <w:rFonts w:ascii="Arial" w:hAnsi="Arial"/>
          <w:sz w:val="21"/>
          <w:szCs w:val="21"/>
        </w:rPr>
        <w:t>the share of people living in very-low work intensity households</w:t>
      </w:r>
      <w:r w:rsidR="000C629F" w:rsidRPr="00B272E2">
        <w:rPr>
          <w:rFonts w:ascii="Arial" w:hAnsi="Arial"/>
          <w:sz w:val="21"/>
          <w:szCs w:val="21"/>
        </w:rPr>
        <w:t xml:space="preserve"> – </w:t>
      </w:r>
      <w:r w:rsidR="001F77D2" w:rsidRPr="00B272E2">
        <w:rPr>
          <w:rFonts w:ascii="Arial" w:hAnsi="Arial"/>
          <w:sz w:val="21"/>
          <w:szCs w:val="21"/>
        </w:rPr>
        <w:t>is only taken into account for the population below age 6</w:t>
      </w:r>
      <w:r w:rsidR="005753CF" w:rsidRPr="00B272E2">
        <w:rPr>
          <w:rFonts w:ascii="Arial" w:hAnsi="Arial"/>
          <w:sz w:val="21"/>
          <w:szCs w:val="21"/>
        </w:rPr>
        <w:t>0.</w:t>
      </w:r>
      <w:r w:rsidR="003E5D12" w:rsidRPr="00B272E2">
        <w:rPr>
          <w:rFonts w:ascii="Arial" w:hAnsi="Arial"/>
          <w:sz w:val="21"/>
          <w:szCs w:val="21"/>
        </w:rPr>
        <w:t xml:space="preserve"> </w:t>
      </w:r>
    </w:p>
    <w:p w14:paraId="1895B29D" w14:textId="77777777" w:rsidR="00123D08" w:rsidRPr="00B272E2" w:rsidRDefault="005753CF" w:rsidP="00B272E2">
      <w:pPr>
        <w:spacing w:after="240" w:line="360" w:lineRule="auto"/>
        <w:jc w:val="both"/>
        <w:rPr>
          <w:rFonts w:ascii="Arial" w:hAnsi="Arial"/>
          <w:sz w:val="21"/>
          <w:szCs w:val="21"/>
        </w:rPr>
      </w:pPr>
      <w:r w:rsidRPr="00B272E2">
        <w:rPr>
          <w:rFonts w:ascii="Arial" w:hAnsi="Arial"/>
          <w:b/>
          <w:sz w:val="21"/>
          <w:szCs w:val="21"/>
        </w:rPr>
        <w:t>Adequacy and Aging R</w:t>
      </w:r>
      <w:r w:rsidR="00940BF3" w:rsidRPr="00B272E2">
        <w:rPr>
          <w:rFonts w:ascii="Arial" w:hAnsi="Arial"/>
          <w:b/>
          <w:sz w:val="21"/>
          <w:szCs w:val="21"/>
        </w:rPr>
        <w:t>eport</w:t>
      </w:r>
      <w:r w:rsidRPr="00B272E2">
        <w:rPr>
          <w:rFonts w:ascii="Arial" w:hAnsi="Arial"/>
          <w:b/>
          <w:sz w:val="21"/>
          <w:szCs w:val="21"/>
        </w:rPr>
        <w:t>s</w:t>
      </w:r>
      <w:r w:rsidR="00BD7368" w:rsidRPr="00B272E2">
        <w:rPr>
          <w:rFonts w:ascii="Arial" w:hAnsi="Arial"/>
          <w:b/>
          <w:sz w:val="21"/>
          <w:szCs w:val="21"/>
        </w:rPr>
        <w:t xml:space="preserve">’ </w:t>
      </w:r>
      <w:r w:rsidR="00940BF3" w:rsidRPr="00B272E2">
        <w:rPr>
          <w:rFonts w:ascii="Arial" w:hAnsi="Arial"/>
          <w:b/>
          <w:sz w:val="21"/>
          <w:szCs w:val="21"/>
        </w:rPr>
        <w:t>indicators</w:t>
      </w:r>
      <w:r w:rsidR="003E5D12" w:rsidRPr="00B272E2">
        <w:rPr>
          <w:rFonts w:ascii="Arial" w:hAnsi="Arial"/>
          <w:sz w:val="21"/>
          <w:szCs w:val="21"/>
        </w:rPr>
        <w:t xml:space="preserve"> </w:t>
      </w:r>
      <w:r w:rsidR="00BD7368" w:rsidRPr="00B272E2">
        <w:rPr>
          <w:rFonts w:ascii="Arial" w:hAnsi="Arial"/>
          <w:sz w:val="21"/>
          <w:szCs w:val="21"/>
        </w:rPr>
        <w:t>– alongside the</w:t>
      </w:r>
      <w:r w:rsidR="00AD0112" w:rsidRPr="00B272E2">
        <w:rPr>
          <w:rFonts w:ascii="Arial" w:hAnsi="Arial"/>
          <w:sz w:val="21"/>
          <w:szCs w:val="21"/>
        </w:rPr>
        <w:t xml:space="preserve"> two</w:t>
      </w:r>
      <w:r w:rsidR="00993ED8" w:rsidRPr="00B272E2">
        <w:rPr>
          <w:rFonts w:ascii="Arial" w:hAnsi="Arial"/>
          <w:sz w:val="21"/>
          <w:szCs w:val="21"/>
        </w:rPr>
        <w:t xml:space="preserve"> previously mentioned</w:t>
      </w:r>
      <w:r w:rsidR="00AD0112" w:rsidRPr="00B272E2">
        <w:rPr>
          <w:rFonts w:ascii="Arial" w:hAnsi="Arial"/>
          <w:sz w:val="21"/>
          <w:szCs w:val="21"/>
        </w:rPr>
        <w:t xml:space="preserve"> indicators </w:t>
      </w:r>
      <w:r w:rsidR="00993ED8" w:rsidRPr="00B272E2">
        <w:rPr>
          <w:rFonts w:ascii="Arial" w:hAnsi="Arial"/>
          <w:sz w:val="21"/>
          <w:szCs w:val="21"/>
        </w:rPr>
        <w:t xml:space="preserve">produced </w:t>
      </w:r>
      <w:r w:rsidR="00D26A58" w:rsidRPr="00B272E2">
        <w:rPr>
          <w:rFonts w:ascii="Arial" w:hAnsi="Arial"/>
          <w:sz w:val="21"/>
          <w:szCs w:val="21"/>
        </w:rPr>
        <w:t xml:space="preserve">for Aging </w:t>
      </w:r>
      <w:r w:rsidR="00BD7368" w:rsidRPr="00B272E2">
        <w:rPr>
          <w:rFonts w:ascii="Arial" w:hAnsi="Arial"/>
          <w:sz w:val="21"/>
          <w:szCs w:val="21"/>
        </w:rPr>
        <w:t xml:space="preserve">Report </w:t>
      </w:r>
      <w:r w:rsidR="00993ED8" w:rsidRPr="00B272E2">
        <w:rPr>
          <w:rFonts w:ascii="Arial" w:hAnsi="Arial"/>
          <w:sz w:val="21"/>
          <w:szCs w:val="21"/>
        </w:rPr>
        <w:t>that are part of pension portfolio of EU social indicators (projections of pension expenditure and its decomposition)</w:t>
      </w:r>
      <w:r w:rsidR="00AD0112" w:rsidRPr="00B272E2">
        <w:rPr>
          <w:rFonts w:ascii="Arial" w:hAnsi="Arial"/>
          <w:sz w:val="21"/>
          <w:szCs w:val="21"/>
        </w:rPr>
        <w:t xml:space="preserve">, </w:t>
      </w:r>
      <w:r w:rsidR="00993ED8" w:rsidRPr="00B272E2">
        <w:rPr>
          <w:rFonts w:ascii="Arial" w:hAnsi="Arial"/>
          <w:sz w:val="21"/>
          <w:szCs w:val="21"/>
        </w:rPr>
        <w:t xml:space="preserve">there </w:t>
      </w:r>
      <w:r w:rsidR="00BD7368" w:rsidRPr="00B272E2">
        <w:rPr>
          <w:rFonts w:ascii="Arial" w:hAnsi="Arial"/>
          <w:sz w:val="21"/>
          <w:szCs w:val="21"/>
        </w:rPr>
        <w:t>is</w:t>
      </w:r>
      <w:r w:rsidR="00993ED8" w:rsidRPr="00B272E2">
        <w:rPr>
          <w:rFonts w:ascii="Arial" w:hAnsi="Arial"/>
          <w:sz w:val="21"/>
          <w:szCs w:val="21"/>
        </w:rPr>
        <w:t xml:space="preserve"> </w:t>
      </w:r>
      <w:r w:rsidR="00912698" w:rsidRPr="00B272E2">
        <w:rPr>
          <w:rFonts w:ascii="Arial" w:hAnsi="Arial"/>
          <w:sz w:val="21"/>
          <w:szCs w:val="21"/>
        </w:rPr>
        <w:t>a few additional indicators produced</w:t>
      </w:r>
      <w:r w:rsidR="00993ED8" w:rsidRPr="00B272E2">
        <w:rPr>
          <w:rFonts w:ascii="Arial" w:hAnsi="Arial"/>
          <w:sz w:val="21"/>
          <w:szCs w:val="21"/>
        </w:rPr>
        <w:t xml:space="preserve"> for Aging </w:t>
      </w:r>
      <w:r w:rsidRPr="00B272E2">
        <w:rPr>
          <w:rFonts w:ascii="Arial" w:hAnsi="Arial"/>
          <w:sz w:val="21"/>
          <w:szCs w:val="21"/>
        </w:rPr>
        <w:t xml:space="preserve">and Adequacy </w:t>
      </w:r>
      <w:r w:rsidR="00BD7368" w:rsidRPr="00B272E2">
        <w:rPr>
          <w:rFonts w:ascii="Arial" w:hAnsi="Arial"/>
          <w:sz w:val="21"/>
          <w:szCs w:val="21"/>
        </w:rPr>
        <w:t>Reports</w:t>
      </w:r>
      <w:r w:rsidR="00912698" w:rsidRPr="00B272E2">
        <w:rPr>
          <w:rFonts w:ascii="Arial" w:hAnsi="Arial"/>
          <w:sz w:val="21"/>
          <w:szCs w:val="21"/>
        </w:rPr>
        <w:t xml:space="preserve">. </w:t>
      </w:r>
      <w:r w:rsidR="006173D1" w:rsidRPr="00B272E2">
        <w:rPr>
          <w:rFonts w:ascii="Arial" w:hAnsi="Arial"/>
          <w:sz w:val="21"/>
          <w:szCs w:val="21"/>
        </w:rPr>
        <w:t xml:space="preserve">One of them is </w:t>
      </w:r>
      <w:r w:rsidR="00BD7368" w:rsidRPr="00B272E2">
        <w:rPr>
          <w:rFonts w:ascii="Arial" w:hAnsi="Arial"/>
          <w:b/>
          <w:sz w:val="21"/>
          <w:szCs w:val="21"/>
        </w:rPr>
        <w:t>benefit ratio</w:t>
      </w:r>
      <w:r w:rsidR="00BD7368" w:rsidRPr="00B272E2">
        <w:rPr>
          <w:rFonts w:ascii="Arial" w:hAnsi="Arial"/>
          <w:sz w:val="21"/>
          <w:szCs w:val="21"/>
        </w:rPr>
        <w:t xml:space="preserve"> </w:t>
      </w:r>
      <w:r w:rsidR="00D26A58" w:rsidRPr="00B272E2">
        <w:rPr>
          <w:rFonts w:ascii="Arial" w:hAnsi="Arial"/>
          <w:sz w:val="21"/>
          <w:szCs w:val="21"/>
        </w:rPr>
        <w:t xml:space="preserve">that is the average pension benefit divided </w:t>
      </w:r>
      <w:r w:rsidR="009563B7" w:rsidRPr="00B272E2">
        <w:rPr>
          <w:rFonts w:ascii="Arial" w:hAnsi="Arial"/>
          <w:sz w:val="21"/>
          <w:szCs w:val="21"/>
        </w:rPr>
        <w:t xml:space="preserve">by an economy-wide average wage. </w:t>
      </w:r>
      <w:r w:rsidR="00A162CD" w:rsidRPr="00B272E2">
        <w:rPr>
          <w:rFonts w:ascii="Arial" w:hAnsi="Arial"/>
          <w:sz w:val="21"/>
          <w:szCs w:val="21"/>
        </w:rPr>
        <w:t>“</w:t>
      </w:r>
      <w:r w:rsidR="009563B7" w:rsidRPr="00B272E2">
        <w:rPr>
          <w:rFonts w:ascii="Arial" w:hAnsi="Arial"/>
          <w:sz w:val="21"/>
          <w:szCs w:val="21"/>
        </w:rPr>
        <w:t xml:space="preserve">The average pension is calculated as the ratio of public pension spending relative to the number of pensioners, whereas the average wage is proxied by the change </w:t>
      </w:r>
      <w:r w:rsidR="009563B7" w:rsidRPr="00B272E2">
        <w:rPr>
          <w:rFonts w:ascii="Arial" w:hAnsi="Arial"/>
          <w:sz w:val="21"/>
          <w:szCs w:val="21"/>
        </w:rPr>
        <w:lastRenderedPageBreak/>
        <w:t>in the GDP per hours worked. The ratio of these two indicators is intended to provide an estimate of the overall generosity of pension systems</w:t>
      </w:r>
      <w:r w:rsidR="00A162CD" w:rsidRPr="00B272E2">
        <w:rPr>
          <w:rFonts w:ascii="Arial" w:hAnsi="Arial"/>
          <w:sz w:val="21"/>
          <w:szCs w:val="21"/>
        </w:rPr>
        <w:t>”</w:t>
      </w:r>
      <w:r w:rsidR="0055313E" w:rsidRPr="00B272E2">
        <w:rPr>
          <w:rFonts w:ascii="Arial" w:hAnsi="Arial"/>
          <w:sz w:val="21"/>
          <w:szCs w:val="21"/>
        </w:rPr>
        <w:t xml:space="preserve"> (</w:t>
      </w:r>
      <w:r w:rsidR="00A162CD" w:rsidRPr="00B272E2">
        <w:rPr>
          <w:rFonts w:ascii="Arial" w:hAnsi="Arial"/>
          <w:sz w:val="21"/>
          <w:szCs w:val="21"/>
        </w:rPr>
        <w:t>EC and SPC, 2015: 112)</w:t>
      </w:r>
      <w:r w:rsidR="00123D08" w:rsidRPr="00B272E2">
        <w:rPr>
          <w:rFonts w:ascii="Arial" w:hAnsi="Arial"/>
          <w:sz w:val="21"/>
          <w:szCs w:val="21"/>
        </w:rPr>
        <w:t>.</w:t>
      </w:r>
      <w:r w:rsidR="00D40ACB" w:rsidRPr="00B272E2">
        <w:rPr>
          <w:rFonts w:ascii="Arial" w:hAnsi="Arial"/>
          <w:sz w:val="21"/>
          <w:szCs w:val="21"/>
        </w:rPr>
        <w:t xml:space="preserve"> </w:t>
      </w:r>
    </w:p>
    <w:p w14:paraId="41F1FF30" w14:textId="77777777" w:rsidR="00CE0C19" w:rsidRPr="00B272E2" w:rsidRDefault="00123D08" w:rsidP="00B272E2">
      <w:pPr>
        <w:spacing w:after="240" w:line="360" w:lineRule="auto"/>
        <w:jc w:val="both"/>
        <w:rPr>
          <w:rFonts w:ascii="Arial" w:hAnsi="Arial"/>
          <w:sz w:val="21"/>
          <w:szCs w:val="21"/>
        </w:rPr>
      </w:pPr>
      <w:r w:rsidRPr="00B272E2">
        <w:rPr>
          <w:rFonts w:ascii="Arial" w:hAnsi="Arial"/>
          <w:sz w:val="21"/>
          <w:szCs w:val="21"/>
        </w:rPr>
        <w:t xml:space="preserve">SPC-ISG has done significant work on </w:t>
      </w:r>
      <w:r w:rsidRPr="00B272E2">
        <w:rPr>
          <w:rFonts w:ascii="Arial" w:hAnsi="Arial"/>
          <w:b/>
          <w:sz w:val="21"/>
          <w:szCs w:val="21"/>
        </w:rPr>
        <w:t>theoretical replacement rates (TRR)</w:t>
      </w:r>
      <w:r w:rsidR="00E43E12" w:rsidRPr="00B272E2">
        <w:rPr>
          <w:rFonts w:ascii="Arial" w:hAnsi="Arial"/>
          <w:sz w:val="21"/>
          <w:szCs w:val="21"/>
        </w:rPr>
        <w:t>. This work was presented in</w:t>
      </w:r>
      <w:r w:rsidRPr="00B272E2">
        <w:rPr>
          <w:rFonts w:ascii="Arial" w:hAnsi="Arial"/>
          <w:sz w:val="21"/>
          <w:szCs w:val="21"/>
        </w:rPr>
        <w:t xml:space="preserve"> </w:t>
      </w:r>
      <w:r w:rsidRPr="00B272E2">
        <w:rPr>
          <w:rFonts w:ascii="Arial" w:hAnsi="Arial"/>
          <w:i/>
          <w:sz w:val="21"/>
          <w:szCs w:val="21"/>
        </w:rPr>
        <w:t>2004,</w:t>
      </w:r>
      <w:r w:rsidR="00E43E12" w:rsidRPr="00B272E2">
        <w:rPr>
          <w:rFonts w:ascii="Arial" w:hAnsi="Arial"/>
          <w:i/>
          <w:sz w:val="21"/>
          <w:szCs w:val="21"/>
        </w:rPr>
        <w:t xml:space="preserve"> </w:t>
      </w:r>
      <w:r w:rsidRPr="00B272E2">
        <w:rPr>
          <w:rFonts w:ascii="Arial" w:hAnsi="Arial"/>
          <w:i/>
          <w:sz w:val="21"/>
          <w:szCs w:val="21"/>
        </w:rPr>
        <w:t>2006 and 2009 Reports</w:t>
      </w:r>
      <w:r w:rsidR="00E43E12" w:rsidRPr="00B272E2">
        <w:rPr>
          <w:rFonts w:ascii="Arial" w:hAnsi="Arial"/>
          <w:i/>
          <w:sz w:val="21"/>
          <w:szCs w:val="21"/>
        </w:rPr>
        <w:t xml:space="preserve"> on Current and Prospective Theore</w:t>
      </w:r>
      <w:r w:rsidR="003C735D" w:rsidRPr="00B272E2">
        <w:rPr>
          <w:rFonts w:ascii="Arial" w:hAnsi="Arial"/>
          <w:i/>
          <w:sz w:val="21"/>
          <w:szCs w:val="21"/>
        </w:rPr>
        <w:t xml:space="preserve">tical Pension Replacement Rates </w:t>
      </w:r>
      <w:r w:rsidRPr="00B272E2">
        <w:rPr>
          <w:rFonts w:ascii="Arial" w:hAnsi="Arial"/>
          <w:sz w:val="21"/>
          <w:szCs w:val="21"/>
        </w:rPr>
        <w:t xml:space="preserve">and </w:t>
      </w:r>
      <w:r w:rsidR="00E43E12" w:rsidRPr="00B272E2">
        <w:rPr>
          <w:rFonts w:ascii="Arial" w:hAnsi="Arial"/>
          <w:sz w:val="21"/>
          <w:szCs w:val="21"/>
        </w:rPr>
        <w:t>since 2012 it has been published</w:t>
      </w:r>
      <w:r w:rsidRPr="00B272E2">
        <w:rPr>
          <w:rFonts w:ascii="Arial" w:hAnsi="Arial"/>
          <w:sz w:val="21"/>
          <w:szCs w:val="21"/>
        </w:rPr>
        <w:t xml:space="preserve"> in </w:t>
      </w:r>
      <w:r w:rsidRPr="00B272E2">
        <w:rPr>
          <w:rFonts w:ascii="Arial" w:hAnsi="Arial"/>
          <w:i/>
          <w:sz w:val="21"/>
          <w:szCs w:val="21"/>
        </w:rPr>
        <w:t>Pension Adequacy Reports</w:t>
      </w:r>
      <w:r w:rsidRPr="00B272E2">
        <w:rPr>
          <w:rFonts w:ascii="Arial" w:hAnsi="Arial"/>
          <w:sz w:val="21"/>
          <w:szCs w:val="21"/>
        </w:rPr>
        <w:t xml:space="preserve">. SPC-ISG calculates </w:t>
      </w:r>
      <w:r w:rsidR="00E43E12" w:rsidRPr="00B272E2">
        <w:rPr>
          <w:rFonts w:ascii="Arial" w:hAnsi="Arial"/>
          <w:sz w:val="21"/>
          <w:szCs w:val="21"/>
        </w:rPr>
        <w:t>variety of TRR</w:t>
      </w:r>
      <w:r w:rsidR="003C735D" w:rsidRPr="00B272E2">
        <w:rPr>
          <w:rFonts w:ascii="Arial" w:hAnsi="Arial"/>
          <w:sz w:val="21"/>
          <w:szCs w:val="21"/>
        </w:rPr>
        <w:t>s</w:t>
      </w:r>
      <w:r w:rsidR="00E43E12" w:rsidRPr="00B272E2">
        <w:rPr>
          <w:rFonts w:ascii="Arial" w:hAnsi="Arial"/>
          <w:sz w:val="21"/>
          <w:szCs w:val="21"/>
        </w:rPr>
        <w:t xml:space="preserve"> – current/perspective, net/gross, for different career profiles, </w:t>
      </w:r>
      <w:r w:rsidRPr="00B272E2">
        <w:rPr>
          <w:rFonts w:ascii="Arial" w:hAnsi="Arial"/>
          <w:sz w:val="21"/>
          <w:szCs w:val="21"/>
        </w:rPr>
        <w:t xml:space="preserve">while only change in </w:t>
      </w:r>
      <w:r w:rsidR="00E43E12" w:rsidRPr="00B272E2">
        <w:rPr>
          <w:rFonts w:ascii="Arial" w:hAnsi="Arial"/>
          <w:sz w:val="21"/>
          <w:szCs w:val="21"/>
        </w:rPr>
        <w:t xml:space="preserve">current and perspective </w:t>
      </w:r>
      <w:r w:rsidRPr="00B272E2">
        <w:rPr>
          <w:rFonts w:ascii="Arial" w:hAnsi="Arial"/>
          <w:sz w:val="21"/>
          <w:szCs w:val="21"/>
        </w:rPr>
        <w:t xml:space="preserve">TRR is an indicator </w:t>
      </w:r>
      <w:r w:rsidR="00E43E12" w:rsidRPr="00B272E2">
        <w:rPr>
          <w:rFonts w:ascii="Arial" w:hAnsi="Arial"/>
          <w:sz w:val="21"/>
          <w:szCs w:val="21"/>
        </w:rPr>
        <w:t xml:space="preserve">of pension portfolio of EU social indicators. </w:t>
      </w:r>
      <w:r w:rsidR="003C735D" w:rsidRPr="00B272E2">
        <w:rPr>
          <w:rFonts w:ascii="Arial" w:hAnsi="Arial"/>
          <w:sz w:val="21"/>
          <w:szCs w:val="21"/>
        </w:rPr>
        <w:t>Replacement rate is defined as the level of pensions as a percentage of previous individual earnings at the moment of take-up of pensions</w:t>
      </w:r>
      <w:r w:rsidR="008547DD" w:rsidRPr="00B272E2">
        <w:rPr>
          <w:rStyle w:val="FootnoteReference"/>
          <w:rFonts w:ascii="Arial" w:hAnsi="Arial"/>
          <w:sz w:val="21"/>
          <w:szCs w:val="21"/>
        </w:rPr>
        <w:footnoteReference w:id="7"/>
      </w:r>
      <w:r w:rsidR="003C735D" w:rsidRPr="00B272E2">
        <w:rPr>
          <w:rFonts w:ascii="Arial" w:hAnsi="Arial"/>
          <w:sz w:val="21"/>
          <w:szCs w:val="21"/>
        </w:rPr>
        <w:t xml:space="preserve">. The </w:t>
      </w:r>
      <w:r w:rsidR="00511C5A" w:rsidRPr="00B272E2">
        <w:rPr>
          <w:rFonts w:ascii="Arial" w:hAnsi="Arial"/>
          <w:sz w:val="21"/>
          <w:szCs w:val="21"/>
        </w:rPr>
        <w:t xml:space="preserve">replacement rate </w:t>
      </w:r>
      <w:r w:rsidR="003C735D" w:rsidRPr="00B272E2">
        <w:rPr>
          <w:rFonts w:ascii="Arial" w:hAnsi="Arial"/>
          <w:sz w:val="21"/>
          <w:szCs w:val="21"/>
        </w:rPr>
        <w:t>is calculated for a hypothetical worker, a single person with 40 years career length (i.e. he/she started to work at 25 and retired at 65) with constant average earnings. In addition to this base case, replacement rates for alternative hypothetical cases of a worker</w:t>
      </w:r>
      <w:r w:rsidR="00D415A6" w:rsidRPr="00B272E2">
        <w:rPr>
          <w:rFonts w:ascii="Arial" w:hAnsi="Arial"/>
          <w:sz w:val="21"/>
          <w:szCs w:val="21"/>
        </w:rPr>
        <w:t>s</w:t>
      </w:r>
      <w:r w:rsidR="003C735D" w:rsidRPr="00B272E2">
        <w:rPr>
          <w:rFonts w:ascii="Arial" w:hAnsi="Arial"/>
          <w:sz w:val="21"/>
          <w:szCs w:val="21"/>
        </w:rPr>
        <w:t xml:space="preserve"> </w:t>
      </w:r>
      <w:r w:rsidR="00CE0C19" w:rsidRPr="00B272E2">
        <w:rPr>
          <w:rFonts w:ascii="Arial" w:hAnsi="Arial"/>
          <w:sz w:val="21"/>
          <w:szCs w:val="21"/>
        </w:rPr>
        <w:t xml:space="preserve">are </w:t>
      </w:r>
      <w:r w:rsidR="00D415A6" w:rsidRPr="00B272E2">
        <w:rPr>
          <w:rFonts w:ascii="Arial" w:hAnsi="Arial"/>
          <w:sz w:val="21"/>
          <w:szCs w:val="21"/>
        </w:rPr>
        <w:t>calculated</w:t>
      </w:r>
      <w:r w:rsidR="00CE0C19" w:rsidRPr="00B272E2">
        <w:rPr>
          <w:rFonts w:ascii="Arial" w:hAnsi="Arial"/>
          <w:sz w:val="21"/>
          <w:szCs w:val="21"/>
        </w:rPr>
        <w:t xml:space="preserve"> </w:t>
      </w:r>
      <w:r w:rsidR="00D415A6" w:rsidRPr="00B272E2">
        <w:rPr>
          <w:rFonts w:ascii="Arial" w:hAnsi="Arial"/>
          <w:sz w:val="21"/>
          <w:szCs w:val="21"/>
        </w:rPr>
        <w:t>– for example</w:t>
      </w:r>
      <w:r w:rsidR="00CE0C19" w:rsidRPr="00B272E2">
        <w:rPr>
          <w:rFonts w:ascii="Arial" w:hAnsi="Arial"/>
          <w:sz w:val="21"/>
          <w:szCs w:val="21"/>
        </w:rPr>
        <w:t xml:space="preserve"> </w:t>
      </w:r>
      <w:r w:rsidR="003C735D" w:rsidRPr="00B272E2">
        <w:rPr>
          <w:rFonts w:ascii="Arial" w:hAnsi="Arial"/>
          <w:sz w:val="21"/>
          <w:szCs w:val="21"/>
        </w:rPr>
        <w:t>flat low earnings profile (2/3 of average earnings)</w:t>
      </w:r>
      <w:r w:rsidR="00CE0C19" w:rsidRPr="00B272E2">
        <w:rPr>
          <w:rFonts w:ascii="Arial" w:hAnsi="Arial"/>
          <w:sz w:val="21"/>
          <w:szCs w:val="21"/>
        </w:rPr>
        <w:t>, rising careers, different seniority and age of retirement (</w:t>
      </w:r>
      <w:r w:rsidR="00D415A6" w:rsidRPr="00B272E2">
        <w:rPr>
          <w:rFonts w:ascii="Arial" w:hAnsi="Arial"/>
          <w:sz w:val="21"/>
          <w:szCs w:val="21"/>
        </w:rPr>
        <w:t xml:space="preserve">63 years of age with 38 years of service; 67 years of age with 42 years of service) etc. </w:t>
      </w:r>
    </w:p>
    <w:p w14:paraId="7BD79938" w14:textId="77777777" w:rsidR="009903CC" w:rsidRPr="00B272E2" w:rsidRDefault="00996FDD" w:rsidP="00B272E2">
      <w:pPr>
        <w:spacing w:after="240" w:line="360" w:lineRule="auto"/>
        <w:jc w:val="both"/>
        <w:rPr>
          <w:rFonts w:ascii="Arial" w:hAnsi="Arial" w:cs="RobotoCondensed-Regular"/>
          <w:sz w:val="21"/>
          <w:szCs w:val="21"/>
        </w:rPr>
      </w:pPr>
      <w:r w:rsidRPr="00B272E2">
        <w:rPr>
          <w:rFonts w:ascii="Arial" w:hAnsi="Arial" w:cs="RobotoCondensed-Regular"/>
          <w:b/>
          <w:sz w:val="21"/>
          <w:szCs w:val="21"/>
        </w:rPr>
        <w:t xml:space="preserve">EU </w:t>
      </w:r>
      <w:r w:rsidR="004E5B32" w:rsidRPr="00B272E2">
        <w:rPr>
          <w:rFonts w:ascii="Arial" w:hAnsi="Arial" w:cs="RobotoCondensed-Regular"/>
          <w:b/>
          <w:sz w:val="21"/>
          <w:szCs w:val="21"/>
        </w:rPr>
        <w:t>Sustainable Development I</w:t>
      </w:r>
      <w:r w:rsidR="007D13C5" w:rsidRPr="00B272E2">
        <w:rPr>
          <w:rFonts w:ascii="Arial" w:hAnsi="Arial" w:cs="RobotoCondensed-Regular"/>
          <w:b/>
          <w:sz w:val="21"/>
          <w:szCs w:val="21"/>
        </w:rPr>
        <w:t>ndicators (SDI)</w:t>
      </w:r>
      <w:r w:rsidRPr="00B272E2">
        <w:rPr>
          <w:rFonts w:ascii="Arial" w:hAnsi="Arial" w:cs="RobotoCondensed-Regular"/>
          <w:b/>
          <w:i/>
          <w:sz w:val="21"/>
          <w:szCs w:val="21"/>
        </w:rPr>
        <w:t xml:space="preserve"> </w:t>
      </w:r>
      <w:r w:rsidR="00940BF3" w:rsidRPr="00B272E2">
        <w:rPr>
          <w:rFonts w:ascii="Arial" w:hAnsi="Arial" w:cs="RobotoCondensed-Regular"/>
          <w:sz w:val="21"/>
          <w:szCs w:val="21"/>
        </w:rPr>
        <w:t>are not relevant</w:t>
      </w:r>
      <w:r w:rsidR="00DD5A65" w:rsidRPr="00B272E2">
        <w:rPr>
          <w:rFonts w:ascii="Arial" w:hAnsi="Arial" w:cs="RobotoCondensed-Regular"/>
          <w:sz w:val="21"/>
          <w:szCs w:val="21"/>
        </w:rPr>
        <w:t xml:space="preserve"> for pension policy </w:t>
      </w:r>
      <w:r w:rsidR="00940BF3" w:rsidRPr="00B272E2">
        <w:rPr>
          <w:rFonts w:ascii="Arial" w:hAnsi="Arial" w:cs="RobotoCondensed-Regular"/>
          <w:sz w:val="21"/>
          <w:szCs w:val="21"/>
        </w:rPr>
        <w:t xml:space="preserve">since they do not </w:t>
      </w:r>
      <w:r w:rsidR="00DD5A65" w:rsidRPr="00B272E2">
        <w:rPr>
          <w:rFonts w:ascii="Arial" w:hAnsi="Arial" w:cs="RobotoCondensed-Regular"/>
          <w:sz w:val="21"/>
          <w:szCs w:val="21"/>
        </w:rPr>
        <w:t xml:space="preserve">deal with social protection as such. </w:t>
      </w:r>
      <w:r w:rsidR="004E5B32" w:rsidRPr="00B272E2">
        <w:rPr>
          <w:rFonts w:ascii="Arial" w:hAnsi="Arial" w:cs="RobotoCondensed-Regular"/>
          <w:sz w:val="21"/>
          <w:szCs w:val="21"/>
        </w:rPr>
        <w:t xml:space="preserve">The only relevant indicator </w:t>
      </w:r>
      <w:r w:rsidR="00DD5A65" w:rsidRPr="00B272E2">
        <w:rPr>
          <w:rFonts w:ascii="Arial" w:hAnsi="Arial" w:cs="RobotoCondensed-Regular"/>
          <w:sz w:val="21"/>
          <w:szCs w:val="21"/>
        </w:rPr>
        <w:t xml:space="preserve">overlaps with </w:t>
      </w:r>
      <w:r w:rsidRPr="00B272E2">
        <w:rPr>
          <w:rFonts w:ascii="Arial" w:hAnsi="Arial" w:cs="RobotoCondensed-Regular"/>
          <w:sz w:val="21"/>
          <w:szCs w:val="21"/>
        </w:rPr>
        <w:t xml:space="preserve">sustainability </w:t>
      </w:r>
      <w:r w:rsidR="007C0042" w:rsidRPr="00B272E2">
        <w:rPr>
          <w:rFonts w:ascii="Arial" w:hAnsi="Arial" w:cs="RobotoCondensed-Regular"/>
          <w:sz w:val="21"/>
          <w:szCs w:val="21"/>
        </w:rPr>
        <w:t xml:space="preserve">dimension primary indicator </w:t>
      </w:r>
      <w:r w:rsidRPr="00B272E2">
        <w:rPr>
          <w:rFonts w:ascii="Arial" w:hAnsi="Arial" w:cs="RobotoCondensed-Regular"/>
          <w:b/>
          <w:sz w:val="21"/>
          <w:szCs w:val="21"/>
        </w:rPr>
        <w:t>duration of working life</w:t>
      </w:r>
      <w:r w:rsidRPr="00B272E2">
        <w:rPr>
          <w:rFonts w:ascii="Arial" w:hAnsi="Arial" w:cs="RobotoCondensed-Regular"/>
          <w:sz w:val="21"/>
          <w:szCs w:val="21"/>
        </w:rPr>
        <w:t>.</w:t>
      </w:r>
      <w:r w:rsidR="00DD5A65" w:rsidRPr="00B272E2">
        <w:rPr>
          <w:rFonts w:ascii="Arial" w:hAnsi="Arial" w:cs="RobotoCondensed-Regular"/>
          <w:sz w:val="21"/>
          <w:szCs w:val="21"/>
        </w:rPr>
        <w:t xml:space="preserve"> This indicator is part of demographic change component, i.e. public finance sustainability related to </w:t>
      </w:r>
      <w:r w:rsidR="007C0042" w:rsidRPr="00B272E2">
        <w:rPr>
          <w:rFonts w:ascii="Arial" w:hAnsi="Arial" w:cs="RobotoCondensed-Regular"/>
          <w:sz w:val="21"/>
          <w:szCs w:val="21"/>
        </w:rPr>
        <w:t>demographics</w:t>
      </w:r>
      <w:r w:rsidR="00DD5A65" w:rsidRPr="00B272E2">
        <w:rPr>
          <w:rFonts w:ascii="Arial" w:hAnsi="Arial" w:cs="RobotoCondensed-Regular"/>
          <w:sz w:val="21"/>
          <w:szCs w:val="21"/>
        </w:rPr>
        <w:t xml:space="preserve">. </w:t>
      </w:r>
    </w:p>
    <w:p w14:paraId="191DEFCF" w14:textId="77777777" w:rsidR="001322AC" w:rsidRPr="00AF2581" w:rsidRDefault="000366C3" w:rsidP="00AF2581">
      <w:pPr>
        <w:pStyle w:val="Heading1"/>
        <w:numPr>
          <w:ilvl w:val="0"/>
          <w:numId w:val="5"/>
        </w:numPr>
        <w:ind w:left="426"/>
        <w:rPr>
          <w:rFonts w:ascii="Arial" w:hAnsi="Arial"/>
          <w:color w:val="4F81BD" w:themeColor="accent1"/>
          <w:sz w:val="24"/>
          <w:szCs w:val="24"/>
        </w:rPr>
      </w:pPr>
      <w:r>
        <w:br w:type="page"/>
      </w:r>
      <w:bookmarkStart w:id="5" w:name="_Toc493760332"/>
      <w:r w:rsidR="00C338C1" w:rsidRPr="00AF2581">
        <w:rPr>
          <w:rFonts w:ascii="Arial" w:hAnsi="Arial"/>
          <w:color w:val="4F81BD" w:themeColor="accent1"/>
          <w:sz w:val="24"/>
          <w:szCs w:val="24"/>
        </w:rPr>
        <w:lastRenderedPageBreak/>
        <w:t>OTHER RELEVANT FRAMEWORKS</w:t>
      </w:r>
      <w:bookmarkEnd w:id="5"/>
    </w:p>
    <w:p w14:paraId="2C85926C" w14:textId="77777777" w:rsidR="001322AC" w:rsidRPr="0078012F" w:rsidRDefault="001322AC" w:rsidP="005753CF">
      <w:pPr>
        <w:spacing w:line="264" w:lineRule="auto"/>
        <w:jc w:val="both"/>
        <w:rPr>
          <w:rFonts w:ascii="Cambria" w:hAnsi="Cambria"/>
          <w:b/>
          <w:lang w:val="uz-Cyrl-UZ"/>
        </w:rPr>
      </w:pPr>
    </w:p>
    <w:p w14:paraId="1B4EF1E2" w14:textId="77777777" w:rsidR="002400EC" w:rsidRPr="00496C77" w:rsidRDefault="001322AC" w:rsidP="00496C77">
      <w:pPr>
        <w:spacing w:after="240" w:line="360" w:lineRule="auto"/>
        <w:jc w:val="both"/>
        <w:rPr>
          <w:rFonts w:ascii="Arial" w:hAnsi="Arial"/>
          <w:sz w:val="21"/>
          <w:szCs w:val="21"/>
        </w:rPr>
      </w:pPr>
      <w:r w:rsidRPr="00496C77">
        <w:rPr>
          <w:rFonts w:ascii="Arial" w:hAnsi="Arial"/>
          <w:sz w:val="21"/>
          <w:szCs w:val="21"/>
        </w:rPr>
        <w:t xml:space="preserve">When it comes to pension indicators, World Bank and OECD work is </w:t>
      </w:r>
      <w:r w:rsidR="00891C79" w:rsidRPr="00496C77">
        <w:rPr>
          <w:rFonts w:ascii="Arial" w:hAnsi="Arial"/>
          <w:sz w:val="21"/>
          <w:szCs w:val="21"/>
        </w:rPr>
        <w:t>of great relevance</w:t>
      </w:r>
      <w:r w:rsidRPr="00496C77">
        <w:rPr>
          <w:rFonts w:ascii="Arial" w:hAnsi="Arial"/>
          <w:sz w:val="21"/>
          <w:szCs w:val="21"/>
        </w:rPr>
        <w:t xml:space="preserve">. </w:t>
      </w:r>
      <w:r w:rsidR="00583A6C" w:rsidRPr="00496C77">
        <w:rPr>
          <w:rFonts w:ascii="Arial" w:hAnsi="Arial"/>
          <w:sz w:val="21"/>
          <w:szCs w:val="21"/>
        </w:rPr>
        <w:t>Unlike EU indicators, which focus on performance, W</w:t>
      </w:r>
      <w:r w:rsidR="007565A0" w:rsidRPr="00496C77">
        <w:rPr>
          <w:rFonts w:ascii="Arial" w:hAnsi="Arial"/>
          <w:sz w:val="21"/>
          <w:szCs w:val="21"/>
        </w:rPr>
        <w:t>orld Bank</w:t>
      </w:r>
      <w:r w:rsidR="00583A6C" w:rsidRPr="00496C77">
        <w:rPr>
          <w:rFonts w:ascii="Arial" w:hAnsi="Arial"/>
          <w:sz w:val="21"/>
          <w:szCs w:val="21"/>
        </w:rPr>
        <w:t xml:space="preserve"> and OECD </w:t>
      </w:r>
      <w:r w:rsidR="00891C79" w:rsidRPr="00496C77">
        <w:rPr>
          <w:rFonts w:ascii="Arial" w:hAnsi="Arial"/>
          <w:sz w:val="21"/>
          <w:szCs w:val="21"/>
        </w:rPr>
        <w:t xml:space="preserve">in particular </w:t>
      </w:r>
      <w:r w:rsidR="00583A6C" w:rsidRPr="00496C77">
        <w:rPr>
          <w:rFonts w:ascii="Arial" w:hAnsi="Arial"/>
          <w:sz w:val="21"/>
          <w:szCs w:val="21"/>
        </w:rPr>
        <w:t>pay s</w:t>
      </w:r>
      <w:r w:rsidR="00891C79" w:rsidRPr="00496C77">
        <w:rPr>
          <w:rFonts w:ascii="Arial" w:hAnsi="Arial"/>
          <w:sz w:val="21"/>
          <w:szCs w:val="21"/>
        </w:rPr>
        <w:t xml:space="preserve">pecial </w:t>
      </w:r>
      <w:r w:rsidR="00583A6C" w:rsidRPr="00496C77">
        <w:rPr>
          <w:rFonts w:ascii="Arial" w:hAnsi="Arial"/>
          <w:sz w:val="21"/>
          <w:szCs w:val="21"/>
        </w:rPr>
        <w:t>attention to the pol</w:t>
      </w:r>
      <w:r w:rsidR="00891C79" w:rsidRPr="00496C77">
        <w:rPr>
          <w:rFonts w:ascii="Arial" w:hAnsi="Arial"/>
          <w:sz w:val="21"/>
          <w:szCs w:val="21"/>
        </w:rPr>
        <w:t>icy or design indicators</w:t>
      </w:r>
      <w:r w:rsidR="00583A6C" w:rsidRPr="00496C77">
        <w:rPr>
          <w:rFonts w:ascii="Arial" w:hAnsi="Arial"/>
          <w:sz w:val="21"/>
          <w:szCs w:val="21"/>
        </w:rPr>
        <w:t xml:space="preserve">. </w:t>
      </w:r>
    </w:p>
    <w:p w14:paraId="3EA22ADE" w14:textId="77777777" w:rsidR="002400EC" w:rsidRPr="00BD2378" w:rsidRDefault="002400EC" w:rsidP="00496C77">
      <w:pPr>
        <w:spacing w:after="240" w:line="360" w:lineRule="auto"/>
        <w:jc w:val="both"/>
        <w:rPr>
          <w:rFonts w:ascii="Arial" w:hAnsi="Arial"/>
          <w:sz w:val="22"/>
          <w:szCs w:val="21"/>
        </w:rPr>
      </w:pPr>
      <w:r w:rsidRPr="00BD2378">
        <w:rPr>
          <w:rFonts w:ascii="Arial" w:hAnsi="Arial"/>
          <w:sz w:val="22"/>
          <w:szCs w:val="21"/>
        </w:rPr>
        <w:t>World B</w:t>
      </w:r>
      <w:r w:rsidR="001B51E6" w:rsidRPr="00BD2378">
        <w:rPr>
          <w:rFonts w:ascii="Arial" w:hAnsi="Arial"/>
          <w:sz w:val="22"/>
          <w:szCs w:val="21"/>
        </w:rPr>
        <w:t>ank</w:t>
      </w:r>
      <w:r w:rsidRPr="00BD2378">
        <w:rPr>
          <w:rFonts w:ascii="Arial" w:hAnsi="Arial"/>
          <w:sz w:val="22"/>
          <w:szCs w:val="21"/>
        </w:rPr>
        <w:t xml:space="preserve"> organizes pension indicators int</w:t>
      </w:r>
      <w:r w:rsidR="005130D6" w:rsidRPr="00BD2378">
        <w:rPr>
          <w:rFonts w:ascii="Arial" w:hAnsi="Arial"/>
          <w:sz w:val="22"/>
          <w:szCs w:val="21"/>
        </w:rPr>
        <w:t>o 3 broad types of indicators: 1</w:t>
      </w:r>
      <w:r w:rsidRPr="00BD2378">
        <w:rPr>
          <w:rFonts w:ascii="Arial" w:hAnsi="Arial"/>
          <w:sz w:val="22"/>
          <w:szCs w:val="21"/>
        </w:rPr>
        <w:t xml:space="preserve">) environment information, </w:t>
      </w:r>
      <w:r w:rsidR="005130D6" w:rsidRPr="00BD2378">
        <w:rPr>
          <w:rFonts w:ascii="Arial" w:hAnsi="Arial"/>
          <w:sz w:val="22"/>
          <w:szCs w:val="21"/>
        </w:rPr>
        <w:t>2</w:t>
      </w:r>
      <w:r w:rsidRPr="00BD2378">
        <w:rPr>
          <w:rFonts w:ascii="Arial" w:hAnsi="Arial"/>
          <w:sz w:val="22"/>
          <w:szCs w:val="21"/>
        </w:rPr>
        <w:t xml:space="preserve">) pension system design parameters, </w:t>
      </w:r>
      <w:r w:rsidR="005130D6" w:rsidRPr="00BD2378">
        <w:rPr>
          <w:rFonts w:ascii="Arial" w:hAnsi="Arial"/>
          <w:sz w:val="22"/>
          <w:szCs w:val="21"/>
        </w:rPr>
        <w:t>3</w:t>
      </w:r>
      <w:r w:rsidR="00C123D1" w:rsidRPr="00BD2378">
        <w:rPr>
          <w:rFonts w:ascii="Arial" w:hAnsi="Arial"/>
          <w:sz w:val="22"/>
          <w:szCs w:val="21"/>
        </w:rPr>
        <w:t xml:space="preserve">) </w:t>
      </w:r>
      <w:r w:rsidRPr="00BD2378">
        <w:rPr>
          <w:rFonts w:ascii="Arial" w:hAnsi="Arial"/>
          <w:sz w:val="22"/>
          <w:szCs w:val="21"/>
        </w:rPr>
        <w:t>performance indicators</w:t>
      </w:r>
      <w:r w:rsidR="00BD2378" w:rsidRPr="00BD2378">
        <w:rPr>
          <w:rFonts w:ascii="Arial" w:hAnsi="Arial"/>
          <w:sz w:val="22"/>
          <w:szCs w:val="21"/>
        </w:rPr>
        <w:t xml:space="preserve"> (</w:t>
      </w:r>
      <w:r w:rsidR="00BD2378" w:rsidRPr="00BD2378">
        <w:rPr>
          <w:rFonts w:ascii="Arial" w:hAnsi="Arial" w:cs="Arial"/>
          <w:color w:val="1A1A1A"/>
          <w:sz w:val="22"/>
          <w:szCs w:val="18"/>
        </w:rPr>
        <w:t>Pallares-Miralles et al. (2012).</w:t>
      </w:r>
      <w:r w:rsidRPr="00BD2378">
        <w:rPr>
          <w:rFonts w:ascii="Arial" w:hAnsi="Arial"/>
          <w:sz w:val="22"/>
          <w:szCs w:val="21"/>
        </w:rPr>
        <w:t xml:space="preserve"> </w:t>
      </w:r>
    </w:p>
    <w:p w14:paraId="6E53503A" w14:textId="77777777" w:rsidR="00AE2057" w:rsidRPr="00496C77" w:rsidRDefault="002400EC" w:rsidP="00496C77">
      <w:pPr>
        <w:spacing w:after="240" w:line="360" w:lineRule="auto"/>
        <w:jc w:val="both"/>
        <w:rPr>
          <w:rFonts w:ascii="Arial" w:hAnsi="Arial"/>
          <w:sz w:val="21"/>
          <w:szCs w:val="21"/>
        </w:rPr>
      </w:pPr>
      <w:r w:rsidRPr="00496C77">
        <w:rPr>
          <w:rFonts w:ascii="Arial" w:hAnsi="Arial"/>
          <w:sz w:val="21"/>
          <w:szCs w:val="21"/>
        </w:rPr>
        <w:t>First set of indicators</w:t>
      </w:r>
      <w:r w:rsidR="00560B92" w:rsidRPr="00496C77">
        <w:rPr>
          <w:rFonts w:ascii="Arial" w:hAnsi="Arial"/>
          <w:sz w:val="21"/>
          <w:szCs w:val="21"/>
        </w:rPr>
        <w:t xml:space="preserve"> provide</w:t>
      </w:r>
      <w:r w:rsidR="00FC4FA7" w:rsidRPr="00496C77">
        <w:rPr>
          <w:rFonts w:ascii="Arial" w:hAnsi="Arial"/>
          <w:sz w:val="21"/>
          <w:szCs w:val="21"/>
        </w:rPr>
        <w:t>s</w:t>
      </w:r>
      <w:r w:rsidRPr="00496C77">
        <w:rPr>
          <w:rFonts w:ascii="Arial" w:hAnsi="Arial"/>
          <w:sz w:val="21"/>
          <w:szCs w:val="21"/>
        </w:rPr>
        <w:t xml:space="preserve"> </w:t>
      </w:r>
      <w:r w:rsidR="00560B92" w:rsidRPr="00496C77">
        <w:rPr>
          <w:rFonts w:ascii="Arial" w:hAnsi="Arial"/>
          <w:b/>
          <w:sz w:val="21"/>
          <w:szCs w:val="21"/>
        </w:rPr>
        <w:t>information on the environment</w:t>
      </w:r>
      <w:r w:rsidR="00560B92" w:rsidRPr="00496C77">
        <w:rPr>
          <w:rFonts w:ascii="Arial" w:hAnsi="Arial"/>
          <w:sz w:val="21"/>
          <w:szCs w:val="21"/>
        </w:rPr>
        <w:t xml:space="preserve"> in which the system operates, focusing on demographic and labor market conditions</w:t>
      </w:r>
      <w:r w:rsidR="00656FA4" w:rsidRPr="00496C77">
        <w:rPr>
          <w:rFonts w:ascii="Arial" w:hAnsi="Arial"/>
          <w:sz w:val="21"/>
          <w:szCs w:val="21"/>
        </w:rPr>
        <w:t>. Demographic indicators include fertility rate,</w:t>
      </w:r>
      <w:r w:rsidR="002464E5" w:rsidRPr="00496C77">
        <w:rPr>
          <w:rFonts w:ascii="Arial" w:hAnsi="Arial"/>
          <w:sz w:val="21"/>
          <w:szCs w:val="21"/>
        </w:rPr>
        <w:t xml:space="preserve"> life expectancies,</w:t>
      </w:r>
      <w:r w:rsidR="00D04814" w:rsidRPr="00496C77">
        <w:rPr>
          <w:rFonts w:ascii="Arial" w:hAnsi="Arial"/>
          <w:sz w:val="21"/>
          <w:szCs w:val="21"/>
        </w:rPr>
        <w:t xml:space="preserve"> old-age dep</w:t>
      </w:r>
      <w:r w:rsidR="00F14805" w:rsidRPr="00496C77">
        <w:rPr>
          <w:rFonts w:ascii="Arial" w:hAnsi="Arial"/>
          <w:sz w:val="21"/>
          <w:szCs w:val="21"/>
        </w:rPr>
        <w:t>endency ratio and similar. Labor market indicators are based on ILO as a source looking primarily at the labor-force participation rates as an “important determinant of the potential base of contributors to mandatory pension systems”</w:t>
      </w:r>
      <w:r w:rsidR="00FC4FA7" w:rsidRPr="00496C77">
        <w:rPr>
          <w:rStyle w:val="FootnoteReference"/>
          <w:rFonts w:ascii="Arial" w:hAnsi="Arial"/>
          <w:sz w:val="21"/>
          <w:szCs w:val="21"/>
        </w:rPr>
        <w:footnoteReference w:id="8"/>
      </w:r>
      <w:r w:rsidR="00560B92" w:rsidRPr="00496C77">
        <w:rPr>
          <w:rFonts w:ascii="Arial" w:hAnsi="Arial"/>
          <w:sz w:val="21"/>
          <w:szCs w:val="21"/>
        </w:rPr>
        <w:t xml:space="preserve">. </w:t>
      </w:r>
      <w:r w:rsidR="00AE2057" w:rsidRPr="00496C77">
        <w:rPr>
          <w:rFonts w:ascii="Arial" w:hAnsi="Arial"/>
          <w:sz w:val="21"/>
          <w:szCs w:val="21"/>
        </w:rPr>
        <w:t>The authors also note that standard fiscal indicators provide important contextual information for pension policy. This group of indicators</w:t>
      </w:r>
      <w:r w:rsidR="00560B92" w:rsidRPr="00496C77">
        <w:rPr>
          <w:rFonts w:ascii="Arial" w:hAnsi="Arial"/>
          <w:sz w:val="21"/>
          <w:szCs w:val="21"/>
        </w:rPr>
        <w:t xml:space="preserve"> </w:t>
      </w:r>
      <w:r w:rsidR="00AE2057" w:rsidRPr="00496C77">
        <w:rPr>
          <w:rFonts w:ascii="Arial" w:hAnsi="Arial"/>
          <w:sz w:val="21"/>
          <w:szCs w:val="21"/>
        </w:rPr>
        <w:t xml:space="preserve">corresponds </w:t>
      </w:r>
      <w:r w:rsidR="00E27651" w:rsidRPr="00496C77">
        <w:rPr>
          <w:rFonts w:ascii="Arial" w:hAnsi="Arial"/>
          <w:sz w:val="21"/>
          <w:szCs w:val="21"/>
        </w:rPr>
        <w:t xml:space="preserve">to </w:t>
      </w:r>
      <w:r w:rsidR="00AE2057" w:rsidRPr="00496C77">
        <w:rPr>
          <w:rFonts w:ascii="Arial" w:hAnsi="Arial"/>
          <w:sz w:val="21"/>
          <w:szCs w:val="21"/>
        </w:rPr>
        <w:t xml:space="preserve">the </w:t>
      </w:r>
      <w:r w:rsidR="00E27651" w:rsidRPr="00496C77">
        <w:rPr>
          <w:rFonts w:ascii="Arial" w:hAnsi="Arial"/>
          <w:sz w:val="21"/>
          <w:szCs w:val="21"/>
        </w:rPr>
        <w:t xml:space="preserve">context information in EU framework. </w:t>
      </w:r>
    </w:p>
    <w:p w14:paraId="0D39A926" w14:textId="77777777" w:rsidR="005130D6" w:rsidRPr="00496C77" w:rsidRDefault="005130D6" w:rsidP="00496C77">
      <w:pPr>
        <w:spacing w:after="240" w:line="360" w:lineRule="auto"/>
        <w:jc w:val="both"/>
        <w:rPr>
          <w:rFonts w:ascii="Arial" w:hAnsi="Arial"/>
          <w:sz w:val="21"/>
          <w:szCs w:val="21"/>
        </w:rPr>
      </w:pPr>
      <w:r w:rsidRPr="00496C77">
        <w:rPr>
          <w:rFonts w:ascii="Arial" w:hAnsi="Arial"/>
          <w:sz w:val="21"/>
          <w:szCs w:val="21"/>
        </w:rPr>
        <w:t>Second set</w:t>
      </w:r>
      <w:r w:rsidR="00C83FA3" w:rsidRPr="00496C77">
        <w:rPr>
          <w:rFonts w:ascii="Arial" w:hAnsi="Arial"/>
          <w:sz w:val="21"/>
          <w:szCs w:val="21"/>
        </w:rPr>
        <w:t xml:space="preserve"> is </w:t>
      </w:r>
      <w:r w:rsidR="00C83FA3" w:rsidRPr="00496C77">
        <w:rPr>
          <w:rFonts w:ascii="Arial" w:hAnsi="Arial"/>
          <w:b/>
          <w:sz w:val="21"/>
          <w:szCs w:val="21"/>
        </w:rPr>
        <w:t>information on pension system design</w:t>
      </w:r>
      <w:r w:rsidRPr="00496C77">
        <w:rPr>
          <w:rFonts w:ascii="Arial" w:hAnsi="Arial"/>
          <w:sz w:val="21"/>
          <w:szCs w:val="21"/>
        </w:rPr>
        <w:t>, presente</w:t>
      </w:r>
      <w:r w:rsidR="00DC3610" w:rsidRPr="00496C77">
        <w:rPr>
          <w:rFonts w:ascii="Arial" w:hAnsi="Arial"/>
          <w:sz w:val="21"/>
          <w:szCs w:val="21"/>
        </w:rPr>
        <w:t>d in two groups of indicators: 1</w:t>
      </w:r>
      <w:r w:rsidRPr="00496C77">
        <w:rPr>
          <w:rFonts w:ascii="Arial" w:hAnsi="Arial"/>
          <w:sz w:val="21"/>
          <w:szCs w:val="21"/>
        </w:rPr>
        <w:t xml:space="preserve">) overall architecture of the system </w:t>
      </w:r>
      <w:r w:rsidR="00B4675F" w:rsidRPr="00496C77">
        <w:rPr>
          <w:rFonts w:ascii="Arial" w:hAnsi="Arial"/>
          <w:sz w:val="21"/>
          <w:szCs w:val="21"/>
        </w:rPr>
        <w:t>information</w:t>
      </w:r>
      <w:r w:rsidRPr="00496C77">
        <w:rPr>
          <w:rFonts w:ascii="Arial" w:hAnsi="Arial"/>
          <w:sz w:val="21"/>
          <w:szCs w:val="21"/>
        </w:rPr>
        <w:t xml:space="preserve"> on pillars and various </w:t>
      </w:r>
      <w:r w:rsidR="00D04814" w:rsidRPr="00496C77">
        <w:rPr>
          <w:rFonts w:ascii="Arial" w:hAnsi="Arial"/>
          <w:sz w:val="21"/>
          <w:szCs w:val="21"/>
        </w:rPr>
        <w:t>schemes</w:t>
      </w:r>
      <w:r w:rsidRPr="00496C77">
        <w:rPr>
          <w:rFonts w:ascii="Arial" w:hAnsi="Arial"/>
          <w:sz w:val="21"/>
          <w:szCs w:val="21"/>
        </w:rPr>
        <w:t xml:space="preserve">) and </w:t>
      </w:r>
      <w:r w:rsidR="00DC3610" w:rsidRPr="00496C77">
        <w:rPr>
          <w:rFonts w:ascii="Arial" w:hAnsi="Arial"/>
          <w:sz w:val="21"/>
          <w:szCs w:val="21"/>
        </w:rPr>
        <w:t>2</w:t>
      </w:r>
      <w:r w:rsidRPr="00496C77">
        <w:rPr>
          <w:rFonts w:ascii="Arial" w:hAnsi="Arial"/>
          <w:sz w:val="21"/>
          <w:szCs w:val="21"/>
        </w:rPr>
        <w:t xml:space="preserve">) operating </w:t>
      </w:r>
      <w:r w:rsidR="00D04814" w:rsidRPr="00496C77">
        <w:rPr>
          <w:rFonts w:ascii="Arial" w:hAnsi="Arial"/>
          <w:sz w:val="21"/>
          <w:szCs w:val="21"/>
        </w:rPr>
        <w:t>parameters</w:t>
      </w:r>
      <w:r w:rsidRPr="00496C77">
        <w:rPr>
          <w:rFonts w:ascii="Arial" w:hAnsi="Arial"/>
          <w:sz w:val="21"/>
          <w:szCs w:val="21"/>
        </w:rPr>
        <w:t xml:space="preserve"> of the system, which in turn consists of two sub-groups – a) qualifying conditions and b) contributions rate and indexation. </w:t>
      </w:r>
      <w:r w:rsidR="005C7A02" w:rsidRPr="00496C77">
        <w:rPr>
          <w:rFonts w:ascii="Arial" w:hAnsi="Arial"/>
          <w:sz w:val="21"/>
          <w:szCs w:val="21"/>
        </w:rPr>
        <w:t xml:space="preserve">This set includes indicators such as net and gross </w:t>
      </w:r>
      <w:r w:rsidR="004A1C1A" w:rsidRPr="00496C77">
        <w:rPr>
          <w:rFonts w:ascii="Arial" w:hAnsi="Arial"/>
          <w:sz w:val="21"/>
          <w:szCs w:val="21"/>
        </w:rPr>
        <w:t xml:space="preserve">theoretical </w:t>
      </w:r>
      <w:r w:rsidR="005C7A02" w:rsidRPr="00496C77">
        <w:rPr>
          <w:rFonts w:ascii="Arial" w:hAnsi="Arial"/>
          <w:sz w:val="21"/>
          <w:szCs w:val="21"/>
        </w:rPr>
        <w:t>replacement rate, pension wealth, change in pension wealth</w:t>
      </w:r>
      <w:r w:rsidR="00C378F3" w:rsidRPr="00496C77">
        <w:rPr>
          <w:rFonts w:ascii="Arial" w:hAnsi="Arial"/>
          <w:sz w:val="21"/>
          <w:szCs w:val="21"/>
        </w:rPr>
        <w:t xml:space="preserve"> for early/late retirement, progr</w:t>
      </w:r>
      <w:r w:rsidR="005C7A02" w:rsidRPr="00496C77">
        <w:rPr>
          <w:rFonts w:ascii="Arial" w:hAnsi="Arial"/>
          <w:sz w:val="21"/>
          <w:szCs w:val="21"/>
        </w:rPr>
        <w:t>essivity formula</w:t>
      </w:r>
      <w:r w:rsidR="004A1C1A" w:rsidRPr="00496C77">
        <w:rPr>
          <w:rFonts w:ascii="Arial" w:hAnsi="Arial"/>
          <w:sz w:val="21"/>
          <w:szCs w:val="21"/>
        </w:rPr>
        <w:t>, which are taken over f</w:t>
      </w:r>
      <w:r w:rsidR="001035AE" w:rsidRPr="00496C77">
        <w:rPr>
          <w:rFonts w:ascii="Arial" w:hAnsi="Arial"/>
          <w:sz w:val="21"/>
          <w:szCs w:val="21"/>
        </w:rPr>
        <w:t xml:space="preserve">rom OECD and will be explained within OECD pension indicators. </w:t>
      </w:r>
    </w:p>
    <w:p w14:paraId="781AD5D1" w14:textId="77777777" w:rsidR="001035AE" w:rsidRDefault="005130D6" w:rsidP="00496C77">
      <w:pPr>
        <w:spacing w:after="240" w:line="360" w:lineRule="auto"/>
        <w:jc w:val="both"/>
        <w:rPr>
          <w:rFonts w:ascii="Arial" w:hAnsi="Arial"/>
          <w:sz w:val="21"/>
          <w:szCs w:val="21"/>
        </w:rPr>
      </w:pPr>
      <w:r w:rsidRPr="00496C77">
        <w:rPr>
          <w:rFonts w:ascii="Arial" w:hAnsi="Arial"/>
          <w:sz w:val="21"/>
          <w:szCs w:val="21"/>
        </w:rPr>
        <w:t>Third set –</w:t>
      </w:r>
      <w:r w:rsidR="00EA4DED" w:rsidRPr="00496C77">
        <w:rPr>
          <w:rFonts w:ascii="Arial" w:hAnsi="Arial"/>
          <w:sz w:val="21"/>
          <w:szCs w:val="21"/>
        </w:rPr>
        <w:t xml:space="preserve"> </w:t>
      </w:r>
      <w:r w:rsidR="00EA4DED" w:rsidRPr="00496C77">
        <w:rPr>
          <w:rFonts w:ascii="Arial" w:hAnsi="Arial"/>
          <w:b/>
          <w:sz w:val="21"/>
          <w:szCs w:val="21"/>
        </w:rPr>
        <w:t xml:space="preserve">performance </w:t>
      </w:r>
      <w:r w:rsidR="00E31FC3" w:rsidRPr="00496C77">
        <w:rPr>
          <w:rFonts w:ascii="Arial" w:hAnsi="Arial"/>
          <w:b/>
          <w:sz w:val="21"/>
          <w:szCs w:val="21"/>
        </w:rPr>
        <w:t>indicators</w:t>
      </w:r>
      <w:r w:rsidR="004A1C1A" w:rsidRPr="00496C77">
        <w:rPr>
          <w:rFonts w:ascii="Arial" w:hAnsi="Arial"/>
          <w:sz w:val="21"/>
          <w:szCs w:val="21"/>
        </w:rPr>
        <w:t>,</w:t>
      </w:r>
      <w:r w:rsidR="00757E2F" w:rsidRPr="00496C77">
        <w:rPr>
          <w:rFonts w:ascii="Arial" w:hAnsi="Arial"/>
          <w:sz w:val="21"/>
          <w:szCs w:val="21"/>
        </w:rPr>
        <w:t xml:space="preserve"> </w:t>
      </w:r>
      <w:r w:rsidR="00B4675F" w:rsidRPr="00496C77">
        <w:rPr>
          <w:rFonts w:ascii="Arial" w:hAnsi="Arial"/>
          <w:sz w:val="21"/>
          <w:szCs w:val="21"/>
        </w:rPr>
        <w:t>consists of</w:t>
      </w:r>
      <w:r w:rsidR="00E31FC3" w:rsidRPr="00496C77">
        <w:rPr>
          <w:rFonts w:ascii="Arial" w:hAnsi="Arial"/>
          <w:sz w:val="21"/>
          <w:szCs w:val="21"/>
        </w:rPr>
        <w:t xml:space="preserve"> core indicators</w:t>
      </w:r>
      <w:r w:rsidR="00B4675F" w:rsidRPr="00496C77">
        <w:rPr>
          <w:rFonts w:ascii="Arial" w:hAnsi="Arial"/>
          <w:sz w:val="21"/>
          <w:szCs w:val="21"/>
        </w:rPr>
        <w:t xml:space="preserve"> measuring</w:t>
      </w:r>
      <w:r w:rsidR="00E31FC3" w:rsidRPr="00496C77">
        <w:rPr>
          <w:rFonts w:ascii="Arial" w:hAnsi="Arial"/>
          <w:sz w:val="21"/>
          <w:szCs w:val="21"/>
        </w:rPr>
        <w:t xml:space="preserve"> “the outcomes that are achieved rather than implied or intended by the manner in which the system is designed”</w:t>
      </w:r>
      <w:r w:rsidR="00B4675F" w:rsidRPr="00496C77">
        <w:rPr>
          <w:rStyle w:val="FootnoteReference"/>
          <w:rFonts w:ascii="Arial" w:hAnsi="Arial"/>
          <w:sz w:val="21"/>
          <w:szCs w:val="21"/>
        </w:rPr>
        <w:footnoteReference w:id="9"/>
      </w:r>
      <w:r w:rsidR="00E31FC3" w:rsidRPr="00496C77">
        <w:rPr>
          <w:rFonts w:ascii="Arial" w:hAnsi="Arial"/>
          <w:sz w:val="21"/>
          <w:szCs w:val="21"/>
        </w:rPr>
        <w:t xml:space="preserve">. </w:t>
      </w:r>
      <w:r w:rsidR="00351FEB" w:rsidRPr="00496C77">
        <w:rPr>
          <w:rFonts w:ascii="Arial" w:hAnsi="Arial"/>
          <w:sz w:val="21"/>
          <w:szCs w:val="21"/>
        </w:rPr>
        <w:t xml:space="preserve">This set includes data that </w:t>
      </w:r>
      <w:r w:rsidR="00C8131B" w:rsidRPr="00496C77">
        <w:rPr>
          <w:rFonts w:ascii="Arial" w:hAnsi="Arial"/>
          <w:sz w:val="21"/>
          <w:szCs w:val="21"/>
        </w:rPr>
        <w:t>is</w:t>
      </w:r>
      <w:r w:rsidR="00351FEB" w:rsidRPr="00496C77">
        <w:rPr>
          <w:rFonts w:ascii="Arial" w:hAnsi="Arial"/>
          <w:sz w:val="21"/>
          <w:szCs w:val="21"/>
        </w:rPr>
        <w:t xml:space="preserve"> grouped into indicators of coverage, adequacy, financial stability, economic efficiency and administrative efficiency</w:t>
      </w:r>
      <w:r w:rsidR="00E818A4" w:rsidRPr="00496C77">
        <w:rPr>
          <w:rFonts w:ascii="Arial" w:hAnsi="Arial"/>
          <w:sz w:val="21"/>
          <w:szCs w:val="21"/>
        </w:rPr>
        <w:t xml:space="preserve">, </w:t>
      </w:r>
      <w:r w:rsidR="00C8131B" w:rsidRPr="00496C77">
        <w:rPr>
          <w:rFonts w:ascii="Arial" w:hAnsi="Arial"/>
          <w:sz w:val="21"/>
          <w:szCs w:val="21"/>
        </w:rPr>
        <w:t xml:space="preserve">and </w:t>
      </w:r>
      <w:r w:rsidR="00E818A4" w:rsidRPr="00496C77">
        <w:rPr>
          <w:rFonts w:ascii="Arial" w:hAnsi="Arial"/>
          <w:sz w:val="21"/>
          <w:szCs w:val="21"/>
        </w:rPr>
        <w:t>security</w:t>
      </w:r>
      <w:r w:rsidR="00B12747" w:rsidRPr="00496C77">
        <w:rPr>
          <w:rStyle w:val="FootnoteReference"/>
          <w:rFonts w:ascii="Arial" w:hAnsi="Arial"/>
          <w:sz w:val="21"/>
          <w:szCs w:val="21"/>
        </w:rPr>
        <w:footnoteReference w:id="10"/>
      </w:r>
      <w:r w:rsidR="00BA4E8C" w:rsidRPr="00496C77">
        <w:rPr>
          <w:rFonts w:ascii="Arial" w:hAnsi="Arial"/>
          <w:sz w:val="21"/>
          <w:szCs w:val="21"/>
        </w:rPr>
        <w:t xml:space="preserve">. </w:t>
      </w:r>
      <w:r w:rsidR="00F162DD" w:rsidRPr="00496C77">
        <w:rPr>
          <w:rFonts w:ascii="Arial" w:hAnsi="Arial"/>
          <w:sz w:val="21"/>
          <w:szCs w:val="21"/>
        </w:rPr>
        <w:t xml:space="preserve">Indicators </w:t>
      </w:r>
      <w:r w:rsidR="001035AE" w:rsidRPr="00496C77">
        <w:rPr>
          <w:rFonts w:ascii="Arial" w:hAnsi="Arial"/>
          <w:sz w:val="21"/>
          <w:szCs w:val="21"/>
        </w:rPr>
        <w:t xml:space="preserve">are presented in the </w:t>
      </w:r>
      <w:r w:rsidR="00C8131B" w:rsidRPr="00496C77">
        <w:rPr>
          <w:rFonts w:ascii="Arial" w:hAnsi="Arial"/>
          <w:sz w:val="21"/>
          <w:szCs w:val="21"/>
        </w:rPr>
        <w:t>following t</w:t>
      </w:r>
      <w:r w:rsidR="001035AE" w:rsidRPr="00496C77">
        <w:rPr>
          <w:rFonts w:ascii="Arial" w:hAnsi="Arial"/>
          <w:sz w:val="21"/>
          <w:szCs w:val="21"/>
        </w:rPr>
        <w:t>able</w:t>
      </w:r>
      <w:r w:rsidR="00C8131B" w:rsidRPr="00496C77">
        <w:rPr>
          <w:rFonts w:ascii="Arial" w:hAnsi="Arial"/>
          <w:sz w:val="21"/>
          <w:szCs w:val="21"/>
        </w:rPr>
        <w:t>:</w:t>
      </w:r>
      <w:r w:rsidR="001035AE" w:rsidRPr="00496C77">
        <w:rPr>
          <w:rFonts w:ascii="Arial" w:hAnsi="Arial"/>
          <w:sz w:val="21"/>
          <w:szCs w:val="21"/>
        </w:rPr>
        <w:t xml:space="preserve"> </w:t>
      </w:r>
    </w:p>
    <w:p w14:paraId="3889A9EA" w14:textId="77777777" w:rsidR="00496C77" w:rsidRDefault="00496C77" w:rsidP="00496C77">
      <w:pPr>
        <w:spacing w:after="240" w:line="360" w:lineRule="auto"/>
        <w:jc w:val="both"/>
        <w:rPr>
          <w:rFonts w:ascii="Arial" w:hAnsi="Arial"/>
          <w:sz w:val="21"/>
          <w:szCs w:val="21"/>
        </w:rPr>
      </w:pPr>
    </w:p>
    <w:p w14:paraId="14483A92" w14:textId="77777777" w:rsidR="00496C77" w:rsidRDefault="00496C77" w:rsidP="00496C77">
      <w:pPr>
        <w:spacing w:after="240" w:line="360" w:lineRule="auto"/>
        <w:jc w:val="both"/>
        <w:rPr>
          <w:rFonts w:ascii="Arial" w:hAnsi="Arial"/>
          <w:sz w:val="21"/>
          <w:szCs w:val="21"/>
        </w:rPr>
      </w:pPr>
    </w:p>
    <w:p w14:paraId="31FBAE3C" w14:textId="77777777" w:rsidR="00496C77" w:rsidRPr="00496C77" w:rsidRDefault="00496C77" w:rsidP="00496C77">
      <w:pPr>
        <w:spacing w:after="240" w:line="360" w:lineRule="auto"/>
        <w:jc w:val="both"/>
        <w:rPr>
          <w:rFonts w:ascii="Arial" w:hAnsi="Arial"/>
          <w:sz w:val="21"/>
          <w:szCs w:val="21"/>
        </w:rPr>
      </w:pPr>
    </w:p>
    <w:tbl>
      <w:tblPr>
        <w:tblStyle w:val="TableGrid"/>
        <w:tblW w:w="0" w:type="auto"/>
        <w:jc w:val="center"/>
        <w:tblCellMar>
          <w:top w:w="113" w:type="dxa"/>
          <w:bottom w:w="113" w:type="dxa"/>
        </w:tblCellMar>
        <w:tblLook w:val="00A0" w:firstRow="1" w:lastRow="0" w:firstColumn="1" w:lastColumn="0" w:noHBand="0" w:noVBand="0"/>
      </w:tblPr>
      <w:tblGrid>
        <w:gridCol w:w="9024"/>
      </w:tblGrid>
      <w:tr w:rsidR="001035AE" w:rsidRPr="00496C77" w14:paraId="447AF892" w14:textId="77777777">
        <w:trPr>
          <w:jc w:val="center"/>
        </w:trPr>
        <w:tc>
          <w:tcPr>
            <w:tcW w:w="9024" w:type="dxa"/>
            <w:shd w:val="clear" w:color="auto" w:fill="C6D9F1" w:themeFill="text2" w:themeFillTint="33"/>
          </w:tcPr>
          <w:p w14:paraId="1F57FA4F" w14:textId="77777777" w:rsidR="001035AE" w:rsidRPr="00496C77" w:rsidRDefault="001035AE" w:rsidP="00496C77">
            <w:pPr>
              <w:spacing w:line="360" w:lineRule="auto"/>
              <w:jc w:val="both"/>
              <w:rPr>
                <w:rFonts w:ascii="Arial" w:hAnsi="Arial"/>
                <w:b/>
                <w:sz w:val="21"/>
                <w:szCs w:val="21"/>
              </w:rPr>
            </w:pPr>
            <w:r w:rsidRPr="00496C77">
              <w:rPr>
                <w:rFonts w:ascii="Arial" w:hAnsi="Arial"/>
                <w:b/>
                <w:sz w:val="21"/>
                <w:szCs w:val="21"/>
              </w:rPr>
              <w:lastRenderedPageBreak/>
              <w:t>COVERAGE</w:t>
            </w:r>
          </w:p>
          <w:p w14:paraId="0D2A5942" w14:textId="77777777" w:rsidR="001035AE" w:rsidRPr="00496C77" w:rsidRDefault="001035AE" w:rsidP="00496C77">
            <w:pPr>
              <w:spacing w:line="360" w:lineRule="auto"/>
              <w:jc w:val="both"/>
              <w:rPr>
                <w:rFonts w:ascii="Arial" w:hAnsi="Arial"/>
                <w:sz w:val="21"/>
                <w:szCs w:val="21"/>
              </w:rPr>
            </w:pPr>
            <w:r w:rsidRPr="00496C77">
              <w:rPr>
                <w:rFonts w:ascii="Arial" w:hAnsi="Arial"/>
                <w:sz w:val="21"/>
                <w:szCs w:val="21"/>
              </w:rPr>
              <w:t xml:space="preserve">Coverage of workers </w:t>
            </w:r>
          </w:p>
          <w:p w14:paraId="2CAEE111" w14:textId="77777777" w:rsidR="001035AE" w:rsidRPr="00496C77" w:rsidRDefault="001035AE" w:rsidP="00496C77">
            <w:pPr>
              <w:spacing w:line="360" w:lineRule="auto"/>
              <w:jc w:val="both"/>
              <w:rPr>
                <w:rFonts w:ascii="Arial" w:hAnsi="Arial"/>
                <w:sz w:val="21"/>
                <w:szCs w:val="21"/>
              </w:rPr>
            </w:pPr>
            <w:r w:rsidRPr="00496C77">
              <w:rPr>
                <w:rFonts w:ascii="Arial" w:hAnsi="Arial"/>
                <w:sz w:val="21"/>
                <w:szCs w:val="21"/>
              </w:rPr>
              <w:t xml:space="preserve">Coverage of elderly </w:t>
            </w:r>
          </w:p>
          <w:p w14:paraId="4BFD0378" w14:textId="77777777" w:rsidR="001035AE" w:rsidRPr="00496C77" w:rsidRDefault="005E5DB2" w:rsidP="00496C77">
            <w:pPr>
              <w:spacing w:line="360" w:lineRule="auto"/>
              <w:jc w:val="both"/>
              <w:rPr>
                <w:rFonts w:ascii="Arial" w:hAnsi="Arial"/>
                <w:sz w:val="21"/>
                <w:szCs w:val="21"/>
              </w:rPr>
            </w:pPr>
            <w:r w:rsidRPr="00496C77">
              <w:rPr>
                <w:rFonts w:ascii="Arial" w:hAnsi="Arial"/>
                <w:sz w:val="21"/>
                <w:szCs w:val="21"/>
              </w:rPr>
              <w:t>Share of elderly households receiving pension transfers</w:t>
            </w:r>
          </w:p>
        </w:tc>
      </w:tr>
      <w:tr w:rsidR="001035AE" w:rsidRPr="00496C77" w14:paraId="6567410D" w14:textId="77777777">
        <w:trPr>
          <w:jc w:val="center"/>
        </w:trPr>
        <w:tc>
          <w:tcPr>
            <w:tcW w:w="9024" w:type="dxa"/>
          </w:tcPr>
          <w:p w14:paraId="3C9EDB0C" w14:textId="77777777" w:rsidR="005E5DB2" w:rsidRPr="00496C77" w:rsidRDefault="005E5DB2" w:rsidP="00496C77">
            <w:pPr>
              <w:pStyle w:val="NormalWeb"/>
              <w:spacing w:before="2" w:after="2" w:line="360" w:lineRule="auto"/>
              <w:rPr>
                <w:rFonts w:ascii="Arial" w:hAnsi="Arial"/>
                <w:sz w:val="21"/>
                <w:szCs w:val="21"/>
              </w:rPr>
            </w:pPr>
            <w:r w:rsidRPr="00496C77">
              <w:rPr>
                <w:rFonts w:ascii="Arial" w:hAnsi="Arial"/>
                <w:b/>
                <w:bCs/>
                <w:sz w:val="21"/>
                <w:szCs w:val="21"/>
              </w:rPr>
              <w:t xml:space="preserve">ADEQUACY </w:t>
            </w:r>
          </w:p>
          <w:p w14:paraId="35462551" w14:textId="77777777" w:rsidR="003D6DE7" w:rsidRPr="00496C77" w:rsidRDefault="003D6DE7" w:rsidP="00496C77">
            <w:pPr>
              <w:spacing w:line="360" w:lineRule="auto"/>
              <w:rPr>
                <w:rFonts w:ascii="Arial" w:hAnsi="Arial"/>
                <w:sz w:val="21"/>
                <w:szCs w:val="21"/>
              </w:rPr>
            </w:pPr>
            <w:r w:rsidRPr="00496C77">
              <w:rPr>
                <w:rFonts w:ascii="Arial" w:hAnsi="Arial"/>
                <w:sz w:val="21"/>
                <w:szCs w:val="21"/>
              </w:rPr>
              <w:t>Empirical replacement rates by gender</w:t>
            </w:r>
          </w:p>
          <w:p w14:paraId="5F12529D" w14:textId="77777777" w:rsidR="003D6DE7" w:rsidRPr="00496C77" w:rsidRDefault="003D6DE7" w:rsidP="00496C77">
            <w:pPr>
              <w:spacing w:line="360" w:lineRule="auto"/>
              <w:rPr>
                <w:rFonts w:ascii="Arial" w:hAnsi="Arial"/>
                <w:sz w:val="21"/>
                <w:szCs w:val="21"/>
              </w:rPr>
            </w:pPr>
            <w:r w:rsidRPr="00496C77">
              <w:rPr>
                <w:rFonts w:ascii="Arial" w:hAnsi="Arial"/>
                <w:sz w:val="21"/>
                <w:szCs w:val="21"/>
              </w:rPr>
              <w:t>Ratio of pension income to expenditures/incomes of elderly households</w:t>
            </w:r>
          </w:p>
          <w:p w14:paraId="5CF84818" w14:textId="77777777" w:rsidR="003D6DE7" w:rsidRPr="00496C77" w:rsidRDefault="003D6DE7" w:rsidP="00496C77">
            <w:pPr>
              <w:spacing w:line="360" w:lineRule="auto"/>
              <w:rPr>
                <w:rFonts w:ascii="Arial" w:hAnsi="Arial"/>
                <w:sz w:val="21"/>
                <w:szCs w:val="21"/>
              </w:rPr>
            </w:pPr>
            <w:r w:rsidRPr="00496C77">
              <w:rPr>
                <w:rFonts w:ascii="Arial" w:hAnsi="Arial"/>
                <w:sz w:val="21"/>
                <w:szCs w:val="21"/>
              </w:rPr>
              <w:t>Relative poverty of elderly (50% of median expenditure per capita)</w:t>
            </w:r>
          </w:p>
          <w:p w14:paraId="3BF2B29C" w14:textId="77777777" w:rsidR="003D6DE7" w:rsidRPr="00496C77" w:rsidRDefault="003D6DE7" w:rsidP="00496C77">
            <w:pPr>
              <w:spacing w:line="360" w:lineRule="auto"/>
              <w:rPr>
                <w:rFonts w:ascii="Arial" w:hAnsi="Arial"/>
                <w:sz w:val="21"/>
                <w:szCs w:val="21"/>
              </w:rPr>
            </w:pPr>
            <w:r w:rsidRPr="00496C77">
              <w:rPr>
                <w:rFonts w:ascii="Arial" w:hAnsi="Arial"/>
                <w:sz w:val="21"/>
                <w:szCs w:val="21"/>
              </w:rPr>
              <w:t>Relative consumption/income of elderly (% of non elderly consumption)</w:t>
            </w:r>
          </w:p>
          <w:p w14:paraId="68BAE81B" w14:textId="77777777" w:rsidR="001035AE" w:rsidRPr="00496C77" w:rsidRDefault="003D6DE7" w:rsidP="00496C77">
            <w:pPr>
              <w:spacing w:line="360" w:lineRule="auto"/>
              <w:rPr>
                <w:rFonts w:ascii="Arial" w:hAnsi="Arial"/>
                <w:sz w:val="21"/>
                <w:szCs w:val="21"/>
              </w:rPr>
            </w:pPr>
            <w:r w:rsidRPr="00496C77">
              <w:rPr>
                <w:rFonts w:ascii="Arial" w:hAnsi="Arial"/>
                <w:sz w:val="21"/>
                <w:szCs w:val="21"/>
              </w:rPr>
              <w:t>% of poverty gap reduced by pension transfers</w:t>
            </w:r>
          </w:p>
        </w:tc>
      </w:tr>
      <w:tr w:rsidR="001035AE" w:rsidRPr="00496C77" w14:paraId="5B802F5A" w14:textId="77777777">
        <w:trPr>
          <w:jc w:val="center"/>
        </w:trPr>
        <w:tc>
          <w:tcPr>
            <w:tcW w:w="9024" w:type="dxa"/>
            <w:shd w:val="clear" w:color="auto" w:fill="C6D9F1" w:themeFill="text2" w:themeFillTint="33"/>
          </w:tcPr>
          <w:p w14:paraId="4537897B" w14:textId="77777777" w:rsidR="00300F22" w:rsidRPr="00496C77" w:rsidRDefault="00300F22" w:rsidP="00496C77">
            <w:pPr>
              <w:pStyle w:val="NormalWeb"/>
              <w:spacing w:before="2" w:after="2" w:line="360" w:lineRule="auto"/>
              <w:rPr>
                <w:rFonts w:ascii="Arial" w:hAnsi="Arial"/>
                <w:sz w:val="21"/>
                <w:szCs w:val="21"/>
              </w:rPr>
            </w:pPr>
            <w:r w:rsidRPr="00496C77">
              <w:rPr>
                <w:rFonts w:ascii="Arial" w:hAnsi="Arial"/>
                <w:b/>
                <w:bCs/>
                <w:sz w:val="21"/>
                <w:szCs w:val="21"/>
              </w:rPr>
              <w:t xml:space="preserve">FINANCIAL SUSTAINABILITY </w:t>
            </w:r>
          </w:p>
          <w:p w14:paraId="7EA213E3" w14:textId="77777777" w:rsidR="009E6C37" w:rsidRPr="00496C77" w:rsidRDefault="00300F22" w:rsidP="00496C77">
            <w:pPr>
              <w:pStyle w:val="NormalWeb"/>
              <w:shd w:val="clear" w:color="auto" w:fill="C6D9F1" w:themeFill="text2" w:themeFillTint="33"/>
              <w:spacing w:before="2" w:after="2" w:line="360" w:lineRule="auto"/>
              <w:rPr>
                <w:rFonts w:ascii="Arial" w:hAnsi="Arial"/>
                <w:sz w:val="21"/>
                <w:szCs w:val="21"/>
              </w:rPr>
            </w:pPr>
            <w:r w:rsidRPr="00496C77">
              <w:rPr>
                <w:rFonts w:ascii="Arial" w:hAnsi="Arial"/>
                <w:sz w:val="21"/>
                <w:szCs w:val="21"/>
              </w:rPr>
              <w:t>Pension spending to GDP ratio, most recent year</w:t>
            </w:r>
          </w:p>
          <w:p w14:paraId="2AE1F45C" w14:textId="77777777" w:rsidR="009E6C37" w:rsidRPr="00496C77" w:rsidRDefault="00300F22" w:rsidP="00496C77">
            <w:pPr>
              <w:pStyle w:val="NormalWeb"/>
              <w:shd w:val="clear" w:color="auto" w:fill="C6D9F1" w:themeFill="text2" w:themeFillTint="33"/>
              <w:spacing w:before="2" w:after="2" w:line="360" w:lineRule="auto"/>
              <w:rPr>
                <w:rFonts w:ascii="Arial" w:hAnsi="Arial"/>
                <w:sz w:val="21"/>
                <w:szCs w:val="21"/>
              </w:rPr>
            </w:pPr>
            <w:r w:rsidRPr="00496C77">
              <w:rPr>
                <w:rFonts w:ascii="Arial" w:hAnsi="Arial"/>
                <w:sz w:val="21"/>
                <w:szCs w:val="21"/>
              </w:rPr>
              <w:t xml:space="preserve">Pension spending </w:t>
            </w:r>
            <w:r w:rsidR="00C42339" w:rsidRPr="00496C77">
              <w:rPr>
                <w:rFonts w:ascii="Arial" w:hAnsi="Arial"/>
                <w:sz w:val="21"/>
                <w:szCs w:val="21"/>
              </w:rPr>
              <w:t>as a share of government spending</w:t>
            </w:r>
          </w:p>
          <w:p w14:paraId="396841DE" w14:textId="77777777" w:rsidR="009E6C37" w:rsidRPr="00496C77" w:rsidRDefault="00300F22" w:rsidP="00496C77">
            <w:pPr>
              <w:pStyle w:val="NormalWeb"/>
              <w:shd w:val="clear" w:color="auto" w:fill="C6D9F1" w:themeFill="text2" w:themeFillTint="33"/>
              <w:spacing w:before="2" w:after="2" w:line="360" w:lineRule="auto"/>
              <w:rPr>
                <w:rFonts w:ascii="Arial" w:hAnsi="Arial"/>
                <w:sz w:val="21"/>
                <w:szCs w:val="21"/>
              </w:rPr>
            </w:pPr>
            <w:r w:rsidRPr="00496C77">
              <w:rPr>
                <w:rFonts w:ascii="Arial" w:hAnsi="Arial"/>
                <w:sz w:val="21"/>
                <w:szCs w:val="21"/>
              </w:rPr>
              <w:t>Unfunded pension liability (accrued to date minus reserves) as share of GDP and tax revenues</w:t>
            </w:r>
          </w:p>
          <w:p w14:paraId="6FB3B052" w14:textId="77777777" w:rsidR="001035AE" w:rsidRPr="00496C77" w:rsidRDefault="00300F22" w:rsidP="00496C77">
            <w:pPr>
              <w:pStyle w:val="NormalWeb"/>
              <w:shd w:val="clear" w:color="auto" w:fill="C6D9F1" w:themeFill="text2" w:themeFillTint="33"/>
              <w:spacing w:before="2" w:after="2" w:line="360" w:lineRule="auto"/>
              <w:rPr>
                <w:rFonts w:ascii="Arial" w:hAnsi="Arial"/>
                <w:sz w:val="21"/>
                <w:szCs w:val="21"/>
              </w:rPr>
            </w:pPr>
            <w:r w:rsidRPr="00496C77">
              <w:rPr>
                <w:rFonts w:ascii="Arial" w:hAnsi="Arial"/>
                <w:sz w:val="21"/>
                <w:szCs w:val="21"/>
              </w:rPr>
              <w:t xml:space="preserve">Net pension liability (net of assets and projected revenues) as share of GDP and tax revenues </w:t>
            </w:r>
          </w:p>
        </w:tc>
      </w:tr>
      <w:tr w:rsidR="001035AE" w:rsidRPr="00496C77" w14:paraId="502DB2DF" w14:textId="77777777">
        <w:trPr>
          <w:jc w:val="center"/>
        </w:trPr>
        <w:tc>
          <w:tcPr>
            <w:tcW w:w="9024" w:type="dxa"/>
          </w:tcPr>
          <w:p w14:paraId="5FA56962" w14:textId="77777777" w:rsidR="00300F22" w:rsidRPr="00496C77" w:rsidRDefault="00300F22" w:rsidP="00496C77">
            <w:pPr>
              <w:pStyle w:val="NormalWeb"/>
              <w:spacing w:before="2" w:after="2" w:line="360" w:lineRule="auto"/>
              <w:rPr>
                <w:rFonts w:ascii="Arial" w:hAnsi="Arial"/>
                <w:sz w:val="21"/>
                <w:szCs w:val="21"/>
              </w:rPr>
            </w:pPr>
            <w:r w:rsidRPr="00496C77">
              <w:rPr>
                <w:rFonts w:ascii="Arial" w:hAnsi="Arial"/>
                <w:b/>
                <w:bCs/>
                <w:sz w:val="21"/>
                <w:szCs w:val="21"/>
              </w:rPr>
              <w:t xml:space="preserve">ECONOMIC EFFICIENCY </w:t>
            </w:r>
          </w:p>
          <w:p w14:paraId="67C8BEB3" w14:textId="77777777" w:rsidR="009E6C37" w:rsidRPr="00496C77" w:rsidRDefault="00300F22" w:rsidP="00496C77">
            <w:pPr>
              <w:pStyle w:val="NormalWeb"/>
              <w:spacing w:before="2" w:after="2" w:line="360" w:lineRule="auto"/>
              <w:rPr>
                <w:rFonts w:ascii="Arial" w:hAnsi="Arial"/>
                <w:sz w:val="21"/>
                <w:szCs w:val="21"/>
              </w:rPr>
            </w:pPr>
            <w:r w:rsidRPr="00496C77">
              <w:rPr>
                <w:rFonts w:ascii="Arial" w:hAnsi="Arial"/>
                <w:sz w:val="21"/>
                <w:szCs w:val="21"/>
              </w:rPr>
              <w:t>Average effective retirement age</w:t>
            </w:r>
          </w:p>
          <w:p w14:paraId="1B48BAA9" w14:textId="77777777" w:rsidR="001035AE" w:rsidRPr="00496C77" w:rsidRDefault="00300F22" w:rsidP="00496C77">
            <w:pPr>
              <w:pStyle w:val="NormalWeb"/>
              <w:spacing w:before="2" w:after="2" w:line="360" w:lineRule="auto"/>
              <w:rPr>
                <w:rFonts w:ascii="Arial" w:hAnsi="Arial"/>
                <w:sz w:val="21"/>
                <w:szCs w:val="21"/>
              </w:rPr>
            </w:pPr>
            <w:r w:rsidRPr="00496C77">
              <w:rPr>
                <w:rFonts w:ascii="Arial" w:hAnsi="Arial"/>
                <w:sz w:val="21"/>
                <w:szCs w:val="21"/>
              </w:rPr>
              <w:t xml:space="preserve">Tax wedge (income tax, employee and employer social security contributions, % of gross labor costs) </w:t>
            </w:r>
          </w:p>
        </w:tc>
      </w:tr>
      <w:tr w:rsidR="001035AE" w:rsidRPr="00496C77" w14:paraId="72BD2650" w14:textId="77777777">
        <w:trPr>
          <w:jc w:val="center"/>
        </w:trPr>
        <w:tc>
          <w:tcPr>
            <w:tcW w:w="9024" w:type="dxa"/>
            <w:shd w:val="clear" w:color="auto" w:fill="C6D9F1" w:themeFill="text2" w:themeFillTint="33"/>
          </w:tcPr>
          <w:p w14:paraId="0433E7D0" w14:textId="77777777" w:rsidR="00300F22" w:rsidRPr="00496C77" w:rsidRDefault="00300F22" w:rsidP="00496C77">
            <w:pPr>
              <w:pStyle w:val="NormalWeb"/>
              <w:shd w:val="clear" w:color="auto" w:fill="C6D9F1" w:themeFill="text2" w:themeFillTint="33"/>
              <w:spacing w:before="2" w:after="2" w:line="360" w:lineRule="auto"/>
              <w:rPr>
                <w:rFonts w:ascii="Arial" w:hAnsi="Arial"/>
                <w:sz w:val="21"/>
                <w:szCs w:val="21"/>
              </w:rPr>
            </w:pPr>
            <w:r w:rsidRPr="00496C77">
              <w:rPr>
                <w:rFonts w:ascii="Arial" w:hAnsi="Arial"/>
                <w:b/>
                <w:bCs/>
                <w:sz w:val="21"/>
                <w:szCs w:val="21"/>
              </w:rPr>
              <w:t xml:space="preserve">ADMINISTRATIVE EFFICIENCY </w:t>
            </w:r>
          </w:p>
          <w:p w14:paraId="5650BF06" w14:textId="77777777" w:rsidR="001035AE" w:rsidRPr="00496C77" w:rsidRDefault="00300F22" w:rsidP="00496C77">
            <w:pPr>
              <w:pStyle w:val="NormalWeb"/>
              <w:shd w:val="clear" w:color="auto" w:fill="C6D9F1" w:themeFill="text2" w:themeFillTint="33"/>
              <w:spacing w:before="2" w:after="2" w:line="360" w:lineRule="auto"/>
              <w:rPr>
                <w:rFonts w:ascii="Arial" w:hAnsi="Arial"/>
                <w:sz w:val="21"/>
                <w:szCs w:val="21"/>
              </w:rPr>
            </w:pPr>
            <w:r w:rsidRPr="00496C77">
              <w:rPr>
                <w:rFonts w:ascii="Arial" w:hAnsi="Arial"/>
                <w:sz w:val="21"/>
                <w:szCs w:val="21"/>
              </w:rPr>
              <w:t xml:space="preserve">Administrative costs of public scheme (normalized to benchmark) </w:t>
            </w:r>
          </w:p>
        </w:tc>
      </w:tr>
    </w:tbl>
    <w:p w14:paraId="5D73C2CC" w14:textId="77777777" w:rsidR="00583A6C" w:rsidRPr="00496C77" w:rsidRDefault="000F7BB1" w:rsidP="00496C77">
      <w:pPr>
        <w:spacing w:after="480" w:line="360" w:lineRule="auto"/>
        <w:jc w:val="both"/>
        <w:rPr>
          <w:rFonts w:ascii="Arial" w:hAnsi="Arial"/>
          <w:sz w:val="21"/>
          <w:szCs w:val="21"/>
        </w:rPr>
      </w:pPr>
      <w:r w:rsidRPr="00496C77">
        <w:rPr>
          <w:rFonts w:ascii="Arial" w:hAnsi="Arial"/>
          <w:sz w:val="21"/>
          <w:szCs w:val="21"/>
        </w:rPr>
        <w:t>Source: Pallares-Miralles et. al (2012:</w:t>
      </w:r>
      <w:r w:rsidR="0067746E" w:rsidRPr="00496C77">
        <w:rPr>
          <w:rFonts w:ascii="Arial" w:hAnsi="Arial"/>
          <w:sz w:val="21"/>
          <w:szCs w:val="21"/>
        </w:rPr>
        <w:t xml:space="preserve"> 72)</w:t>
      </w:r>
      <w:r w:rsidR="003A0204" w:rsidRPr="00496C77">
        <w:rPr>
          <w:rFonts w:ascii="Arial" w:hAnsi="Arial"/>
          <w:sz w:val="21"/>
          <w:szCs w:val="21"/>
        </w:rPr>
        <w:t>,</w:t>
      </w:r>
      <w:r w:rsidR="00C42339" w:rsidRPr="00496C77">
        <w:rPr>
          <w:rFonts w:ascii="Arial" w:hAnsi="Arial"/>
          <w:sz w:val="21"/>
          <w:szCs w:val="21"/>
        </w:rPr>
        <w:t xml:space="preserve"> slightly corrected</w:t>
      </w:r>
      <w:r w:rsidR="003A0204" w:rsidRPr="00496C77">
        <w:rPr>
          <w:rFonts w:ascii="Arial" w:hAnsi="Arial"/>
          <w:sz w:val="21"/>
          <w:szCs w:val="21"/>
        </w:rPr>
        <w:t>.</w:t>
      </w:r>
    </w:p>
    <w:p w14:paraId="3D04F024" w14:textId="77777777" w:rsidR="00EA5535" w:rsidRPr="00496C77" w:rsidRDefault="001047A6" w:rsidP="00496C77">
      <w:pPr>
        <w:spacing w:after="240" w:line="360" w:lineRule="auto"/>
        <w:jc w:val="both"/>
        <w:rPr>
          <w:rFonts w:ascii="Arial" w:hAnsi="Arial"/>
          <w:sz w:val="21"/>
          <w:szCs w:val="21"/>
        </w:rPr>
      </w:pPr>
      <w:r w:rsidRPr="00496C77">
        <w:rPr>
          <w:rFonts w:ascii="Arial" w:hAnsi="Arial"/>
          <w:sz w:val="21"/>
          <w:szCs w:val="21"/>
        </w:rPr>
        <w:t>OECD</w:t>
      </w:r>
      <w:r w:rsidRPr="00496C77">
        <w:rPr>
          <w:rFonts w:ascii="Arial" w:hAnsi="Arial"/>
          <w:i/>
          <w:sz w:val="21"/>
          <w:szCs w:val="21"/>
        </w:rPr>
        <w:t xml:space="preserve"> </w:t>
      </w:r>
      <w:r w:rsidRPr="00496C77">
        <w:rPr>
          <w:rFonts w:ascii="Arial" w:hAnsi="Arial"/>
          <w:sz w:val="21"/>
          <w:szCs w:val="21"/>
        </w:rPr>
        <w:t xml:space="preserve">has developed </w:t>
      </w:r>
      <w:r w:rsidR="00000099" w:rsidRPr="00496C77">
        <w:rPr>
          <w:rFonts w:ascii="Arial" w:hAnsi="Arial"/>
          <w:sz w:val="21"/>
          <w:szCs w:val="21"/>
        </w:rPr>
        <w:t>a set of</w:t>
      </w:r>
      <w:r w:rsidR="003877C7" w:rsidRPr="00496C77">
        <w:rPr>
          <w:rFonts w:ascii="Arial" w:hAnsi="Arial"/>
          <w:sz w:val="21"/>
          <w:szCs w:val="21"/>
        </w:rPr>
        <w:t xml:space="preserve"> pension</w:t>
      </w:r>
      <w:r w:rsidR="00000099" w:rsidRPr="00496C77">
        <w:rPr>
          <w:rFonts w:ascii="Arial" w:hAnsi="Arial"/>
          <w:sz w:val="21"/>
          <w:szCs w:val="21"/>
        </w:rPr>
        <w:t xml:space="preserve"> indicators that </w:t>
      </w:r>
      <w:r w:rsidR="003877C7" w:rsidRPr="00496C77">
        <w:rPr>
          <w:rFonts w:ascii="Arial" w:hAnsi="Arial"/>
          <w:sz w:val="21"/>
          <w:szCs w:val="21"/>
        </w:rPr>
        <w:t xml:space="preserve">are biannually published and analyzed </w:t>
      </w:r>
      <w:r w:rsidR="00000099" w:rsidRPr="00496C77">
        <w:rPr>
          <w:rFonts w:ascii="Arial" w:hAnsi="Arial"/>
          <w:sz w:val="21"/>
          <w:szCs w:val="21"/>
        </w:rPr>
        <w:t>in</w:t>
      </w:r>
      <w:r w:rsidR="007C0042" w:rsidRPr="00496C77">
        <w:rPr>
          <w:rFonts w:ascii="Arial" w:hAnsi="Arial"/>
          <w:sz w:val="21"/>
          <w:szCs w:val="21"/>
        </w:rPr>
        <w:t xml:space="preserve"> its</w:t>
      </w:r>
      <w:r w:rsidR="003877C7" w:rsidRPr="00496C77">
        <w:rPr>
          <w:rFonts w:ascii="Arial" w:hAnsi="Arial"/>
          <w:sz w:val="21"/>
          <w:szCs w:val="21"/>
        </w:rPr>
        <w:t xml:space="preserve"> publication Pension at Glance. </w:t>
      </w:r>
      <w:r w:rsidR="005C7A02" w:rsidRPr="00496C77">
        <w:rPr>
          <w:rFonts w:ascii="Arial" w:hAnsi="Arial"/>
          <w:sz w:val="21"/>
          <w:szCs w:val="21"/>
        </w:rPr>
        <w:t>Many of the OECD indicators, particularly pension design indicators</w:t>
      </w:r>
      <w:r w:rsidR="00632456" w:rsidRPr="00496C77">
        <w:rPr>
          <w:rFonts w:ascii="Arial" w:hAnsi="Arial"/>
          <w:sz w:val="21"/>
          <w:szCs w:val="21"/>
        </w:rPr>
        <w:t>,</w:t>
      </w:r>
      <w:r w:rsidR="005C7A02" w:rsidRPr="00496C77">
        <w:rPr>
          <w:rFonts w:ascii="Arial" w:hAnsi="Arial"/>
          <w:sz w:val="21"/>
          <w:szCs w:val="21"/>
        </w:rPr>
        <w:t xml:space="preserve"> are incorporated in the previously described W</w:t>
      </w:r>
      <w:r w:rsidR="00632456" w:rsidRPr="00496C77">
        <w:rPr>
          <w:rFonts w:ascii="Arial" w:hAnsi="Arial"/>
          <w:sz w:val="21"/>
          <w:szCs w:val="21"/>
        </w:rPr>
        <w:t xml:space="preserve">orld </w:t>
      </w:r>
      <w:r w:rsidR="005C7A02" w:rsidRPr="00496C77">
        <w:rPr>
          <w:rFonts w:ascii="Arial" w:hAnsi="Arial"/>
          <w:sz w:val="21"/>
          <w:szCs w:val="21"/>
        </w:rPr>
        <w:t>B</w:t>
      </w:r>
      <w:r w:rsidR="00632456" w:rsidRPr="00496C77">
        <w:rPr>
          <w:rFonts w:ascii="Arial" w:hAnsi="Arial"/>
          <w:sz w:val="21"/>
          <w:szCs w:val="21"/>
        </w:rPr>
        <w:t>ank</w:t>
      </w:r>
      <w:r w:rsidR="005C7A02" w:rsidRPr="00496C77">
        <w:rPr>
          <w:rFonts w:ascii="Arial" w:hAnsi="Arial"/>
          <w:sz w:val="21"/>
          <w:szCs w:val="21"/>
        </w:rPr>
        <w:t xml:space="preserve"> indicator base. </w:t>
      </w:r>
      <w:r w:rsidRPr="00496C77">
        <w:rPr>
          <w:rFonts w:ascii="Arial" w:hAnsi="Arial"/>
          <w:sz w:val="21"/>
          <w:szCs w:val="21"/>
        </w:rPr>
        <w:t xml:space="preserve">Indicators are grouped into 5 categories, the first one dubbed </w:t>
      </w:r>
      <w:r w:rsidRPr="00496C77">
        <w:rPr>
          <w:rFonts w:ascii="Arial" w:hAnsi="Arial"/>
          <w:b/>
          <w:sz w:val="21"/>
          <w:szCs w:val="21"/>
        </w:rPr>
        <w:t>pension entitlements</w:t>
      </w:r>
      <w:r w:rsidRPr="00496C77">
        <w:rPr>
          <w:rFonts w:ascii="Arial" w:hAnsi="Arial"/>
          <w:i/>
          <w:sz w:val="21"/>
          <w:szCs w:val="21"/>
        </w:rPr>
        <w:t xml:space="preserve"> </w:t>
      </w:r>
      <w:r w:rsidR="00F928EE" w:rsidRPr="00496C77">
        <w:rPr>
          <w:rFonts w:ascii="Arial" w:hAnsi="Arial"/>
          <w:sz w:val="21"/>
          <w:szCs w:val="21"/>
        </w:rPr>
        <w:t>being</w:t>
      </w:r>
      <w:r w:rsidR="00000099" w:rsidRPr="00496C77">
        <w:rPr>
          <w:rFonts w:ascii="Arial" w:hAnsi="Arial"/>
          <w:sz w:val="21"/>
          <w:szCs w:val="21"/>
        </w:rPr>
        <w:t xml:space="preserve"> </w:t>
      </w:r>
      <w:r w:rsidR="00C378F3" w:rsidRPr="00496C77">
        <w:rPr>
          <w:rFonts w:ascii="Arial" w:hAnsi="Arial"/>
          <w:sz w:val="21"/>
          <w:szCs w:val="21"/>
        </w:rPr>
        <w:t xml:space="preserve">design </w:t>
      </w:r>
      <w:r w:rsidR="00451EBE" w:rsidRPr="00496C77">
        <w:rPr>
          <w:rFonts w:ascii="Arial" w:hAnsi="Arial"/>
          <w:sz w:val="21"/>
          <w:szCs w:val="21"/>
        </w:rPr>
        <w:t>indicators. This group of indicators provides perhaps the most comprehensive insight of the design of a</w:t>
      </w:r>
      <w:r w:rsidR="00F928EE" w:rsidRPr="00496C77">
        <w:rPr>
          <w:rFonts w:ascii="Arial" w:hAnsi="Arial"/>
          <w:sz w:val="21"/>
          <w:szCs w:val="21"/>
        </w:rPr>
        <w:t xml:space="preserve">ny </w:t>
      </w:r>
      <w:r w:rsidR="00632456" w:rsidRPr="00496C77">
        <w:rPr>
          <w:rFonts w:ascii="Arial" w:hAnsi="Arial"/>
          <w:sz w:val="21"/>
          <w:szCs w:val="21"/>
        </w:rPr>
        <w:t>elaborated</w:t>
      </w:r>
      <w:r w:rsidR="00451EBE" w:rsidRPr="00496C77">
        <w:rPr>
          <w:rFonts w:ascii="Arial" w:hAnsi="Arial"/>
          <w:sz w:val="21"/>
          <w:szCs w:val="21"/>
        </w:rPr>
        <w:t xml:space="preserve"> pension system. </w:t>
      </w:r>
    </w:p>
    <w:p w14:paraId="017D5B5D" w14:textId="77777777" w:rsidR="00D4487B" w:rsidRPr="00496C77" w:rsidRDefault="008E6665" w:rsidP="00496C77">
      <w:pPr>
        <w:spacing w:after="240" w:line="360" w:lineRule="auto"/>
        <w:jc w:val="both"/>
        <w:rPr>
          <w:rFonts w:ascii="Arial" w:hAnsi="Arial"/>
          <w:sz w:val="21"/>
          <w:szCs w:val="21"/>
        </w:rPr>
      </w:pPr>
      <w:r w:rsidRPr="00496C77">
        <w:rPr>
          <w:rFonts w:ascii="Arial" w:hAnsi="Arial"/>
          <w:sz w:val="21"/>
          <w:szCs w:val="21"/>
        </w:rPr>
        <w:t>Very</w:t>
      </w:r>
      <w:r w:rsidR="00C8484E" w:rsidRPr="00496C77">
        <w:rPr>
          <w:rFonts w:ascii="Arial" w:hAnsi="Arial"/>
          <w:sz w:val="21"/>
          <w:szCs w:val="21"/>
        </w:rPr>
        <w:t xml:space="preserve"> important indicator</w:t>
      </w:r>
      <w:r w:rsidRPr="00496C77">
        <w:rPr>
          <w:rFonts w:ascii="Arial" w:hAnsi="Arial"/>
          <w:sz w:val="21"/>
          <w:szCs w:val="21"/>
        </w:rPr>
        <w:t xml:space="preserve"> in the group of pension entitlements</w:t>
      </w:r>
      <w:r w:rsidR="00C8484E" w:rsidRPr="00496C77">
        <w:rPr>
          <w:rFonts w:ascii="Arial" w:hAnsi="Arial"/>
          <w:sz w:val="21"/>
          <w:szCs w:val="21"/>
        </w:rPr>
        <w:t xml:space="preserve"> is</w:t>
      </w:r>
      <w:r w:rsidR="00932388" w:rsidRPr="00496C77">
        <w:rPr>
          <w:rFonts w:ascii="Arial" w:hAnsi="Arial"/>
          <w:sz w:val="21"/>
          <w:szCs w:val="21"/>
        </w:rPr>
        <w:t xml:space="preserve"> </w:t>
      </w:r>
      <w:r w:rsidR="00F928EE" w:rsidRPr="00496C77">
        <w:rPr>
          <w:rFonts w:ascii="Arial" w:hAnsi="Arial"/>
          <w:b/>
          <w:sz w:val="21"/>
          <w:szCs w:val="21"/>
        </w:rPr>
        <w:t>replace</w:t>
      </w:r>
      <w:r w:rsidR="009B2ED0" w:rsidRPr="00496C77">
        <w:rPr>
          <w:rFonts w:ascii="Arial" w:hAnsi="Arial"/>
          <w:b/>
          <w:sz w:val="21"/>
          <w:szCs w:val="21"/>
        </w:rPr>
        <w:t>ment rate (gross and net)</w:t>
      </w:r>
      <w:r w:rsidR="00932388" w:rsidRPr="00496C77">
        <w:rPr>
          <w:rFonts w:ascii="Arial" w:hAnsi="Arial"/>
          <w:sz w:val="21"/>
          <w:szCs w:val="21"/>
        </w:rPr>
        <w:t xml:space="preserve"> defined as the ratio of the pension benefit as a share of individual lifetime-average earnings.</w:t>
      </w:r>
      <w:r w:rsidR="00932388" w:rsidRPr="00496C77">
        <w:rPr>
          <w:rStyle w:val="FootnoteReference"/>
          <w:rFonts w:ascii="Arial" w:hAnsi="Arial"/>
          <w:sz w:val="21"/>
          <w:szCs w:val="21"/>
        </w:rPr>
        <w:footnoteReference w:id="11"/>
      </w:r>
      <w:r w:rsidR="00932388" w:rsidRPr="00496C77">
        <w:rPr>
          <w:rFonts w:ascii="Arial" w:hAnsi="Arial"/>
          <w:sz w:val="21"/>
          <w:szCs w:val="21"/>
        </w:rPr>
        <w:t xml:space="preserve"> Only </w:t>
      </w:r>
      <w:r w:rsidR="00932388" w:rsidRPr="00496C77">
        <w:rPr>
          <w:rFonts w:ascii="Arial" w:hAnsi="Arial"/>
          <w:b/>
          <w:sz w:val="21"/>
          <w:szCs w:val="21"/>
        </w:rPr>
        <w:lastRenderedPageBreak/>
        <w:t>prospective</w:t>
      </w:r>
      <w:r w:rsidR="00932388" w:rsidRPr="00496C77">
        <w:rPr>
          <w:rFonts w:ascii="Arial" w:hAnsi="Arial"/>
          <w:i/>
          <w:sz w:val="21"/>
          <w:szCs w:val="21"/>
        </w:rPr>
        <w:t xml:space="preserve"> </w:t>
      </w:r>
      <w:r w:rsidR="00932388" w:rsidRPr="00496C77">
        <w:rPr>
          <w:rFonts w:ascii="Arial" w:hAnsi="Arial"/>
          <w:b/>
          <w:sz w:val="21"/>
          <w:szCs w:val="21"/>
        </w:rPr>
        <w:t xml:space="preserve">(expected) </w:t>
      </w:r>
      <w:r w:rsidR="007D073F" w:rsidRPr="00496C77">
        <w:rPr>
          <w:rFonts w:ascii="Arial" w:hAnsi="Arial"/>
          <w:b/>
          <w:sz w:val="21"/>
          <w:szCs w:val="21"/>
        </w:rPr>
        <w:t xml:space="preserve">replacement rates </w:t>
      </w:r>
      <w:r w:rsidR="00932388" w:rsidRPr="00496C77">
        <w:rPr>
          <w:rFonts w:ascii="Arial" w:hAnsi="Arial"/>
          <w:sz w:val="21"/>
          <w:szCs w:val="21"/>
        </w:rPr>
        <w:t xml:space="preserve">are calculated by the OECD reflecting future entitlements under today’s parameters and rules, for current workers just entering the </w:t>
      </w:r>
      <w:r w:rsidR="00946AA1" w:rsidRPr="00496C77">
        <w:rPr>
          <w:rFonts w:ascii="Arial" w:hAnsi="Arial"/>
          <w:sz w:val="21"/>
          <w:szCs w:val="21"/>
        </w:rPr>
        <w:t>labor</w:t>
      </w:r>
      <w:r w:rsidR="00932388" w:rsidRPr="00496C77">
        <w:rPr>
          <w:rFonts w:ascii="Arial" w:hAnsi="Arial"/>
          <w:sz w:val="21"/>
          <w:szCs w:val="21"/>
        </w:rPr>
        <w:t xml:space="preserve"> market at the age of 20, and retiring after a full career i.e. at the statutory retirement age. Since the statutory retirement age varies across countries, the length of full career varies as well (40 years for retirement at 60; 45 years for retirement at 65), though in most cases it is 45 years of service</w:t>
      </w:r>
      <w:r w:rsidR="007D073F" w:rsidRPr="00496C77">
        <w:rPr>
          <w:rStyle w:val="FootnoteReference"/>
          <w:rFonts w:ascii="Arial" w:hAnsi="Arial"/>
          <w:sz w:val="21"/>
          <w:szCs w:val="21"/>
        </w:rPr>
        <w:footnoteReference w:id="12"/>
      </w:r>
      <w:r w:rsidR="00932388" w:rsidRPr="00496C77">
        <w:rPr>
          <w:rFonts w:ascii="Arial" w:hAnsi="Arial"/>
          <w:sz w:val="21"/>
          <w:szCs w:val="21"/>
        </w:rPr>
        <w:t xml:space="preserve">. Additionally to the single average earner, </w:t>
      </w:r>
      <w:r w:rsidR="007D073F" w:rsidRPr="00496C77">
        <w:rPr>
          <w:rFonts w:ascii="Arial" w:hAnsi="Arial"/>
          <w:sz w:val="21"/>
          <w:szCs w:val="21"/>
        </w:rPr>
        <w:t>replacement rates</w:t>
      </w:r>
      <w:r w:rsidR="007D073F" w:rsidRPr="00496C77">
        <w:rPr>
          <w:rFonts w:ascii="Arial" w:hAnsi="Arial"/>
          <w:b/>
          <w:sz w:val="21"/>
          <w:szCs w:val="21"/>
        </w:rPr>
        <w:t xml:space="preserve"> </w:t>
      </w:r>
      <w:r w:rsidR="007D073F" w:rsidRPr="00496C77">
        <w:rPr>
          <w:rFonts w:ascii="Arial" w:hAnsi="Arial"/>
          <w:sz w:val="21"/>
          <w:szCs w:val="21"/>
        </w:rPr>
        <w:t xml:space="preserve">calculated </w:t>
      </w:r>
      <w:r w:rsidR="00932388" w:rsidRPr="00496C77">
        <w:rPr>
          <w:rFonts w:ascii="Arial" w:hAnsi="Arial"/>
          <w:sz w:val="21"/>
          <w:szCs w:val="21"/>
        </w:rPr>
        <w:t xml:space="preserve">for various earning levels </w:t>
      </w:r>
      <w:r w:rsidR="007D073F" w:rsidRPr="00496C77">
        <w:rPr>
          <w:rFonts w:ascii="Arial" w:hAnsi="Arial"/>
          <w:sz w:val="21"/>
          <w:szCs w:val="21"/>
        </w:rPr>
        <w:t xml:space="preserve">– </w:t>
      </w:r>
      <w:r w:rsidR="00932388" w:rsidRPr="00496C77">
        <w:rPr>
          <w:rFonts w:ascii="Arial" w:hAnsi="Arial"/>
          <w:sz w:val="21"/>
          <w:szCs w:val="21"/>
        </w:rPr>
        <w:t>at 0.5, 0.75, 1.5 and 2</w:t>
      </w:r>
      <w:r w:rsidR="005653BA" w:rsidRPr="00496C77">
        <w:rPr>
          <w:rFonts w:ascii="Arial" w:hAnsi="Arial"/>
          <w:sz w:val="21"/>
          <w:szCs w:val="21"/>
        </w:rPr>
        <w:t xml:space="preserve"> times average (mean) earnings.</w:t>
      </w:r>
      <w:r w:rsidR="006F38CA" w:rsidRPr="00496C77">
        <w:rPr>
          <w:rFonts w:ascii="Arial" w:hAnsi="Arial"/>
          <w:sz w:val="21"/>
          <w:szCs w:val="21"/>
        </w:rPr>
        <w:t xml:space="preserve"> In the latest edition of Pension at Glance</w:t>
      </w:r>
      <w:r w:rsidR="007D073F" w:rsidRPr="00496C77">
        <w:rPr>
          <w:rFonts w:ascii="Arial" w:hAnsi="Arial"/>
          <w:sz w:val="21"/>
          <w:szCs w:val="21"/>
        </w:rPr>
        <w:t>,</w:t>
      </w:r>
      <w:r w:rsidR="006F38CA" w:rsidRPr="00496C77">
        <w:rPr>
          <w:rFonts w:ascii="Arial" w:hAnsi="Arial"/>
          <w:sz w:val="21"/>
          <w:szCs w:val="21"/>
        </w:rPr>
        <w:t xml:space="preserve"> it is calculated only for three hypothetical types of earners. Replacement rates include all mandatory pension schemes for private sector workers, regardless of whether they are public or private. This includes mandatory private personal DC pensions, recently introduced in some countries (such as Hungary, Sweden, </w:t>
      </w:r>
      <w:r w:rsidR="007D073F" w:rsidRPr="00496C77">
        <w:rPr>
          <w:rFonts w:ascii="Arial" w:hAnsi="Arial"/>
          <w:sz w:val="21"/>
          <w:szCs w:val="21"/>
        </w:rPr>
        <w:t>Poland</w:t>
      </w:r>
      <w:r w:rsidR="006F38CA" w:rsidRPr="00496C77">
        <w:rPr>
          <w:rFonts w:ascii="Arial" w:hAnsi="Arial"/>
          <w:sz w:val="21"/>
          <w:szCs w:val="21"/>
        </w:rPr>
        <w:t xml:space="preserve"> etc.). This is equivalent to 1</w:t>
      </w:r>
      <w:r w:rsidR="007D073F" w:rsidRPr="00496C77">
        <w:rPr>
          <w:rFonts w:ascii="Arial" w:hAnsi="Arial"/>
          <w:sz w:val="21"/>
          <w:szCs w:val="21"/>
          <w:vertAlign w:val="superscript"/>
        </w:rPr>
        <w:t>st</w:t>
      </w:r>
      <w:r w:rsidR="006F38CA" w:rsidRPr="00496C77">
        <w:rPr>
          <w:rFonts w:ascii="Arial" w:hAnsi="Arial"/>
          <w:sz w:val="21"/>
          <w:szCs w:val="21"/>
        </w:rPr>
        <w:t xml:space="preserve"> pillar in EC-ISG terminology. Systems with near-universal coverage are also included</w:t>
      </w:r>
      <w:r w:rsidR="007D073F" w:rsidRPr="00496C77">
        <w:rPr>
          <w:rFonts w:ascii="Arial" w:hAnsi="Arial"/>
          <w:sz w:val="21"/>
          <w:szCs w:val="21"/>
        </w:rPr>
        <w:t xml:space="preserve"> and </w:t>
      </w:r>
      <w:r w:rsidR="006F38CA" w:rsidRPr="00496C77">
        <w:rPr>
          <w:rFonts w:ascii="Arial" w:hAnsi="Arial"/>
          <w:sz w:val="21"/>
          <w:szCs w:val="21"/>
        </w:rPr>
        <w:t xml:space="preserve">they cover at least 90% of employees. For example, such a degree of coverage of occupational plans is achieved through </w:t>
      </w:r>
      <w:r w:rsidR="007D073F" w:rsidRPr="00496C77">
        <w:rPr>
          <w:rFonts w:ascii="Arial" w:hAnsi="Arial"/>
          <w:sz w:val="21"/>
          <w:szCs w:val="21"/>
        </w:rPr>
        <w:t>centralized</w:t>
      </w:r>
      <w:r w:rsidR="006F38CA" w:rsidRPr="00496C77">
        <w:rPr>
          <w:rFonts w:ascii="Arial" w:hAnsi="Arial"/>
          <w:sz w:val="21"/>
          <w:szCs w:val="21"/>
        </w:rPr>
        <w:t xml:space="preserve"> collective bargaining in the Netherlands and Sweden. In Canada, Denmark, the United Kingdom and the United States, there is a broad coverage of voluntary occupational pensions and these play an important role in providing retirement incomes. However, coverage is significantly below 90%, so they have not been included in t</w:t>
      </w:r>
      <w:r w:rsidR="00D94B3B" w:rsidRPr="00496C77">
        <w:rPr>
          <w:rFonts w:ascii="Arial" w:hAnsi="Arial"/>
          <w:sz w:val="21"/>
          <w:szCs w:val="21"/>
        </w:rPr>
        <w:t xml:space="preserve">he </w:t>
      </w:r>
      <w:r w:rsidR="007D073F" w:rsidRPr="00496C77">
        <w:rPr>
          <w:rFonts w:ascii="Arial" w:hAnsi="Arial"/>
          <w:sz w:val="21"/>
          <w:szCs w:val="21"/>
        </w:rPr>
        <w:t>main results (OECD, 2005)</w:t>
      </w:r>
      <w:r w:rsidR="00D94B3B" w:rsidRPr="00496C77">
        <w:rPr>
          <w:rFonts w:ascii="Arial" w:hAnsi="Arial"/>
          <w:sz w:val="21"/>
          <w:szCs w:val="21"/>
        </w:rPr>
        <w:t xml:space="preserve">. </w:t>
      </w:r>
      <w:r w:rsidR="00BC6FA4" w:rsidRPr="00496C77">
        <w:rPr>
          <w:rFonts w:ascii="Arial" w:hAnsi="Arial"/>
          <w:sz w:val="21"/>
          <w:szCs w:val="21"/>
        </w:rPr>
        <w:t>I</w:t>
      </w:r>
      <w:r w:rsidR="006F38CA" w:rsidRPr="00496C77">
        <w:rPr>
          <w:rFonts w:ascii="Arial" w:hAnsi="Arial"/>
          <w:sz w:val="21"/>
          <w:szCs w:val="21"/>
        </w:rPr>
        <w:t>n more recent years</w:t>
      </w:r>
      <w:r w:rsidR="007D073F" w:rsidRPr="00496C77">
        <w:rPr>
          <w:rFonts w:ascii="Arial" w:hAnsi="Arial"/>
          <w:sz w:val="21"/>
          <w:szCs w:val="21"/>
        </w:rPr>
        <w:t>,</w:t>
      </w:r>
      <w:r w:rsidR="006F38CA" w:rsidRPr="00496C77">
        <w:rPr>
          <w:rFonts w:ascii="Arial" w:hAnsi="Arial"/>
          <w:sz w:val="21"/>
          <w:szCs w:val="21"/>
        </w:rPr>
        <w:t xml:space="preserve"> OECD calculate</w:t>
      </w:r>
      <w:r w:rsidR="007D073F" w:rsidRPr="00496C77">
        <w:rPr>
          <w:rFonts w:ascii="Arial" w:hAnsi="Arial"/>
          <w:sz w:val="21"/>
          <w:szCs w:val="21"/>
        </w:rPr>
        <w:t>s</w:t>
      </w:r>
      <w:r w:rsidR="006F38CA" w:rsidRPr="00496C77">
        <w:rPr>
          <w:rFonts w:ascii="Arial" w:hAnsi="Arial"/>
          <w:sz w:val="21"/>
          <w:szCs w:val="21"/>
        </w:rPr>
        <w:t xml:space="preserve"> </w:t>
      </w:r>
      <w:r w:rsidR="007D073F" w:rsidRPr="00496C77">
        <w:rPr>
          <w:rFonts w:ascii="Arial" w:hAnsi="Arial"/>
          <w:sz w:val="21"/>
          <w:szCs w:val="21"/>
        </w:rPr>
        <w:t xml:space="preserve">replacement rates coming from public and from private schemes </w:t>
      </w:r>
      <w:r w:rsidR="00BC6FA4" w:rsidRPr="00496C77">
        <w:rPr>
          <w:rFonts w:ascii="Arial" w:hAnsi="Arial"/>
          <w:sz w:val="21"/>
          <w:szCs w:val="21"/>
        </w:rPr>
        <w:t>separately</w:t>
      </w:r>
      <w:r w:rsidR="006F38CA" w:rsidRPr="00496C77">
        <w:rPr>
          <w:rFonts w:ascii="Arial" w:hAnsi="Arial"/>
          <w:sz w:val="21"/>
          <w:szCs w:val="21"/>
        </w:rPr>
        <w:t xml:space="preserve">. </w:t>
      </w:r>
    </w:p>
    <w:p w14:paraId="4126C0CC" w14:textId="77777777" w:rsidR="00EA5535" w:rsidRPr="00496C77" w:rsidRDefault="00BC6FA4" w:rsidP="00496C77">
      <w:pPr>
        <w:spacing w:after="240" w:line="360" w:lineRule="auto"/>
        <w:jc w:val="both"/>
        <w:rPr>
          <w:rFonts w:ascii="Arial" w:hAnsi="Arial"/>
          <w:sz w:val="21"/>
          <w:szCs w:val="21"/>
        </w:rPr>
      </w:pPr>
      <w:r w:rsidRPr="00496C77">
        <w:rPr>
          <w:rFonts w:ascii="Arial" w:hAnsi="Arial"/>
          <w:b/>
          <w:sz w:val="21"/>
          <w:szCs w:val="21"/>
        </w:rPr>
        <w:t>Pension wealth</w:t>
      </w:r>
      <w:r w:rsidRPr="00496C77">
        <w:rPr>
          <w:rFonts w:ascii="Arial" w:hAnsi="Arial"/>
          <w:sz w:val="21"/>
          <w:szCs w:val="21"/>
        </w:rPr>
        <w:t xml:space="preserve"> is a present value of the flow of pension benefit taking into account replacement rate, pension indexation, life expectancy and pensionable age. The calculation of pension wealth uses a uniform discount rate of 2% and country-specific mortality tables (OECD; 2009).</w:t>
      </w:r>
      <w:r w:rsidR="00D4487B" w:rsidRPr="00496C77">
        <w:rPr>
          <w:rFonts w:ascii="Arial" w:hAnsi="Arial"/>
          <w:sz w:val="21"/>
          <w:szCs w:val="21"/>
        </w:rPr>
        <w:t xml:space="preserve"> OECD calculates gross and net pension wealth</w:t>
      </w:r>
      <w:r w:rsidR="007D073F" w:rsidRPr="00496C77">
        <w:rPr>
          <w:rFonts w:ascii="Arial" w:hAnsi="Arial"/>
          <w:sz w:val="21"/>
          <w:szCs w:val="21"/>
        </w:rPr>
        <w:t>,</w:t>
      </w:r>
      <w:r w:rsidR="00D4487B" w:rsidRPr="00496C77">
        <w:rPr>
          <w:rFonts w:ascii="Arial" w:hAnsi="Arial"/>
          <w:sz w:val="21"/>
          <w:szCs w:val="21"/>
        </w:rPr>
        <w:t xml:space="preserve"> but both expresse</w:t>
      </w:r>
      <w:r w:rsidR="007D073F" w:rsidRPr="00496C77">
        <w:rPr>
          <w:rFonts w:ascii="Arial" w:hAnsi="Arial"/>
          <w:sz w:val="21"/>
          <w:szCs w:val="21"/>
        </w:rPr>
        <w:t>d</w:t>
      </w:r>
      <w:r w:rsidR="00D4487B" w:rsidRPr="00496C77">
        <w:rPr>
          <w:rFonts w:ascii="Arial" w:hAnsi="Arial"/>
          <w:sz w:val="21"/>
          <w:szCs w:val="21"/>
        </w:rPr>
        <w:t xml:space="preserve"> as a multiple of individual </w:t>
      </w:r>
      <w:r w:rsidR="00D4487B" w:rsidRPr="00496C77">
        <w:rPr>
          <w:rFonts w:ascii="Arial" w:hAnsi="Arial"/>
          <w:iCs/>
          <w:sz w:val="21"/>
          <w:szCs w:val="21"/>
        </w:rPr>
        <w:t>gross</w:t>
      </w:r>
      <w:r w:rsidR="00D4487B" w:rsidRPr="00496C77">
        <w:rPr>
          <w:rFonts w:ascii="Arial" w:hAnsi="Arial"/>
          <w:i/>
          <w:iCs/>
          <w:sz w:val="21"/>
          <w:szCs w:val="21"/>
        </w:rPr>
        <w:t xml:space="preserve"> </w:t>
      </w:r>
      <w:r w:rsidR="00D4487B" w:rsidRPr="00496C77">
        <w:rPr>
          <w:rFonts w:ascii="Arial" w:hAnsi="Arial"/>
          <w:sz w:val="21"/>
          <w:szCs w:val="21"/>
        </w:rPr>
        <w:t>earnings.</w:t>
      </w:r>
    </w:p>
    <w:p w14:paraId="06BF2CED" w14:textId="77777777" w:rsidR="002E662B" w:rsidRPr="00496C77" w:rsidRDefault="003B299B" w:rsidP="00496C77">
      <w:pPr>
        <w:autoSpaceDE w:val="0"/>
        <w:autoSpaceDN w:val="0"/>
        <w:adjustRightInd w:val="0"/>
        <w:spacing w:after="240" w:line="360" w:lineRule="auto"/>
        <w:jc w:val="both"/>
        <w:rPr>
          <w:rFonts w:ascii="Arial" w:hAnsi="Arial"/>
          <w:sz w:val="21"/>
          <w:szCs w:val="21"/>
        </w:rPr>
      </w:pPr>
      <w:r w:rsidRPr="00496C77">
        <w:rPr>
          <w:rFonts w:ascii="Arial" w:hAnsi="Arial"/>
          <w:sz w:val="21"/>
          <w:szCs w:val="21"/>
        </w:rPr>
        <w:t>The</w:t>
      </w:r>
      <w:r w:rsidRPr="00496C77">
        <w:rPr>
          <w:rFonts w:ascii="Arial" w:hAnsi="Arial"/>
          <w:b/>
          <w:sz w:val="21"/>
          <w:szCs w:val="21"/>
        </w:rPr>
        <w:t xml:space="preserve"> relative pension level</w:t>
      </w:r>
      <w:r w:rsidRPr="00496C77">
        <w:rPr>
          <w:rFonts w:ascii="Arial" w:hAnsi="Arial"/>
          <w:sz w:val="21"/>
          <w:szCs w:val="21"/>
        </w:rPr>
        <w:t xml:space="preserve"> is developed by </w:t>
      </w:r>
      <w:r w:rsidR="00BC6FA4" w:rsidRPr="00496C77">
        <w:rPr>
          <w:rFonts w:ascii="Arial" w:hAnsi="Arial"/>
          <w:sz w:val="21"/>
          <w:szCs w:val="21"/>
        </w:rPr>
        <w:t xml:space="preserve">OECD </w:t>
      </w:r>
      <w:r w:rsidRPr="00496C77">
        <w:rPr>
          <w:rFonts w:ascii="Arial" w:hAnsi="Arial"/>
          <w:sz w:val="21"/>
          <w:szCs w:val="21"/>
        </w:rPr>
        <w:t xml:space="preserve">(2005), and is defined as net individual pension divided by net economy-wide average earnings. It is seen as an indicator of pension </w:t>
      </w:r>
      <w:r w:rsidRPr="00496C77">
        <w:rPr>
          <w:rFonts w:ascii="Arial" w:hAnsi="Arial"/>
          <w:iCs/>
          <w:sz w:val="21"/>
          <w:szCs w:val="21"/>
        </w:rPr>
        <w:t>adequacy</w:t>
      </w:r>
      <w:r w:rsidRPr="00496C77">
        <w:rPr>
          <w:rFonts w:ascii="Arial" w:hAnsi="Arial"/>
          <w:sz w:val="21"/>
          <w:szCs w:val="21"/>
        </w:rPr>
        <w:t>, since it shows the benefit level that a pensioner will receive in relation to average earnings in the respective country. Individual replacement rates may be quite high, but the pensioner may still receive only a small fraction of economy-wide average earnings. If, for example, a low-income worker – who earned only 50% of economy-wide average earnings – has a replacement rate of 100%, the benefit will only amount to 50% of economy-wide average earnings. For an average earner, the replacement rate and the relative pension level will be the same.</w:t>
      </w:r>
    </w:p>
    <w:p w14:paraId="6F2B44BB" w14:textId="77777777" w:rsidR="00D4487B" w:rsidRPr="00496C77" w:rsidRDefault="002E662B" w:rsidP="00496C77">
      <w:pPr>
        <w:autoSpaceDE w:val="0"/>
        <w:autoSpaceDN w:val="0"/>
        <w:adjustRightInd w:val="0"/>
        <w:spacing w:after="240" w:line="360" w:lineRule="auto"/>
        <w:jc w:val="both"/>
        <w:rPr>
          <w:rFonts w:ascii="Arial" w:hAnsi="Arial"/>
          <w:sz w:val="21"/>
          <w:szCs w:val="21"/>
        </w:rPr>
      </w:pPr>
      <w:r w:rsidRPr="00496C77">
        <w:rPr>
          <w:rFonts w:ascii="Arial" w:hAnsi="Arial"/>
          <w:b/>
          <w:sz w:val="21"/>
          <w:szCs w:val="21"/>
        </w:rPr>
        <w:t>Progressivity index</w:t>
      </w:r>
      <w:r w:rsidRPr="00496C77">
        <w:rPr>
          <w:rFonts w:ascii="Arial" w:hAnsi="Arial"/>
          <w:sz w:val="21"/>
          <w:szCs w:val="21"/>
        </w:rPr>
        <w:t xml:space="preserve"> measure</w:t>
      </w:r>
      <w:r w:rsidR="00B91EE4" w:rsidRPr="00496C77">
        <w:rPr>
          <w:rFonts w:ascii="Arial" w:hAnsi="Arial"/>
          <w:sz w:val="21"/>
          <w:szCs w:val="21"/>
        </w:rPr>
        <w:t>s</w:t>
      </w:r>
      <w:r w:rsidRPr="00496C77">
        <w:rPr>
          <w:rFonts w:ascii="Arial" w:hAnsi="Arial"/>
          <w:sz w:val="21"/>
          <w:szCs w:val="21"/>
        </w:rPr>
        <w:t xml:space="preserve"> vertical distribution of a system. It is defined as 100 minus the ratio of the Gini coefficient of pension entitlements divided by the Gini coefficient of earnings, on both </w:t>
      </w:r>
      <w:r w:rsidRPr="00496C77">
        <w:rPr>
          <w:rFonts w:ascii="Arial" w:hAnsi="Arial"/>
          <w:sz w:val="21"/>
          <w:szCs w:val="21"/>
        </w:rPr>
        <w:lastRenderedPageBreak/>
        <w:t>cases weighted by the earnings distribution. Hence, index of 100 indicates pure basic schemes (Ireland and New Zealand)</w:t>
      </w:r>
      <w:r w:rsidR="00B91EE4" w:rsidRPr="00496C77">
        <w:rPr>
          <w:rFonts w:ascii="Arial" w:hAnsi="Arial"/>
          <w:sz w:val="21"/>
          <w:szCs w:val="21"/>
        </w:rPr>
        <w:t>,</w:t>
      </w:r>
      <w:r w:rsidRPr="00496C77">
        <w:rPr>
          <w:rFonts w:ascii="Arial" w:hAnsi="Arial"/>
          <w:sz w:val="21"/>
          <w:szCs w:val="21"/>
        </w:rPr>
        <w:t xml:space="preserve"> while small values of index point to strong link between contributions and entitlements (OECD, 2009). </w:t>
      </w:r>
    </w:p>
    <w:p w14:paraId="69F8A275" w14:textId="77777777" w:rsidR="005858FF" w:rsidRPr="00496C77" w:rsidRDefault="001A0D96" w:rsidP="00496C77">
      <w:pPr>
        <w:spacing w:after="240" w:line="360" w:lineRule="auto"/>
        <w:jc w:val="both"/>
        <w:rPr>
          <w:rFonts w:ascii="Arial" w:hAnsi="Arial"/>
          <w:sz w:val="21"/>
          <w:szCs w:val="21"/>
        </w:rPr>
      </w:pPr>
      <w:r w:rsidRPr="00496C77">
        <w:rPr>
          <w:rFonts w:ascii="Arial" w:hAnsi="Arial"/>
          <w:sz w:val="21"/>
          <w:szCs w:val="21"/>
        </w:rPr>
        <w:t xml:space="preserve">Other groups of OECD indicators are </w:t>
      </w:r>
      <w:r w:rsidR="00B57776" w:rsidRPr="00496C77">
        <w:rPr>
          <w:rFonts w:ascii="Arial" w:hAnsi="Arial" w:cs="Helvetica Neue"/>
          <w:b/>
          <w:bCs/>
          <w:color w:val="262626"/>
          <w:sz w:val="21"/>
          <w:szCs w:val="21"/>
        </w:rPr>
        <w:t>incomes and poverty of older people</w:t>
      </w:r>
      <w:r w:rsidR="00B57776" w:rsidRPr="00496C77">
        <w:rPr>
          <w:rFonts w:ascii="Arial" w:hAnsi="Arial" w:cs="Helvetica Neue"/>
          <w:bCs/>
          <w:i/>
          <w:color w:val="262626"/>
          <w:sz w:val="21"/>
          <w:szCs w:val="21"/>
        </w:rPr>
        <w:t xml:space="preserve"> </w:t>
      </w:r>
      <w:r w:rsidRPr="00496C77">
        <w:rPr>
          <w:rFonts w:ascii="Arial" w:hAnsi="Arial" w:cs="Helvetica Neue"/>
          <w:bCs/>
          <w:color w:val="262626"/>
          <w:sz w:val="21"/>
          <w:szCs w:val="21"/>
        </w:rPr>
        <w:t>(equivalent to adequacy group in EU pension portfolio)</w:t>
      </w:r>
      <w:r w:rsidR="00D97ACF" w:rsidRPr="00496C77">
        <w:rPr>
          <w:rFonts w:ascii="Arial" w:hAnsi="Arial" w:cs="Helvetica Neue"/>
          <w:bCs/>
          <w:color w:val="262626"/>
          <w:sz w:val="21"/>
          <w:szCs w:val="21"/>
        </w:rPr>
        <w:t>,</w:t>
      </w:r>
      <w:r w:rsidR="00D97ACF" w:rsidRPr="00496C77">
        <w:rPr>
          <w:rFonts w:ascii="Arial" w:hAnsi="Arial" w:cs="Helvetica Neue"/>
          <w:bCs/>
          <w:i/>
          <w:color w:val="262626"/>
          <w:sz w:val="21"/>
          <w:szCs w:val="21"/>
        </w:rPr>
        <w:t xml:space="preserve"> </w:t>
      </w:r>
      <w:r w:rsidR="00B57776" w:rsidRPr="00496C77">
        <w:rPr>
          <w:rFonts w:ascii="Arial" w:hAnsi="Arial" w:cs="Helvetica Neue"/>
          <w:b/>
          <w:bCs/>
          <w:color w:val="262626"/>
          <w:sz w:val="21"/>
          <w:szCs w:val="21"/>
        </w:rPr>
        <w:t>finances of retirement-income systems</w:t>
      </w:r>
      <w:r w:rsidR="00D97ACF" w:rsidRPr="00496C77">
        <w:rPr>
          <w:rFonts w:ascii="Arial" w:hAnsi="Arial" w:cs="Helvetica Neue"/>
          <w:bCs/>
          <w:i/>
          <w:color w:val="262626"/>
          <w:sz w:val="21"/>
          <w:szCs w:val="21"/>
        </w:rPr>
        <w:t xml:space="preserve"> </w:t>
      </w:r>
      <w:r w:rsidR="00D97ACF" w:rsidRPr="00496C77">
        <w:rPr>
          <w:rFonts w:ascii="Arial" w:hAnsi="Arial" w:cs="Helvetica Neue"/>
          <w:bCs/>
          <w:color w:val="262626"/>
          <w:sz w:val="21"/>
          <w:szCs w:val="21"/>
        </w:rPr>
        <w:t xml:space="preserve">(equivalent to </w:t>
      </w:r>
      <w:r w:rsidR="006A4CE9" w:rsidRPr="00496C77">
        <w:rPr>
          <w:rFonts w:ascii="Arial" w:hAnsi="Arial" w:cs="Helvetica Neue"/>
          <w:bCs/>
          <w:color w:val="262626"/>
          <w:sz w:val="21"/>
          <w:szCs w:val="21"/>
        </w:rPr>
        <w:t xml:space="preserve">sustainable pensions group of indicators in EU pension portfolio), </w:t>
      </w:r>
      <w:r w:rsidR="00B57776" w:rsidRPr="00496C77">
        <w:rPr>
          <w:rFonts w:ascii="Arial" w:hAnsi="Arial" w:cs="Helvetica Neue"/>
          <w:bCs/>
          <w:color w:val="262626"/>
          <w:sz w:val="21"/>
          <w:szCs w:val="21"/>
        </w:rPr>
        <w:t xml:space="preserve">and </w:t>
      </w:r>
      <w:r w:rsidR="00B57776" w:rsidRPr="00496C77">
        <w:rPr>
          <w:rFonts w:ascii="Arial" w:hAnsi="Arial" w:cs="Helvetica Neue"/>
          <w:b/>
          <w:bCs/>
          <w:color w:val="262626"/>
          <w:sz w:val="21"/>
          <w:szCs w:val="21"/>
        </w:rPr>
        <w:t>demographic and economic context</w:t>
      </w:r>
      <w:r w:rsidR="00B57776" w:rsidRPr="00496C77">
        <w:rPr>
          <w:rFonts w:ascii="Arial" w:hAnsi="Arial" w:cs="Helvetica Neue"/>
          <w:bCs/>
          <w:color w:val="262626"/>
          <w:sz w:val="21"/>
          <w:szCs w:val="21"/>
        </w:rPr>
        <w:t xml:space="preserve"> </w:t>
      </w:r>
      <w:r w:rsidR="006A4CE9" w:rsidRPr="00496C77">
        <w:rPr>
          <w:rFonts w:ascii="Arial" w:hAnsi="Arial" w:cs="Helvetica Neue"/>
          <w:bCs/>
          <w:color w:val="262626"/>
          <w:sz w:val="21"/>
          <w:szCs w:val="21"/>
        </w:rPr>
        <w:t>(equivalent to context information)</w:t>
      </w:r>
      <w:r w:rsidR="00836A84" w:rsidRPr="00496C77">
        <w:rPr>
          <w:rFonts w:ascii="Arial" w:hAnsi="Arial" w:cs="Helvetica Neue"/>
          <w:bCs/>
          <w:color w:val="262626"/>
          <w:sz w:val="21"/>
          <w:szCs w:val="21"/>
        </w:rPr>
        <w:t>. In addition, OECD devotes significant work to private pensions</w:t>
      </w:r>
      <w:r w:rsidR="00AE249D" w:rsidRPr="00496C77">
        <w:rPr>
          <w:rFonts w:ascii="Arial" w:hAnsi="Arial" w:cs="Helvetica Neue"/>
          <w:bCs/>
          <w:color w:val="262626"/>
          <w:sz w:val="21"/>
          <w:szCs w:val="21"/>
        </w:rPr>
        <w:t>,</w:t>
      </w:r>
      <w:r w:rsidR="00836A84" w:rsidRPr="00496C77">
        <w:rPr>
          <w:rFonts w:ascii="Arial" w:hAnsi="Arial" w:cs="Helvetica Neue"/>
          <w:bCs/>
          <w:color w:val="262626"/>
          <w:sz w:val="21"/>
          <w:szCs w:val="21"/>
        </w:rPr>
        <w:t xml:space="preserve"> hence</w:t>
      </w:r>
      <w:r w:rsidR="006A4CE9" w:rsidRPr="00496C77">
        <w:rPr>
          <w:rFonts w:ascii="Arial" w:hAnsi="Arial" w:cs="Helvetica Neue"/>
          <w:bCs/>
          <w:color w:val="262626"/>
          <w:sz w:val="21"/>
          <w:szCs w:val="21"/>
        </w:rPr>
        <w:t xml:space="preserve"> there is a whole group of indicators on </w:t>
      </w:r>
      <w:r w:rsidR="00AE249D" w:rsidRPr="00496C77">
        <w:rPr>
          <w:rFonts w:ascii="Arial" w:hAnsi="Arial" w:cs="Helvetica Neue"/>
          <w:b/>
          <w:bCs/>
          <w:color w:val="262626"/>
          <w:sz w:val="21"/>
          <w:szCs w:val="21"/>
        </w:rPr>
        <w:t>private pensions and public pension reserves</w:t>
      </w:r>
      <w:r w:rsidR="00976C67" w:rsidRPr="00496C77">
        <w:rPr>
          <w:rFonts w:ascii="Arial" w:hAnsi="Arial" w:cs="Helvetica Neue"/>
          <w:bCs/>
          <w:i/>
          <w:color w:val="262626"/>
          <w:sz w:val="21"/>
          <w:szCs w:val="21"/>
        </w:rPr>
        <w:t>.</w:t>
      </w:r>
      <w:r w:rsidR="00CC5FE8" w:rsidRPr="00496C77">
        <w:rPr>
          <w:rFonts w:ascii="Arial" w:hAnsi="Arial" w:cs="Helvetica Neue"/>
          <w:bCs/>
          <w:i/>
          <w:color w:val="262626"/>
          <w:sz w:val="21"/>
          <w:szCs w:val="21"/>
        </w:rPr>
        <w:t xml:space="preserve"> </w:t>
      </w:r>
    </w:p>
    <w:p w14:paraId="027D4B55" w14:textId="77777777" w:rsidR="005753CF" w:rsidRPr="00496C77" w:rsidRDefault="00891C79" w:rsidP="00496C77">
      <w:pPr>
        <w:widowControl w:val="0"/>
        <w:autoSpaceDE w:val="0"/>
        <w:autoSpaceDN w:val="0"/>
        <w:adjustRightInd w:val="0"/>
        <w:spacing w:after="240" w:line="360" w:lineRule="auto"/>
        <w:jc w:val="both"/>
        <w:rPr>
          <w:rFonts w:ascii="Arial" w:hAnsi="Arial" w:cs="RobotoCondensed-Regular"/>
          <w:sz w:val="21"/>
          <w:szCs w:val="21"/>
        </w:rPr>
      </w:pPr>
      <w:r w:rsidRPr="00496C77">
        <w:rPr>
          <w:rFonts w:ascii="Arial" w:hAnsi="Arial"/>
          <w:sz w:val="21"/>
          <w:szCs w:val="21"/>
        </w:rPr>
        <w:t xml:space="preserve">When it comes to </w:t>
      </w:r>
      <w:r w:rsidR="00175B0C" w:rsidRPr="00496C77">
        <w:rPr>
          <w:rFonts w:ascii="Arial" w:hAnsi="Arial"/>
          <w:b/>
          <w:sz w:val="21"/>
          <w:szCs w:val="21"/>
        </w:rPr>
        <w:t>UN Sustainable development goals (</w:t>
      </w:r>
      <w:r w:rsidR="00845061" w:rsidRPr="00496C77">
        <w:rPr>
          <w:rFonts w:ascii="Arial" w:hAnsi="Arial"/>
          <w:b/>
          <w:sz w:val="21"/>
          <w:szCs w:val="21"/>
        </w:rPr>
        <w:t>SDG</w:t>
      </w:r>
      <w:r w:rsidRPr="00496C77">
        <w:rPr>
          <w:rFonts w:ascii="Arial" w:hAnsi="Arial"/>
          <w:b/>
          <w:sz w:val="21"/>
          <w:szCs w:val="21"/>
        </w:rPr>
        <w:t>s</w:t>
      </w:r>
      <w:r w:rsidR="00175B0C" w:rsidRPr="00496C77">
        <w:rPr>
          <w:rFonts w:ascii="Arial" w:hAnsi="Arial"/>
          <w:b/>
          <w:sz w:val="21"/>
          <w:szCs w:val="21"/>
        </w:rPr>
        <w:t>)</w:t>
      </w:r>
      <w:r w:rsidRPr="00496C77">
        <w:rPr>
          <w:rFonts w:ascii="Arial" w:hAnsi="Arial"/>
          <w:b/>
          <w:sz w:val="21"/>
          <w:szCs w:val="21"/>
        </w:rPr>
        <w:t>,</w:t>
      </w:r>
      <w:r w:rsidRPr="00496C77">
        <w:rPr>
          <w:rFonts w:ascii="Arial" w:hAnsi="Arial"/>
          <w:sz w:val="21"/>
          <w:szCs w:val="21"/>
        </w:rPr>
        <w:t xml:space="preserve"> old-age and pension(ers) are not in the focus. </w:t>
      </w:r>
      <w:r w:rsidR="00B60D9C" w:rsidRPr="00496C77">
        <w:rPr>
          <w:rFonts w:ascii="Arial" w:hAnsi="Arial"/>
          <w:sz w:val="21"/>
          <w:szCs w:val="21"/>
        </w:rPr>
        <w:t>There are</w:t>
      </w:r>
      <w:r w:rsidR="002951FC" w:rsidRPr="00496C77">
        <w:rPr>
          <w:rFonts w:ascii="Arial" w:hAnsi="Arial"/>
          <w:sz w:val="21"/>
          <w:szCs w:val="21"/>
        </w:rPr>
        <w:t xml:space="preserve"> on</w:t>
      </w:r>
      <w:r w:rsidR="00B60D9C" w:rsidRPr="00496C77">
        <w:rPr>
          <w:rFonts w:ascii="Arial" w:hAnsi="Arial"/>
          <w:sz w:val="21"/>
          <w:szCs w:val="21"/>
        </w:rPr>
        <w:t>ly two indicators relating</w:t>
      </w:r>
      <w:r w:rsidR="002951FC" w:rsidRPr="00496C77">
        <w:rPr>
          <w:rFonts w:ascii="Arial" w:hAnsi="Arial"/>
          <w:sz w:val="21"/>
          <w:szCs w:val="21"/>
        </w:rPr>
        <w:t xml:space="preserve"> to old-age/pensioners. First</w:t>
      </w:r>
      <w:r w:rsidR="008125BF" w:rsidRPr="00496C77">
        <w:rPr>
          <w:rFonts w:ascii="Arial" w:hAnsi="Arial"/>
          <w:sz w:val="21"/>
          <w:szCs w:val="21"/>
        </w:rPr>
        <w:t xml:space="preserve"> one is the indicator measuring target </w:t>
      </w:r>
      <w:r w:rsidR="008125BF" w:rsidRPr="00496C77">
        <w:rPr>
          <w:rFonts w:ascii="Arial" w:hAnsi="Arial" w:cs="RobotoCondensed-Regular"/>
          <w:sz w:val="21"/>
          <w:szCs w:val="21"/>
        </w:rPr>
        <w:t xml:space="preserve">1.1: By 2030, eradicate extreme poverty for all people everywhere, currently measured as people living on less than $1.25 a day </w:t>
      </w:r>
      <w:r w:rsidR="00C900C7" w:rsidRPr="00496C77">
        <w:rPr>
          <w:rFonts w:ascii="Arial" w:hAnsi="Arial" w:cs="RobotoCondensed-Regular"/>
          <w:sz w:val="21"/>
          <w:szCs w:val="21"/>
        </w:rPr>
        <w:t xml:space="preserve">– </w:t>
      </w:r>
      <w:r w:rsidR="00C900C7" w:rsidRPr="00496C77">
        <w:rPr>
          <w:rFonts w:ascii="Arial" w:hAnsi="Arial" w:cs="OpenSans"/>
          <w:b/>
          <w:sz w:val="21"/>
          <w:szCs w:val="21"/>
        </w:rPr>
        <w:t>proportion of population below the international poverty line, by sex, age, employment status and geographical location (urban/rural)</w:t>
      </w:r>
      <w:r w:rsidR="00B60D9C" w:rsidRPr="00496C77">
        <w:rPr>
          <w:rFonts w:ascii="Arial" w:hAnsi="Arial" w:cs="OpenSans"/>
          <w:i/>
          <w:sz w:val="21"/>
          <w:szCs w:val="21"/>
        </w:rPr>
        <w:t xml:space="preserve"> </w:t>
      </w:r>
      <w:r w:rsidR="00B60D9C" w:rsidRPr="00496C77">
        <w:rPr>
          <w:rFonts w:ascii="Arial" w:hAnsi="Arial" w:cs="OpenSans"/>
          <w:sz w:val="21"/>
          <w:szCs w:val="21"/>
        </w:rPr>
        <w:t>when</w:t>
      </w:r>
      <w:r w:rsidR="00994615" w:rsidRPr="00496C77">
        <w:rPr>
          <w:rFonts w:ascii="Arial" w:hAnsi="Arial" w:cs="OpenSans"/>
          <w:sz w:val="21"/>
          <w:szCs w:val="21"/>
        </w:rPr>
        <w:t xml:space="preserve"> disaggregated</w:t>
      </w:r>
      <w:r w:rsidR="008F48A9" w:rsidRPr="00496C77">
        <w:rPr>
          <w:rFonts w:ascii="Arial" w:hAnsi="Arial" w:cs="OpenSans"/>
          <w:sz w:val="21"/>
          <w:szCs w:val="21"/>
        </w:rPr>
        <w:t xml:space="preserve"> by age. Second indicator is actually a sub-indicator of the indicator</w:t>
      </w:r>
      <w:r w:rsidR="00682A94" w:rsidRPr="00496C77">
        <w:rPr>
          <w:rFonts w:ascii="Arial" w:hAnsi="Arial" w:cs="OpenSans"/>
          <w:sz w:val="21"/>
          <w:szCs w:val="21"/>
        </w:rPr>
        <w:t>:</w:t>
      </w:r>
      <w:r w:rsidR="008F48A9" w:rsidRPr="00496C77">
        <w:rPr>
          <w:rFonts w:ascii="Arial" w:hAnsi="Arial" w:cs="OpenSans"/>
          <w:sz w:val="21"/>
          <w:szCs w:val="21"/>
        </w:rPr>
        <w:t xml:space="preserve"> </w:t>
      </w:r>
      <w:r w:rsidR="00682A94" w:rsidRPr="00496C77">
        <w:rPr>
          <w:rFonts w:ascii="Arial" w:hAnsi="Arial" w:cs="OpenSans"/>
          <w:b/>
          <w:sz w:val="21"/>
          <w:szCs w:val="21"/>
        </w:rPr>
        <w:t xml:space="preserve">proportion </w:t>
      </w:r>
      <w:r w:rsidR="008F48A9" w:rsidRPr="00496C77">
        <w:rPr>
          <w:rFonts w:ascii="Arial" w:hAnsi="Arial" w:cs="OpenSans"/>
          <w:b/>
          <w:sz w:val="21"/>
          <w:szCs w:val="21"/>
        </w:rPr>
        <w:t>of population covered by social protection floors/systems, by sex, distinguishing children, unemployed persons, older persons, persons with disabilities, pregnant women, newborns, work-injury victims and the poor and the vulnerable</w:t>
      </w:r>
      <w:r w:rsidR="008F48A9" w:rsidRPr="00496C77">
        <w:rPr>
          <w:rFonts w:ascii="Arial" w:hAnsi="Arial" w:cs="OpenSans"/>
          <w:sz w:val="21"/>
          <w:szCs w:val="21"/>
        </w:rPr>
        <w:t xml:space="preserve">, which measures </w:t>
      </w:r>
      <w:r w:rsidR="008F48A9" w:rsidRPr="00496C77">
        <w:rPr>
          <w:rFonts w:ascii="Arial" w:hAnsi="Arial" w:cs="RobotoCondensed-Regular"/>
          <w:sz w:val="21"/>
          <w:szCs w:val="21"/>
        </w:rPr>
        <w:t>target 1.3: Implement nationally appropriate social protection systems and measures for all, including floors, and by 2030 achieve substantial coverage of the poor and the vulnerable</w:t>
      </w:r>
      <w:r w:rsidR="00175B0C" w:rsidRPr="00496C77">
        <w:rPr>
          <w:rFonts w:ascii="Arial" w:hAnsi="Arial" w:cs="RobotoCondensed-Regular"/>
          <w:sz w:val="21"/>
          <w:szCs w:val="21"/>
        </w:rPr>
        <w:t>.</w:t>
      </w:r>
    </w:p>
    <w:p w14:paraId="1BBFB3C7" w14:textId="77777777" w:rsidR="00900232" w:rsidRPr="001A27F6" w:rsidRDefault="00900232" w:rsidP="005753CF">
      <w:pPr>
        <w:spacing w:line="264" w:lineRule="auto"/>
        <w:rPr>
          <w:rFonts w:ascii="Calibri" w:hAnsi="Calibri"/>
        </w:rPr>
      </w:pPr>
    </w:p>
    <w:p w14:paraId="2460A01B" w14:textId="77777777" w:rsidR="00CC33DF" w:rsidRPr="000B236E" w:rsidRDefault="001D3954" w:rsidP="000B236E">
      <w:pPr>
        <w:pStyle w:val="Heading1"/>
        <w:numPr>
          <w:ilvl w:val="0"/>
          <w:numId w:val="5"/>
        </w:numPr>
        <w:ind w:left="426" w:hanging="426"/>
        <w:rPr>
          <w:rFonts w:ascii="Arial" w:hAnsi="Arial"/>
          <w:color w:val="4F81BD" w:themeColor="accent1"/>
          <w:sz w:val="24"/>
          <w:szCs w:val="24"/>
        </w:rPr>
      </w:pPr>
      <w:r>
        <w:br w:type="page"/>
      </w:r>
      <w:bookmarkStart w:id="6" w:name="_Toc493760333"/>
      <w:r w:rsidR="00C338C1" w:rsidRPr="000B236E">
        <w:rPr>
          <w:rFonts w:ascii="Arial" w:hAnsi="Arial"/>
          <w:color w:val="4F81BD" w:themeColor="accent1"/>
          <w:sz w:val="24"/>
          <w:szCs w:val="24"/>
        </w:rPr>
        <w:lastRenderedPageBreak/>
        <w:t>DISCUSSION</w:t>
      </w:r>
      <w:bookmarkEnd w:id="6"/>
      <w:r w:rsidR="00C338C1" w:rsidRPr="000B236E">
        <w:rPr>
          <w:rFonts w:ascii="Arial" w:hAnsi="Arial"/>
          <w:color w:val="4F81BD" w:themeColor="accent1"/>
          <w:sz w:val="24"/>
          <w:szCs w:val="24"/>
        </w:rPr>
        <w:t xml:space="preserve"> </w:t>
      </w:r>
    </w:p>
    <w:p w14:paraId="29EAE8E0" w14:textId="77777777" w:rsidR="00CC33DF" w:rsidRPr="006A4CE9" w:rsidRDefault="00CC33DF" w:rsidP="005753CF">
      <w:pPr>
        <w:spacing w:line="264" w:lineRule="auto"/>
        <w:rPr>
          <w:rFonts w:ascii="Cambria" w:hAnsi="Cambria"/>
          <w:b/>
        </w:rPr>
      </w:pPr>
    </w:p>
    <w:p w14:paraId="33F4B4A4" w14:textId="77777777" w:rsidR="0060512D" w:rsidRPr="004967DC" w:rsidRDefault="00B93C0C" w:rsidP="004967DC">
      <w:pPr>
        <w:pStyle w:val="ListParagraph"/>
        <w:spacing w:after="240" w:line="360" w:lineRule="auto"/>
        <w:ind w:left="0"/>
        <w:jc w:val="both"/>
        <w:rPr>
          <w:rFonts w:ascii="Arial" w:hAnsi="Arial"/>
          <w:sz w:val="21"/>
          <w:szCs w:val="21"/>
        </w:rPr>
      </w:pPr>
      <w:r w:rsidRPr="004967DC">
        <w:rPr>
          <w:rFonts w:ascii="Arial" w:hAnsi="Arial"/>
          <w:sz w:val="21"/>
          <w:szCs w:val="21"/>
        </w:rPr>
        <w:t xml:space="preserve">Measuring pension system is quite complex due </w:t>
      </w:r>
      <w:r w:rsidR="00687504" w:rsidRPr="004967DC">
        <w:rPr>
          <w:rFonts w:ascii="Arial" w:hAnsi="Arial"/>
          <w:sz w:val="21"/>
          <w:szCs w:val="21"/>
        </w:rPr>
        <w:t xml:space="preserve">to </w:t>
      </w:r>
      <w:r w:rsidR="00AE3B38" w:rsidRPr="004967DC">
        <w:rPr>
          <w:rFonts w:ascii="Arial" w:hAnsi="Arial"/>
          <w:sz w:val="21"/>
          <w:szCs w:val="21"/>
        </w:rPr>
        <w:t>a</w:t>
      </w:r>
      <w:r w:rsidRPr="004967DC">
        <w:rPr>
          <w:rFonts w:ascii="Arial" w:hAnsi="Arial"/>
          <w:sz w:val="21"/>
          <w:szCs w:val="21"/>
        </w:rPr>
        <w:t xml:space="preserve"> number of</w:t>
      </w:r>
      <w:r w:rsidR="00C378F3" w:rsidRPr="004967DC">
        <w:rPr>
          <w:rFonts w:ascii="Arial" w:hAnsi="Arial"/>
          <w:sz w:val="21"/>
          <w:szCs w:val="21"/>
        </w:rPr>
        <w:t xml:space="preserve"> </w:t>
      </w:r>
      <w:r w:rsidR="00AE3B38" w:rsidRPr="004967DC">
        <w:rPr>
          <w:rFonts w:ascii="Arial" w:hAnsi="Arial"/>
          <w:sz w:val="21"/>
          <w:szCs w:val="21"/>
        </w:rPr>
        <w:t xml:space="preserve">pension policy </w:t>
      </w:r>
      <w:r w:rsidR="00C378F3" w:rsidRPr="004967DC">
        <w:rPr>
          <w:rFonts w:ascii="Arial" w:hAnsi="Arial"/>
          <w:sz w:val="21"/>
          <w:szCs w:val="21"/>
        </w:rPr>
        <w:t>goals</w:t>
      </w:r>
      <w:r w:rsidR="00390E19" w:rsidRPr="004967DC">
        <w:rPr>
          <w:rFonts w:ascii="Arial" w:hAnsi="Arial"/>
          <w:sz w:val="21"/>
          <w:szCs w:val="21"/>
        </w:rPr>
        <w:t xml:space="preserve">, which are </w:t>
      </w:r>
      <w:r w:rsidRPr="004967DC">
        <w:rPr>
          <w:rFonts w:ascii="Arial" w:hAnsi="Arial"/>
          <w:sz w:val="21"/>
          <w:szCs w:val="21"/>
        </w:rPr>
        <w:t xml:space="preserve">sometimes conflicting </w:t>
      </w:r>
      <w:r w:rsidR="00C378F3" w:rsidRPr="004967DC">
        <w:rPr>
          <w:rFonts w:ascii="Arial" w:hAnsi="Arial"/>
          <w:sz w:val="21"/>
          <w:szCs w:val="21"/>
        </w:rPr>
        <w:t>(</w:t>
      </w:r>
      <w:r w:rsidR="00FD75B4" w:rsidRPr="004967DC">
        <w:rPr>
          <w:rFonts w:ascii="Arial" w:hAnsi="Arial"/>
          <w:sz w:val="21"/>
          <w:szCs w:val="21"/>
        </w:rPr>
        <w:t xml:space="preserve">adequacy </w:t>
      </w:r>
      <w:r w:rsidR="00C378F3" w:rsidRPr="004967DC">
        <w:rPr>
          <w:rFonts w:ascii="Arial" w:hAnsi="Arial"/>
          <w:sz w:val="21"/>
          <w:szCs w:val="21"/>
        </w:rPr>
        <w:t>vs.</w:t>
      </w:r>
      <w:r w:rsidR="00FD75B4" w:rsidRPr="004967DC">
        <w:rPr>
          <w:rFonts w:ascii="Arial" w:hAnsi="Arial"/>
          <w:sz w:val="21"/>
          <w:szCs w:val="21"/>
        </w:rPr>
        <w:t xml:space="preserve"> sustainability</w:t>
      </w:r>
      <w:r w:rsidR="001651B3" w:rsidRPr="004967DC">
        <w:rPr>
          <w:rFonts w:ascii="Arial" w:hAnsi="Arial"/>
          <w:sz w:val="21"/>
          <w:szCs w:val="21"/>
        </w:rPr>
        <w:t>/affordability</w:t>
      </w:r>
      <w:r w:rsidR="00FD75B4" w:rsidRPr="004967DC">
        <w:rPr>
          <w:rFonts w:ascii="Arial" w:hAnsi="Arial"/>
          <w:sz w:val="21"/>
          <w:szCs w:val="21"/>
        </w:rPr>
        <w:t>)</w:t>
      </w:r>
      <w:r w:rsidRPr="004967DC">
        <w:rPr>
          <w:rFonts w:ascii="Arial" w:hAnsi="Arial"/>
          <w:sz w:val="21"/>
          <w:szCs w:val="21"/>
        </w:rPr>
        <w:t>, and due to</w:t>
      </w:r>
      <w:r w:rsidR="00C378F3" w:rsidRPr="004967DC">
        <w:rPr>
          <w:rFonts w:ascii="Arial" w:hAnsi="Arial"/>
          <w:sz w:val="21"/>
          <w:szCs w:val="21"/>
        </w:rPr>
        <w:t xml:space="preserve"> potential</w:t>
      </w:r>
      <w:r w:rsidRPr="004967DC">
        <w:rPr>
          <w:rFonts w:ascii="Arial" w:hAnsi="Arial"/>
          <w:sz w:val="21"/>
          <w:szCs w:val="21"/>
        </w:rPr>
        <w:t xml:space="preserve"> difference</w:t>
      </w:r>
      <w:r w:rsidR="00D51922" w:rsidRPr="004967DC">
        <w:rPr>
          <w:rFonts w:ascii="Arial" w:hAnsi="Arial"/>
          <w:sz w:val="21"/>
          <w:szCs w:val="21"/>
        </w:rPr>
        <w:t>s</w:t>
      </w:r>
      <w:r w:rsidRPr="004967DC">
        <w:rPr>
          <w:rFonts w:ascii="Arial" w:hAnsi="Arial"/>
          <w:sz w:val="21"/>
          <w:szCs w:val="21"/>
        </w:rPr>
        <w:t xml:space="preserve"> </w:t>
      </w:r>
      <w:r w:rsidR="00C378F3" w:rsidRPr="004967DC">
        <w:rPr>
          <w:rFonts w:ascii="Arial" w:hAnsi="Arial"/>
          <w:sz w:val="21"/>
          <w:szCs w:val="21"/>
        </w:rPr>
        <w:t xml:space="preserve">in </w:t>
      </w:r>
      <w:r w:rsidR="00EB2504" w:rsidRPr="004967DC">
        <w:rPr>
          <w:rFonts w:ascii="Arial" w:hAnsi="Arial"/>
          <w:sz w:val="21"/>
          <w:szCs w:val="21"/>
        </w:rPr>
        <w:t xml:space="preserve">system </w:t>
      </w:r>
      <w:r w:rsidR="00C378F3" w:rsidRPr="004967DC">
        <w:rPr>
          <w:rFonts w:ascii="Arial" w:hAnsi="Arial"/>
          <w:sz w:val="21"/>
          <w:szCs w:val="21"/>
        </w:rPr>
        <w:t>design</w:t>
      </w:r>
      <w:r w:rsidR="00207C34" w:rsidRPr="004967DC">
        <w:rPr>
          <w:rFonts w:ascii="Arial" w:hAnsi="Arial"/>
          <w:sz w:val="21"/>
          <w:szCs w:val="21"/>
        </w:rPr>
        <w:t xml:space="preserve"> </w:t>
      </w:r>
      <w:r w:rsidR="00EB2504" w:rsidRPr="004967DC">
        <w:rPr>
          <w:rFonts w:ascii="Arial" w:hAnsi="Arial"/>
          <w:sz w:val="21"/>
          <w:szCs w:val="21"/>
        </w:rPr>
        <w:t>and</w:t>
      </w:r>
      <w:r w:rsidR="00207C34" w:rsidRPr="004967DC">
        <w:rPr>
          <w:rFonts w:ascii="Arial" w:hAnsi="Arial"/>
          <w:sz w:val="21"/>
          <w:szCs w:val="21"/>
        </w:rPr>
        <w:t xml:space="preserve"> </w:t>
      </w:r>
      <w:r w:rsidR="00FD75B4" w:rsidRPr="004967DC">
        <w:rPr>
          <w:rFonts w:ascii="Arial" w:hAnsi="Arial"/>
          <w:sz w:val="21"/>
          <w:szCs w:val="21"/>
        </w:rPr>
        <w:t>actual outcome</w:t>
      </w:r>
      <w:r w:rsidR="00C378F3" w:rsidRPr="004967DC">
        <w:rPr>
          <w:rFonts w:ascii="Arial" w:hAnsi="Arial"/>
          <w:sz w:val="21"/>
          <w:szCs w:val="21"/>
        </w:rPr>
        <w:t>s</w:t>
      </w:r>
      <w:r w:rsidR="006A6908" w:rsidRPr="004967DC">
        <w:rPr>
          <w:rFonts w:ascii="Arial" w:hAnsi="Arial"/>
          <w:sz w:val="21"/>
          <w:szCs w:val="21"/>
        </w:rPr>
        <w:t xml:space="preserve">. </w:t>
      </w:r>
      <w:r w:rsidR="00FD75B4" w:rsidRPr="004967DC">
        <w:rPr>
          <w:rFonts w:ascii="Arial" w:hAnsi="Arial"/>
          <w:sz w:val="21"/>
          <w:szCs w:val="21"/>
        </w:rPr>
        <w:t xml:space="preserve">Therefore, it is important that </w:t>
      </w:r>
      <w:r w:rsidR="00687504" w:rsidRPr="004967DC">
        <w:rPr>
          <w:rFonts w:ascii="Arial" w:hAnsi="Arial"/>
          <w:sz w:val="21"/>
          <w:szCs w:val="21"/>
        </w:rPr>
        <w:t xml:space="preserve">a </w:t>
      </w:r>
      <w:r w:rsidR="00FD75B4" w:rsidRPr="004967DC">
        <w:rPr>
          <w:rFonts w:ascii="Arial" w:hAnsi="Arial"/>
          <w:sz w:val="21"/>
          <w:szCs w:val="21"/>
        </w:rPr>
        <w:t xml:space="preserve">set of indicators encompass all of these elements. </w:t>
      </w:r>
    </w:p>
    <w:p w14:paraId="4DC2B432" w14:textId="77777777" w:rsidR="00BC794F" w:rsidRPr="004967DC" w:rsidRDefault="00EB2504" w:rsidP="00CA5888">
      <w:pPr>
        <w:pStyle w:val="NormalWeb"/>
        <w:spacing w:beforeLines="0" w:afterLines="0" w:line="360" w:lineRule="auto"/>
        <w:jc w:val="both"/>
        <w:rPr>
          <w:rFonts w:ascii="Arial" w:hAnsi="Arial"/>
          <w:sz w:val="21"/>
          <w:szCs w:val="21"/>
        </w:rPr>
      </w:pPr>
      <w:r w:rsidRPr="004967DC">
        <w:rPr>
          <w:rFonts w:ascii="Arial" w:hAnsi="Arial"/>
          <w:sz w:val="21"/>
          <w:szCs w:val="21"/>
        </w:rPr>
        <w:t>Prior to development of pension portfolio within the EU social indicators,</w:t>
      </w:r>
      <w:r w:rsidR="0060512D" w:rsidRPr="004967DC">
        <w:rPr>
          <w:rFonts w:ascii="Arial" w:hAnsi="Arial"/>
          <w:sz w:val="21"/>
          <w:szCs w:val="21"/>
        </w:rPr>
        <w:t xml:space="preserve"> </w:t>
      </w:r>
      <w:r w:rsidR="00207BFB" w:rsidRPr="004967DC">
        <w:rPr>
          <w:rFonts w:ascii="Arial" w:hAnsi="Arial"/>
          <w:sz w:val="21"/>
          <w:szCs w:val="21"/>
        </w:rPr>
        <w:t>EC C</w:t>
      </w:r>
      <w:r w:rsidR="00207C34" w:rsidRPr="004967DC">
        <w:rPr>
          <w:rFonts w:ascii="Arial" w:hAnsi="Arial"/>
          <w:sz w:val="21"/>
          <w:szCs w:val="21"/>
        </w:rPr>
        <w:t xml:space="preserve">ommunication announced both “performance indicators (drawn from statistical data sets developed by </w:t>
      </w:r>
      <w:r w:rsidR="00687504" w:rsidRPr="004967DC">
        <w:rPr>
          <w:rFonts w:ascii="Arial" w:hAnsi="Arial"/>
          <w:sz w:val="21"/>
          <w:szCs w:val="21"/>
        </w:rPr>
        <w:t xml:space="preserve">Eurostat </w:t>
      </w:r>
      <w:r w:rsidR="00207C34" w:rsidRPr="004967DC">
        <w:rPr>
          <w:rFonts w:ascii="Arial" w:hAnsi="Arial"/>
          <w:sz w:val="21"/>
          <w:szCs w:val="21"/>
        </w:rPr>
        <w:t xml:space="preserve">or international </w:t>
      </w:r>
      <w:r w:rsidR="0099108D" w:rsidRPr="004967DC">
        <w:rPr>
          <w:rFonts w:ascii="Arial" w:hAnsi="Arial"/>
          <w:sz w:val="21"/>
          <w:szCs w:val="21"/>
        </w:rPr>
        <w:t>organizations</w:t>
      </w:r>
      <w:r w:rsidR="00207C34" w:rsidRPr="004967DC">
        <w:rPr>
          <w:rFonts w:ascii="Arial" w:hAnsi="Arial"/>
          <w:sz w:val="21"/>
          <w:szCs w:val="21"/>
        </w:rPr>
        <w:t>) as well as policy indicators (mostly drawn from administrativ</w:t>
      </w:r>
      <w:r w:rsidR="00C516D3" w:rsidRPr="004967DC">
        <w:rPr>
          <w:rFonts w:ascii="Arial" w:hAnsi="Arial"/>
          <w:sz w:val="21"/>
          <w:szCs w:val="21"/>
        </w:rPr>
        <w:t>e or institutional information</w:t>
      </w:r>
      <w:r w:rsidR="00335E51" w:rsidRPr="004967DC">
        <w:rPr>
          <w:rFonts w:ascii="Arial" w:hAnsi="Arial"/>
          <w:sz w:val="21"/>
          <w:szCs w:val="21"/>
        </w:rPr>
        <w:t>)</w:t>
      </w:r>
      <w:r w:rsidR="00C516D3" w:rsidRPr="004967DC">
        <w:rPr>
          <w:rFonts w:ascii="Arial" w:hAnsi="Arial"/>
          <w:sz w:val="21"/>
          <w:szCs w:val="21"/>
        </w:rPr>
        <w:t>”</w:t>
      </w:r>
      <w:r w:rsidR="001651B3" w:rsidRPr="004967DC">
        <w:rPr>
          <w:rFonts w:ascii="Arial" w:hAnsi="Arial"/>
          <w:sz w:val="21"/>
          <w:szCs w:val="21"/>
        </w:rPr>
        <w:t xml:space="preserve"> </w:t>
      </w:r>
      <w:r w:rsidR="00687504" w:rsidRPr="004967DC">
        <w:rPr>
          <w:rFonts w:ascii="Arial" w:hAnsi="Arial"/>
          <w:sz w:val="21"/>
          <w:szCs w:val="21"/>
        </w:rPr>
        <w:t xml:space="preserve">in July 2001. </w:t>
      </w:r>
      <w:r w:rsidR="001651B3" w:rsidRPr="004967DC">
        <w:rPr>
          <w:rFonts w:ascii="Arial" w:hAnsi="Arial"/>
          <w:sz w:val="21"/>
          <w:szCs w:val="21"/>
        </w:rPr>
        <w:t xml:space="preserve">However, </w:t>
      </w:r>
      <w:r w:rsidR="00207C34" w:rsidRPr="004967DC">
        <w:rPr>
          <w:rFonts w:ascii="Arial" w:hAnsi="Arial"/>
          <w:sz w:val="21"/>
          <w:szCs w:val="21"/>
        </w:rPr>
        <w:t>EU pension portfoli</w:t>
      </w:r>
      <w:r w:rsidR="00197F08" w:rsidRPr="004967DC">
        <w:rPr>
          <w:rFonts w:ascii="Arial" w:hAnsi="Arial"/>
          <w:sz w:val="21"/>
          <w:szCs w:val="21"/>
        </w:rPr>
        <w:t xml:space="preserve">o </w:t>
      </w:r>
      <w:r w:rsidR="00687504" w:rsidRPr="004967DC">
        <w:rPr>
          <w:rFonts w:ascii="Arial" w:hAnsi="Arial"/>
          <w:sz w:val="21"/>
          <w:szCs w:val="21"/>
        </w:rPr>
        <w:t xml:space="preserve">left out, to a large extent, the “policy” indicators, while </w:t>
      </w:r>
      <w:r w:rsidR="00C123D1" w:rsidRPr="004967DC">
        <w:rPr>
          <w:rFonts w:ascii="Arial" w:hAnsi="Arial"/>
          <w:sz w:val="21"/>
          <w:szCs w:val="21"/>
        </w:rPr>
        <w:t>focusing</w:t>
      </w:r>
      <w:r w:rsidR="005D0B5B" w:rsidRPr="004967DC">
        <w:rPr>
          <w:rFonts w:ascii="Arial" w:hAnsi="Arial"/>
          <w:sz w:val="21"/>
          <w:szCs w:val="21"/>
        </w:rPr>
        <w:t xml:space="preserve"> on performance </w:t>
      </w:r>
      <w:r w:rsidR="00687504" w:rsidRPr="004967DC">
        <w:rPr>
          <w:rFonts w:ascii="Arial" w:hAnsi="Arial"/>
          <w:sz w:val="21"/>
          <w:szCs w:val="21"/>
        </w:rPr>
        <w:t xml:space="preserve">– </w:t>
      </w:r>
      <w:r w:rsidR="0057304A" w:rsidRPr="004967DC">
        <w:rPr>
          <w:rFonts w:ascii="Arial" w:hAnsi="Arial"/>
          <w:sz w:val="21"/>
          <w:szCs w:val="21"/>
        </w:rPr>
        <w:t xml:space="preserve">on </w:t>
      </w:r>
      <w:r w:rsidR="0036458E" w:rsidRPr="004967DC">
        <w:rPr>
          <w:rFonts w:ascii="Arial" w:hAnsi="Arial"/>
          <w:sz w:val="21"/>
          <w:szCs w:val="21"/>
        </w:rPr>
        <w:t>income and poverty of elderly</w:t>
      </w:r>
      <w:r w:rsidR="00335E51" w:rsidRPr="004967DC">
        <w:rPr>
          <w:rFonts w:ascii="Arial" w:hAnsi="Arial"/>
          <w:sz w:val="21"/>
          <w:szCs w:val="21"/>
        </w:rPr>
        <w:t xml:space="preserve"> in particular</w:t>
      </w:r>
      <w:r w:rsidR="00207C34" w:rsidRPr="004967DC">
        <w:rPr>
          <w:rFonts w:ascii="Arial" w:hAnsi="Arial"/>
          <w:sz w:val="21"/>
          <w:szCs w:val="21"/>
        </w:rPr>
        <w:t xml:space="preserve">. </w:t>
      </w:r>
      <w:r w:rsidR="001651B3" w:rsidRPr="004967DC">
        <w:rPr>
          <w:rFonts w:ascii="Arial" w:hAnsi="Arial"/>
          <w:sz w:val="21"/>
          <w:szCs w:val="21"/>
        </w:rPr>
        <w:t xml:space="preserve">Although </w:t>
      </w:r>
      <w:r w:rsidR="0036458E" w:rsidRPr="004967DC">
        <w:rPr>
          <w:rFonts w:ascii="Arial" w:hAnsi="Arial"/>
          <w:sz w:val="21"/>
          <w:szCs w:val="21"/>
        </w:rPr>
        <w:t>SPC-</w:t>
      </w:r>
      <w:r w:rsidR="00197F08" w:rsidRPr="004967DC">
        <w:rPr>
          <w:rFonts w:ascii="Arial" w:hAnsi="Arial"/>
          <w:sz w:val="21"/>
          <w:szCs w:val="21"/>
        </w:rPr>
        <w:t xml:space="preserve">ISG devoted a significant work </w:t>
      </w:r>
      <w:r w:rsidR="004266D4" w:rsidRPr="004967DC">
        <w:rPr>
          <w:rFonts w:ascii="Arial" w:hAnsi="Arial"/>
          <w:sz w:val="21"/>
          <w:szCs w:val="21"/>
        </w:rPr>
        <w:t xml:space="preserve">on </w:t>
      </w:r>
      <w:r w:rsidR="00197F08" w:rsidRPr="004967DC">
        <w:rPr>
          <w:rFonts w:ascii="Arial" w:hAnsi="Arial"/>
          <w:sz w:val="21"/>
          <w:szCs w:val="21"/>
        </w:rPr>
        <w:t>development</w:t>
      </w:r>
      <w:r w:rsidR="0036458E" w:rsidRPr="004967DC">
        <w:rPr>
          <w:rFonts w:ascii="Arial" w:hAnsi="Arial"/>
          <w:sz w:val="21"/>
          <w:szCs w:val="21"/>
        </w:rPr>
        <w:t xml:space="preserve"> of TRR</w:t>
      </w:r>
      <w:r w:rsidR="00B0505B" w:rsidRPr="004967DC">
        <w:rPr>
          <w:rFonts w:ascii="Arial" w:hAnsi="Arial"/>
          <w:sz w:val="21"/>
          <w:szCs w:val="21"/>
        </w:rPr>
        <w:t xml:space="preserve">, </w:t>
      </w:r>
      <w:r w:rsidR="00335E51" w:rsidRPr="004967DC">
        <w:rPr>
          <w:rFonts w:ascii="Arial" w:hAnsi="Arial"/>
          <w:sz w:val="21"/>
          <w:szCs w:val="21"/>
        </w:rPr>
        <w:t xml:space="preserve">both current and perspective, </w:t>
      </w:r>
      <w:r w:rsidR="001651B3" w:rsidRPr="004967DC">
        <w:rPr>
          <w:rFonts w:ascii="Arial" w:hAnsi="Arial"/>
          <w:sz w:val="21"/>
          <w:szCs w:val="21"/>
        </w:rPr>
        <w:t>the only</w:t>
      </w:r>
      <w:r w:rsidR="00335E51" w:rsidRPr="004967DC">
        <w:rPr>
          <w:rFonts w:ascii="Arial" w:hAnsi="Arial"/>
          <w:sz w:val="21"/>
          <w:szCs w:val="21"/>
        </w:rPr>
        <w:t xml:space="preserve"> design</w:t>
      </w:r>
      <w:r w:rsidR="001651B3" w:rsidRPr="004967DC">
        <w:rPr>
          <w:rFonts w:ascii="Arial" w:hAnsi="Arial"/>
          <w:sz w:val="21"/>
          <w:szCs w:val="21"/>
        </w:rPr>
        <w:t xml:space="preserve"> indicator </w:t>
      </w:r>
      <w:r w:rsidR="006C2846" w:rsidRPr="004967DC">
        <w:rPr>
          <w:rFonts w:ascii="Arial" w:hAnsi="Arial"/>
          <w:sz w:val="21"/>
          <w:szCs w:val="21"/>
        </w:rPr>
        <w:t>included in pension portfolio</w:t>
      </w:r>
      <w:r w:rsidR="0017412C" w:rsidRPr="004967DC">
        <w:rPr>
          <w:rFonts w:ascii="Arial" w:hAnsi="Arial"/>
          <w:sz w:val="21"/>
          <w:szCs w:val="21"/>
        </w:rPr>
        <w:t xml:space="preserve"> </w:t>
      </w:r>
      <w:r w:rsidR="001651B3" w:rsidRPr="004967DC">
        <w:rPr>
          <w:rFonts w:ascii="Arial" w:hAnsi="Arial"/>
          <w:sz w:val="21"/>
          <w:szCs w:val="21"/>
        </w:rPr>
        <w:t>is the change in TRR</w:t>
      </w:r>
      <w:r w:rsidR="00FF16CA" w:rsidRPr="004967DC">
        <w:rPr>
          <w:rFonts w:ascii="Arial" w:hAnsi="Arial"/>
          <w:sz w:val="21"/>
          <w:szCs w:val="21"/>
        </w:rPr>
        <w:t xml:space="preserve"> for base case worker since 2006 to 2046</w:t>
      </w:r>
      <w:r w:rsidR="00335E51" w:rsidRPr="004967DC">
        <w:rPr>
          <w:rStyle w:val="FootnoteReference"/>
          <w:rFonts w:ascii="Arial" w:hAnsi="Arial"/>
          <w:sz w:val="21"/>
          <w:szCs w:val="21"/>
        </w:rPr>
        <w:footnoteReference w:id="13"/>
      </w:r>
      <w:r w:rsidR="00D035B7" w:rsidRPr="004967DC">
        <w:rPr>
          <w:rFonts w:ascii="Arial" w:hAnsi="Arial"/>
          <w:sz w:val="21"/>
          <w:szCs w:val="21"/>
        </w:rPr>
        <w:t>.</w:t>
      </w:r>
    </w:p>
    <w:p w14:paraId="4187B9FB" w14:textId="77777777" w:rsidR="00BC794F" w:rsidRPr="004967DC" w:rsidRDefault="004266D4" w:rsidP="00CA5888">
      <w:pPr>
        <w:pStyle w:val="NormalWeb"/>
        <w:spacing w:beforeLines="0" w:afterLines="0" w:line="360" w:lineRule="auto"/>
        <w:jc w:val="both"/>
        <w:rPr>
          <w:rFonts w:ascii="Arial" w:hAnsi="Arial"/>
          <w:sz w:val="21"/>
          <w:szCs w:val="21"/>
        </w:rPr>
      </w:pPr>
      <w:r w:rsidRPr="004967DC">
        <w:rPr>
          <w:rFonts w:ascii="Arial" w:hAnsi="Arial"/>
          <w:sz w:val="21"/>
          <w:szCs w:val="21"/>
        </w:rPr>
        <w:t xml:space="preserve">On the other </w:t>
      </w:r>
      <w:r w:rsidR="00687504" w:rsidRPr="004967DC">
        <w:rPr>
          <w:rFonts w:ascii="Arial" w:hAnsi="Arial"/>
          <w:sz w:val="21"/>
          <w:szCs w:val="21"/>
        </w:rPr>
        <w:t>hand</w:t>
      </w:r>
      <w:r w:rsidRPr="004967DC">
        <w:rPr>
          <w:rFonts w:ascii="Arial" w:hAnsi="Arial"/>
          <w:sz w:val="21"/>
          <w:szCs w:val="21"/>
        </w:rPr>
        <w:t xml:space="preserve">, </w:t>
      </w:r>
      <w:r w:rsidR="00687504" w:rsidRPr="004967DC">
        <w:rPr>
          <w:rFonts w:ascii="Arial" w:hAnsi="Arial"/>
          <w:sz w:val="21"/>
          <w:szCs w:val="21"/>
        </w:rPr>
        <w:t xml:space="preserve">World </w:t>
      </w:r>
      <w:r w:rsidRPr="004967DC">
        <w:rPr>
          <w:rFonts w:ascii="Arial" w:hAnsi="Arial"/>
          <w:sz w:val="21"/>
          <w:szCs w:val="21"/>
        </w:rPr>
        <w:t>B</w:t>
      </w:r>
      <w:r w:rsidR="00687504" w:rsidRPr="004967DC">
        <w:rPr>
          <w:rFonts w:ascii="Arial" w:hAnsi="Arial"/>
          <w:sz w:val="21"/>
          <w:szCs w:val="21"/>
        </w:rPr>
        <w:t>ank</w:t>
      </w:r>
      <w:r w:rsidRPr="004967DC">
        <w:rPr>
          <w:rFonts w:ascii="Arial" w:hAnsi="Arial"/>
          <w:sz w:val="21"/>
          <w:szCs w:val="21"/>
        </w:rPr>
        <w:t xml:space="preserve"> and OECD </w:t>
      </w:r>
      <w:r w:rsidR="00D035B7" w:rsidRPr="004967DC">
        <w:rPr>
          <w:rFonts w:ascii="Arial" w:hAnsi="Arial"/>
          <w:sz w:val="21"/>
          <w:szCs w:val="21"/>
        </w:rPr>
        <w:t>include a</w:t>
      </w:r>
      <w:r w:rsidRPr="004967DC">
        <w:rPr>
          <w:rFonts w:ascii="Arial" w:hAnsi="Arial"/>
          <w:sz w:val="21"/>
          <w:szCs w:val="21"/>
        </w:rPr>
        <w:t xml:space="preserve"> significant number of </w:t>
      </w:r>
      <w:r w:rsidRPr="004967DC">
        <w:rPr>
          <w:rFonts w:ascii="Arial" w:hAnsi="Arial"/>
          <w:b/>
          <w:sz w:val="21"/>
          <w:szCs w:val="21"/>
        </w:rPr>
        <w:t xml:space="preserve">design </w:t>
      </w:r>
      <w:r w:rsidR="00741F20" w:rsidRPr="004967DC">
        <w:rPr>
          <w:rFonts w:ascii="Arial" w:hAnsi="Arial"/>
          <w:b/>
          <w:sz w:val="21"/>
          <w:szCs w:val="21"/>
        </w:rPr>
        <w:t xml:space="preserve">information and </w:t>
      </w:r>
      <w:r w:rsidRPr="004967DC">
        <w:rPr>
          <w:rFonts w:ascii="Arial" w:hAnsi="Arial"/>
          <w:b/>
          <w:sz w:val="21"/>
          <w:szCs w:val="21"/>
        </w:rPr>
        <w:t>indicators</w:t>
      </w:r>
      <w:r w:rsidR="00D035B7" w:rsidRPr="004967DC">
        <w:rPr>
          <w:rFonts w:ascii="Arial" w:hAnsi="Arial"/>
          <w:sz w:val="21"/>
          <w:szCs w:val="21"/>
        </w:rPr>
        <w:t xml:space="preserve"> in their sets of indicators. </w:t>
      </w:r>
      <w:r w:rsidR="00930433" w:rsidRPr="004967DC">
        <w:rPr>
          <w:rFonts w:ascii="Arial" w:hAnsi="Arial"/>
          <w:sz w:val="21"/>
          <w:szCs w:val="21"/>
        </w:rPr>
        <w:t>T</w:t>
      </w:r>
      <w:r w:rsidRPr="004967DC">
        <w:rPr>
          <w:rFonts w:ascii="Arial" w:hAnsi="Arial"/>
          <w:sz w:val="21"/>
          <w:szCs w:val="21"/>
        </w:rPr>
        <w:t xml:space="preserve">his type of </w:t>
      </w:r>
      <w:r w:rsidR="00930433" w:rsidRPr="004967DC">
        <w:rPr>
          <w:rFonts w:ascii="Arial" w:hAnsi="Arial"/>
          <w:sz w:val="21"/>
          <w:szCs w:val="21"/>
        </w:rPr>
        <w:t xml:space="preserve">information and </w:t>
      </w:r>
      <w:r w:rsidRPr="004967DC">
        <w:rPr>
          <w:rFonts w:ascii="Arial" w:hAnsi="Arial"/>
          <w:sz w:val="21"/>
          <w:szCs w:val="21"/>
        </w:rPr>
        <w:t>indicators</w:t>
      </w:r>
      <w:r w:rsidR="0031590A" w:rsidRPr="004967DC">
        <w:rPr>
          <w:rFonts w:ascii="Arial" w:hAnsi="Arial"/>
          <w:sz w:val="21"/>
          <w:szCs w:val="21"/>
        </w:rPr>
        <w:t xml:space="preserve"> </w:t>
      </w:r>
      <w:r w:rsidR="007D0382" w:rsidRPr="004967DC">
        <w:rPr>
          <w:rFonts w:ascii="Arial" w:hAnsi="Arial"/>
          <w:sz w:val="21"/>
          <w:szCs w:val="21"/>
        </w:rPr>
        <w:t xml:space="preserve">are important and </w:t>
      </w:r>
      <w:r w:rsidR="00DF3EC4" w:rsidRPr="004967DC">
        <w:rPr>
          <w:rFonts w:ascii="Arial" w:hAnsi="Arial"/>
          <w:sz w:val="21"/>
          <w:szCs w:val="21"/>
        </w:rPr>
        <w:t xml:space="preserve">will </w:t>
      </w:r>
      <w:r w:rsidRPr="004967DC">
        <w:rPr>
          <w:rFonts w:ascii="Arial" w:hAnsi="Arial"/>
          <w:sz w:val="21"/>
          <w:szCs w:val="21"/>
        </w:rPr>
        <w:t xml:space="preserve">be </w:t>
      </w:r>
      <w:r w:rsidR="00930433" w:rsidRPr="004967DC">
        <w:rPr>
          <w:rFonts w:ascii="Arial" w:hAnsi="Arial"/>
          <w:sz w:val="21"/>
          <w:szCs w:val="21"/>
        </w:rPr>
        <w:t>dubbed</w:t>
      </w:r>
      <w:r w:rsidR="00722A3E" w:rsidRPr="004967DC">
        <w:rPr>
          <w:rFonts w:ascii="Arial" w:hAnsi="Arial"/>
          <w:sz w:val="21"/>
          <w:szCs w:val="21"/>
        </w:rPr>
        <w:t xml:space="preserve"> </w:t>
      </w:r>
      <w:r w:rsidR="00687504" w:rsidRPr="004967DC">
        <w:rPr>
          <w:rFonts w:ascii="Arial" w:hAnsi="Arial"/>
          <w:sz w:val="21"/>
          <w:szCs w:val="21"/>
        </w:rPr>
        <w:t xml:space="preserve">the </w:t>
      </w:r>
      <w:r w:rsidR="002745A6" w:rsidRPr="004967DC">
        <w:rPr>
          <w:rFonts w:ascii="Arial" w:hAnsi="Arial"/>
          <w:b/>
          <w:sz w:val="21"/>
          <w:szCs w:val="21"/>
        </w:rPr>
        <w:t xml:space="preserve">design </w:t>
      </w:r>
      <w:r w:rsidR="00741F20" w:rsidRPr="004967DC">
        <w:rPr>
          <w:rFonts w:ascii="Arial" w:hAnsi="Arial"/>
          <w:b/>
          <w:sz w:val="21"/>
          <w:szCs w:val="21"/>
        </w:rPr>
        <w:t>information</w:t>
      </w:r>
      <w:r w:rsidR="002745A6" w:rsidRPr="004967DC">
        <w:rPr>
          <w:rFonts w:ascii="Arial" w:hAnsi="Arial"/>
          <w:b/>
          <w:sz w:val="21"/>
          <w:szCs w:val="21"/>
        </w:rPr>
        <w:t>/indicators</w:t>
      </w:r>
      <w:r w:rsidRPr="004967DC">
        <w:rPr>
          <w:rStyle w:val="FootnoteReference"/>
          <w:rFonts w:ascii="Arial" w:hAnsi="Arial"/>
          <w:sz w:val="21"/>
          <w:szCs w:val="21"/>
        </w:rPr>
        <w:footnoteReference w:id="14"/>
      </w:r>
      <w:r w:rsidRPr="004967DC">
        <w:rPr>
          <w:rFonts w:ascii="Arial" w:hAnsi="Arial"/>
          <w:sz w:val="21"/>
          <w:szCs w:val="21"/>
        </w:rPr>
        <w:t xml:space="preserve">. </w:t>
      </w:r>
    </w:p>
    <w:p w14:paraId="0EF6A788" w14:textId="77777777" w:rsidR="0018035A" w:rsidRPr="004967DC" w:rsidRDefault="009D4714" w:rsidP="00CA5888">
      <w:pPr>
        <w:pStyle w:val="NormalWeb"/>
        <w:spacing w:beforeLines="0" w:afterLines="0" w:line="360" w:lineRule="auto"/>
        <w:jc w:val="both"/>
        <w:rPr>
          <w:rFonts w:ascii="Arial" w:hAnsi="Arial"/>
          <w:sz w:val="21"/>
          <w:szCs w:val="21"/>
        </w:rPr>
      </w:pPr>
      <w:r w:rsidRPr="004967DC">
        <w:rPr>
          <w:rFonts w:ascii="Arial" w:hAnsi="Arial"/>
          <w:sz w:val="21"/>
          <w:szCs w:val="21"/>
        </w:rPr>
        <w:t>Beside information on parameters of the system</w:t>
      </w:r>
      <w:r w:rsidR="002563A0" w:rsidRPr="004967DC">
        <w:rPr>
          <w:rFonts w:ascii="Arial" w:hAnsi="Arial"/>
          <w:sz w:val="21"/>
          <w:szCs w:val="21"/>
        </w:rPr>
        <w:t xml:space="preserve"> such as indexation rules, retirement age and similar</w:t>
      </w:r>
      <w:r w:rsidRPr="004967DC">
        <w:rPr>
          <w:rFonts w:ascii="Arial" w:hAnsi="Arial"/>
          <w:sz w:val="21"/>
          <w:szCs w:val="21"/>
        </w:rPr>
        <w:t xml:space="preserve">, </w:t>
      </w:r>
      <w:r w:rsidR="002563A0" w:rsidRPr="004967DC">
        <w:rPr>
          <w:rFonts w:ascii="Arial" w:hAnsi="Arial"/>
          <w:sz w:val="21"/>
          <w:szCs w:val="21"/>
        </w:rPr>
        <w:t>this group</w:t>
      </w:r>
      <w:r w:rsidRPr="004967DC">
        <w:rPr>
          <w:rFonts w:ascii="Arial" w:hAnsi="Arial"/>
          <w:sz w:val="21"/>
          <w:szCs w:val="21"/>
        </w:rPr>
        <w:t xml:space="preserve"> </w:t>
      </w:r>
      <w:r w:rsidR="002563A0" w:rsidRPr="004967DC">
        <w:rPr>
          <w:rFonts w:ascii="Arial" w:hAnsi="Arial"/>
          <w:sz w:val="21"/>
          <w:szCs w:val="21"/>
        </w:rPr>
        <w:t xml:space="preserve">usually </w:t>
      </w:r>
      <w:r w:rsidRPr="004967DC">
        <w:rPr>
          <w:rFonts w:ascii="Arial" w:hAnsi="Arial"/>
          <w:sz w:val="21"/>
          <w:szCs w:val="21"/>
        </w:rPr>
        <w:t>include</w:t>
      </w:r>
      <w:r w:rsidR="002563A0" w:rsidRPr="004967DC">
        <w:rPr>
          <w:rFonts w:ascii="Arial" w:hAnsi="Arial"/>
          <w:sz w:val="21"/>
          <w:szCs w:val="21"/>
        </w:rPr>
        <w:t>s</w:t>
      </w:r>
      <w:r w:rsidRPr="004967DC">
        <w:rPr>
          <w:rFonts w:ascii="Arial" w:hAnsi="Arial"/>
          <w:sz w:val="21"/>
          <w:szCs w:val="21"/>
        </w:rPr>
        <w:t xml:space="preserve"> indicators that depict generosity of pension system (current and pros</w:t>
      </w:r>
      <w:r w:rsidR="002563A0" w:rsidRPr="004967DC">
        <w:rPr>
          <w:rFonts w:ascii="Arial" w:hAnsi="Arial"/>
          <w:sz w:val="21"/>
          <w:szCs w:val="21"/>
        </w:rPr>
        <w:t>pective TRR, pension wealth) and</w:t>
      </w:r>
      <w:r w:rsidR="00BC03DA" w:rsidRPr="004967DC">
        <w:rPr>
          <w:rFonts w:ascii="Arial" w:hAnsi="Arial"/>
          <w:sz w:val="21"/>
          <w:szCs w:val="21"/>
        </w:rPr>
        <w:t xml:space="preserve"> measure</w:t>
      </w:r>
      <w:r w:rsidR="002563A0" w:rsidRPr="004967DC">
        <w:rPr>
          <w:rFonts w:ascii="Arial" w:hAnsi="Arial"/>
          <w:sz w:val="21"/>
          <w:szCs w:val="21"/>
        </w:rPr>
        <w:t xml:space="preserve"> vertical redistribution (such as OECD progressivity index, pension variation</w:t>
      </w:r>
      <w:r w:rsidR="00BC03DA" w:rsidRPr="004967DC">
        <w:rPr>
          <w:rFonts w:ascii="Arial" w:hAnsi="Arial"/>
          <w:sz w:val="21"/>
          <w:szCs w:val="21"/>
        </w:rPr>
        <w:t xml:space="preserve"> etc.</w:t>
      </w:r>
      <w:r w:rsidR="002563A0" w:rsidRPr="004967DC">
        <w:rPr>
          <w:rFonts w:ascii="Arial" w:hAnsi="Arial"/>
          <w:sz w:val="21"/>
          <w:szCs w:val="21"/>
        </w:rPr>
        <w:t xml:space="preserve">). </w:t>
      </w:r>
      <w:r w:rsidR="005D2702" w:rsidRPr="004967DC">
        <w:rPr>
          <w:rFonts w:ascii="Arial" w:hAnsi="Arial"/>
          <w:sz w:val="21"/>
          <w:szCs w:val="21"/>
        </w:rPr>
        <w:t>As pension</w:t>
      </w:r>
      <w:r w:rsidR="0018035A" w:rsidRPr="004967DC">
        <w:rPr>
          <w:rFonts w:ascii="Arial" w:hAnsi="Arial"/>
          <w:sz w:val="21"/>
          <w:szCs w:val="21"/>
        </w:rPr>
        <w:t xml:space="preserve"> system in Serbia is set as Bismarckian type, with </w:t>
      </w:r>
      <w:r w:rsidR="005D2702" w:rsidRPr="004967DC">
        <w:rPr>
          <w:rFonts w:ascii="Arial" w:hAnsi="Arial"/>
          <w:sz w:val="21"/>
          <w:szCs w:val="21"/>
        </w:rPr>
        <w:t xml:space="preserve">a </w:t>
      </w:r>
      <w:r w:rsidR="0018035A" w:rsidRPr="004967DC">
        <w:rPr>
          <w:rFonts w:ascii="Arial" w:hAnsi="Arial"/>
          <w:sz w:val="21"/>
          <w:szCs w:val="21"/>
        </w:rPr>
        <w:t xml:space="preserve">very strong link between previous earnings and pension entitlements, </w:t>
      </w:r>
      <w:r w:rsidR="00EE25BF" w:rsidRPr="004967DC">
        <w:rPr>
          <w:rFonts w:ascii="Arial" w:hAnsi="Arial"/>
          <w:sz w:val="21"/>
          <w:szCs w:val="21"/>
        </w:rPr>
        <w:t>th</w:t>
      </w:r>
      <w:r w:rsidR="007A3CA3" w:rsidRPr="004967DC">
        <w:rPr>
          <w:rFonts w:ascii="Arial" w:hAnsi="Arial"/>
          <w:sz w:val="21"/>
          <w:szCs w:val="21"/>
        </w:rPr>
        <w:t xml:space="preserve">e only redistributive element </w:t>
      </w:r>
      <w:r w:rsidR="0018035A" w:rsidRPr="004967DC">
        <w:rPr>
          <w:rFonts w:ascii="Arial" w:hAnsi="Arial"/>
          <w:sz w:val="21"/>
          <w:szCs w:val="21"/>
        </w:rPr>
        <w:t>within the old-age pension system</w:t>
      </w:r>
      <w:r w:rsidR="00D0361E" w:rsidRPr="004967DC">
        <w:rPr>
          <w:rFonts w:ascii="Arial" w:hAnsi="Arial"/>
          <w:sz w:val="21"/>
          <w:szCs w:val="21"/>
        </w:rPr>
        <w:t>,</w:t>
      </w:r>
      <w:r w:rsidR="0018035A" w:rsidRPr="004967DC">
        <w:rPr>
          <w:rFonts w:ascii="Arial" w:hAnsi="Arial"/>
          <w:sz w:val="21"/>
          <w:szCs w:val="21"/>
        </w:rPr>
        <w:t xml:space="preserve"> </w:t>
      </w:r>
      <w:r w:rsidR="007A3CA3" w:rsidRPr="004967DC">
        <w:rPr>
          <w:rFonts w:ascii="Arial" w:hAnsi="Arial"/>
          <w:sz w:val="21"/>
          <w:szCs w:val="21"/>
        </w:rPr>
        <w:t>in terms of vertical redistribution</w:t>
      </w:r>
      <w:r w:rsidR="00D0361E" w:rsidRPr="004967DC">
        <w:rPr>
          <w:rFonts w:ascii="Arial" w:hAnsi="Arial"/>
          <w:sz w:val="21"/>
          <w:szCs w:val="21"/>
        </w:rPr>
        <w:t>,</w:t>
      </w:r>
      <w:r w:rsidR="007A3CA3" w:rsidRPr="004967DC">
        <w:rPr>
          <w:rFonts w:ascii="Arial" w:hAnsi="Arial"/>
          <w:sz w:val="21"/>
          <w:szCs w:val="21"/>
        </w:rPr>
        <w:t xml:space="preserve"> </w:t>
      </w:r>
      <w:r w:rsidR="0018035A" w:rsidRPr="004967DC">
        <w:rPr>
          <w:rFonts w:ascii="Arial" w:hAnsi="Arial"/>
          <w:sz w:val="21"/>
          <w:szCs w:val="21"/>
        </w:rPr>
        <w:t>is minimum pension</w:t>
      </w:r>
      <w:r w:rsidR="007A3CA3" w:rsidRPr="004967DC">
        <w:rPr>
          <w:rStyle w:val="FootnoteReference"/>
          <w:rFonts w:ascii="Arial" w:hAnsi="Arial"/>
          <w:sz w:val="21"/>
          <w:szCs w:val="21"/>
        </w:rPr>
        <w:footnoteReference w:id="15"/>
      </w:r>
      <w:r w:rsidR="0018035A" w:rsidRPr="004967DC">
        <w:rPr>
          <w:rFonts w:ascii="Arial" w:hAnsi="Arial"/>
          <w:sz w:val="21"/>
          <w:szCs w:val="21"/>
        </w:rPr>
        <w:t xml:space="preserve">. Therefore, measure of </w:t>
      </w:r>
      <w:r w:rsidR="005D2702" w:rsidRPr="004967DC">
        <w:rPr>
          <w:rFonts w:ascii="Arial" w:hAnsi="Arial"/>
          <w:sz w:val="21"/>
          <w:szCs w:val="21"/>
        </w:rPr>
        <w:t xml:space="preserve">vertical </w:t>
      </w:r>
      <w:r w:rsidR="005D2702" w:rsidRPr="004967DC">
        <w:rPr>
          <w:rFonts w:ascii="Arial" w:hAnsi="Arial"/>
          <w:color w:val="000000" w:themeColor="text1"/>
          <w:sz w:val="21"/>
          <w:szCs w:val="21"/>
        </w:rPr>
        <w:t xml:space="preserve">redistribution (progressivity) so far has not been particularly </w:t>
      </w:r>
      <w:r w:rsidR="00E57873" w:rsidRPr="004967DC">
        <w:rPr>
          <w:rFonts w:ascii="Arial" w:hAnsi="Arial"/>
          <w:color w:val="000000" w:themeColor="text1"/>
          <w:sz w:val="21"/>
          <w:szCs w:val="21"/>
        </w:rPr>
        <w:t>relevant</w:t>
      </w:r>
      <w:r w:rsidR="0018035A" w:rsidRPr="004967DC">
        <w:rPr>
          <w:rFonts w:ascii="Arial" w:hAnsi="Arial"/>
          <w:color w:val="000000" w:themeColor="text1"/>
          <w:sz w:val="21"/>
          <w:szCs w:val="21"/>
        </w:rPr>
        <w:t xml:space="preserve">. </w:t>
      </w:r>
      <w:r w:rsidR="00BC03DA" w:rsidRPr="004967DC">
        <w:rPr>
          <w:rFonts w:ascii="Arial" w:hAnsi="Arial"/>
          <w:color w:val="000000" w:themeColor="text1"/>
          <w:sz w:val="21"/>
          <w:szCs w:val="21"/>
        </w:rPr>
        <w:t>Nevertheless</w:t>
      </w:r>
      <w:r w:rsidR="0018035A" w:rsidRPr="004967DC">
        <w:rPr>
          <w:rFonts w:ascii="Arial" w:hAnsi="Arial"/>
          <w:color w:val="000000" w:themeColor="text1"/>
          <w:sz w:val="21"/>
          <w:szCs w:val="21"/>
        </w:rPr>
        <w:t xml:space="preserve">, with the Law on regulation of temporary pension payment from </w:t>
      </w:r>
      <w:r w:rsidR="00687504" w:rsidRPr="004967DC">
        <w:rPr>
          <w:rFonts w:ascii="Arial" w:hAnsi="Arial"/>
          <w:color w:val="000000" w:themeColor="text1"/>
          <w:sz w:val="21"/>
          <w:szCs w:val="21"/>
        </w:rPr>
        <w:t xml:space="preserve">dubbed design information/indicators </w:t>
      </w:r>
      <w:r w:rsidR="005D2702" w:rsidRPr="004967DC">
        <w:rPr>
          <w:rFonts w:ascii="Arial" w:hAnsi="Arial"/>
          <w:color w:val="000000" w:themeColor="text1"/>
          <w:sz w:val="21"/>
          <w:szCs w:val="21"/>
        </w:rPr>
        <w:t>November</w:t>
      </w:r>
      <w:r w:rsidR="0018035A" w:rsidRPr="004967DC">
        <w:rPr>
          <w:rFonts w:ascii="Arial" w:hAnsi="Arial"/>
          <w:color w:val="000000" w:themeColor="text1"/>
          <w:sz w:val="21"/>
          <w:szCs w:val="21"/>
        </w:rPr>
        <w:t xml:space="preserve"> 2014, where pension higher than 25 thousand dinars were progressively cut, this measure </w:t>
      </w:r>
      <w:r w:rsidR="00496D60" w:rsidRPr="004967DC">
        <w:rPr>
          <w:rFonts w:ascii="Arial" w:hAnsi="Arial"/>
          <w:color w:val="000000" w:themeColor="text1"/>
          <w:sz w:val="21"/>
          <w:szCs w:val="21"/>
        </w:rPr>
        <w:t>could be interesting if this “temporary” pension payment prolongs</w:t>
      </w:r>
      <w:r w:rsidR="00496D60" w:rsidRPr="004967DC">
        <w:rPr>
          <w:rFonts w:ascii="Arial" w:hAnsi="Arial"/>
          <w:sz w:val="21"/>
          <w:szCs w:val="21"/>
        </w:rPr>
        <w:t xml:space="preserve">. </w:t>
      </w:r>
    </w:p>
    <w:p w14:paraId="2785BB9D" w14:textId="77777777" w:rsidR="00435025" w:rsidRPr="004967DC" w:rsidRDefault="00C45D68" w:rsidP="004967DC">
      <w:pPr>
        <w:pStyle w:val="ListParagraph"/>
        <w:spacing w:after="240" w:line="360" w:lineRule="auto"/>
        <w:ind w:left="0"/>
        <w:contextualSpacing w:val="0"/>
        <w:jc w:val="both"/>
        <w:rPr>
          <w:rFonts w:ascii="Arial" w:hAnsi="Arial"/>
          <w:sz w:val="21"/>
          <w:szCs w:val="21"/>
        </w:rPr>
      </w:pPr>
      <w:r w:rsidRPr="004967DC">
        <w:rPr>
          <w:rFonts w:ascii="Arial" w:hAnsi="Arial"/>
          <w:sz w:val="21"/>
          <w:szCs w:val="21"/>
        </w:rPr>
        <w:t xml:space="preserve">One should bear in mind that division of indicators according to </w:t>
      </w:r>
      <w:r w:rsidR="00722A3E" w:rsidRPr="004967DC">
        <w:rPr>
          <w:rFonts w:ascii="Arial" w:hAnsi="Arial"/>
          <w:sz w:val="21"/>
          <w:szCs w:val="21"/>
        </w:rPr>
        <w:t xml:space="preserve">the </w:t>
      </w:r>
      <w:r w:rsidRPr="004967DC">
        <w:rPr>
          <w:rFonts w:ascii="Arial" w:hAnsi="Arial"/>
          <w:sz w:val="21"/>
          <w:szCs w:val="21"/>
        </w:rPr>
        <w:t xml:space="preserve">goals and division of indicators </w:t>
      </w:r>
      <w:r w:rsidR="007D0382" w:rsidRPr="004967DC">
        <w:rPr>
          <w:rFonts w:ascii="Arial" w:hAnsi="Arial"/>
          <w:sz w:val="21"/>
          <w:szCs w:val="21"/>
        </w:rPr>
        <w:t xml:space="preserve">for </w:t>
      </w:r>
      <w:r w:rsidR="00722A3E" w:rsidRPr="004967DC">
        <w:rPr>
          <w:rFonts w:ascii="Arial" w:hAnsi="Arial"/>
          <w:sz w:val="21"/>
          <w:szCs w:val="21"/>
        </w:rPr>
        <w:t>being</w:t>
      </w:r>
      <w:r w:rsidRPr="004967DC">
        <w:rPr>
          <w:rFonts w:ascii="Arial" w:hAnsi="Arial"/>
          <w:sz w:val="21"/>
          <w:szCs w:val="21"/>
        </w:rPr>
        <w:t xml:space="preserve"> actual (performance) vs. design are crossing in a sense that </w:t>
      </w:r>
      <w:r w:rsidR="005D0B5B" w:rsidRPr="004967DC">
        <w:rPr>
          <w:rFonts w:ascii="Arial" w:hAnsi="Arial"/>
          <w:sz w:val="21"/>
          <w:szCs w:val="21"/>
        </w:rPr>
        <w:t xml:space="preserve">a </w:t>
      </w:r>
      <w:r w:rsidR="000F7282" w:rsidRPr="004967DC">
        <w:rPr>
          <w:rFonts w:ascii="Arial" w:hAnsi="Arial"/>
          <w:sz w:val="21"/>
          <w:szCs w:val="21"/>
        </w:rPr>
        <w:t xml:space="preserve">goal </w:t>
      </w:r>
      <w:r w:rsidR="005D0B5B" w:rsidRPr="004967DC">
        <w:rPr>
          <w:rFonts w:ascii="Arial" w:hAnsi="Arial"/>
          <w:sz w:val="21"/>
          <w:szCs w:val="21"/>
        </w:rPr>
        <w:t xml:space="preserve">of pension policy </w:t>
      </w:r>
      <w:r w:rsidR="000F7282" w:rsidRPr="004967DC">
        <w:rPr>
          <w:rFonts w:ascii="Arial" w:hAnsi="Arial"/>
          <w:sz w:val="21"/>
          <w:szCs w:val="21"/>
        </w:rPr>
        <w:t xml:space="preserve">can be measured both by design and performance indicators. For example, adequacy can be measured by </w:t>
      </w:r>
      <w:r w:rsidRPr="004967DC">
        <w:rPr>
          <w:rFonts w:ascii="Arial" w:hAnsi="Arial"/>
          <w:sz w:val="21"/>
          <w:szCs w:val="21"/>
        </w:rPr>
        <w:t xml:space="preserve">design indicators </w:t>
      </w:r>
      <w:r w:rsidR="00435025" w:rsidRPr="004967DC">
        <w:rPr>
          <w:rFonts w:ascii="Arial" w:hAnsi="Arial"/>
          <w:sz w:val="21"/>
          <w:szCs w:val="21"/>
        </w:rPr>
        <w:t xml:space="preserve">(TRRs, </w:t>
      </w:r>
      <w:r w:rsidR="000F7282" w:rsidRPr="004967DC">
        <w:rPr>
          <w:rFonts w:ascii="Arial" w:hAnsi="Arial"/>
          <w:sz w:val="21"/>
          <w:szCs w:val="21"/>
        </w:rPr>
        <w:t xml:space="preserve">pension </w:t>
      </w:r>
      <w:r w:rsidR="00435025" w:rsidRPr="004967DC">
        <w:rPr>
          <w:rFonts w:ascii="Arial" w:hAnsi="Arial"/>
          <w:sz w:val="21"/>
          <w:szCs w:val="21"/>
        </w:rPr>
        <w:t xml:space="preserve">wealth) </w:t>
      </w:r>
      <w:r w:rsidRPr="004967DC">
        <w:rPr>
          <w:rFonts w:ascii="Arial" w:hAnsi="Arial"/>
          <w:sz w:val="21"/>
          <w:szCs w:val="21"/>
        </w:rPr>
        <w:t>as well as</w:t>
      </w:r>
      <w:r w:rsidR="00435025" w:rsidRPr="004967DC">
        <w:rPr>
          <w:rFonts w:ascii="Arial" w:hAnsi="Arial"/>
          <w:sz w:val="21"/>
          <w:szCs w:val="21"/>
        </w:rPr>
        <w:t xml:space="preserve"> with</w:t>
      </w:r>
      <w:r w:rsidRPr="004967DC">
        <w:rPr>
          <w:rFonts w:ascii="Arial" w:hAnsi="Arial"/>
          <w:sz w:val="21"/>
          <w:szCs w:val="21"/>
        </w:rPr>
        <w:t xml:space="preserve"> performance indicators (relative income, actual </w:t>
      </w:r>
      <w:r w:rsidR="00341B3C" w:rsidRPr="004967DC">
        <w:rPr>
          <w:rFonts w:ascii="Arial" w:hAnsi="Arial"/>
          <w:sz w:val="21"/>
          <w:szCs w:val="21"/>
        </w:rPr>
        <w:t>retirement rates</w:t>
      </w:r>
      <w:r w:rsidRPr="004967DC">
        <w:rPr>
          <w:rFonts w:ascii="Arial" w:hAnsi="Arial"/>
          <w:sz w:val="21"/>
          <w:szCs w:val="21"/>
        </w:rPr>
        <w:t>, poverty rates etc.)</w:t>
      </w:r>
      <w:r w:rsidR="00435025" w:rsidRPr="004967DC">
        <w:rPr>
          <w:rFonts w:ascii="Arial" w:hAnsi="Arial"/>
          <w:sz w:val="21"/>
          <w:szCs w:val="21"/>
        </w:rPr>
        <w:t>.</w:t>
      </w:r>
    </w:p>
    <w:p w14:paraId="507B3A25" w14:textId="77777777" w:rsidR="004B710A" w:rsidRPr="004967DC" w:rsidRDefault="005D0B5B" w:rsidP="00CA5888">
      <w:pPr>
        <w:pStyle w:val="ListParagraph"/>
        <w:spacing w:after="240" w:line="360" w:lineRule="auto"/>
        <w:ind w:left="0"/>
        <w:contextualSpacing w:val="0"/>
        <w:jc w:val="both"/>
        <w:rPr>
          <w:rFonts w:ascii="Arial" w:hAnsi="Arial"/>
          <w:sz w:val="21"/>
          <w:szCs w:val="21"/>
        </w:rPr>
      </w:pPr>
      <w:r w:rsidRPr="004967DC">
        <w:rPr>
          <w:rFonts w:ascii="Arial" w:hAnsi="Arial"/>
          <w:sz w:val="21"/>
          <w:szCs w:val="21"/>
        </w:rPr>
        <w:lastRenderedPageBreak/>
        <w:t>O</w:t>
      </w:r>
      <w:r w:rsidR="007D0382" w:rsidRPr="004967DC">
        <w:rPr>
          <w:rFonts w:ascii="Arial" w:hAnsi="Arial"/>
          <w:sz w:val="21"/>
          <w:szCs w:val="21"/>
        </w:rPr>
        <w:t>bjectives</w:t>
      </w:r>
      <w:r w:rsidRPr="004967DC">
        <w:rPr>
          <w:rFonts w:ascii="Arial" w:hAnsi="Arial"/>
          <w:sz w:val="21"/>
          <w:szCs w:val="21"/>
        </w:rPr>
        <w:t>/goals that need to be measured</w:t>
      </w:r>
      <w:r w:rsidR="00435025" w:rsidRPr="004967DC">
        <w:rPr>
          <w:rFonts w:ascii="Arial" w:hAnsi="Arial"/>
          <w:sz w:val="21"/>
          <w:szCs w:val="21"/>
        </w:rPr>
        <w:t xml:space="preserve"> can be defined in various </w:t>
      </w:r>
      <w:r w:rsidR="00926C66" w:rsidRPr="004967DC">
        <w:rPr>
          <w:rFonts w:ascii="Arial" w:hAnsi="Arial"/>
          <w:sz w:val="21"/>
          <w:szCs w:val="21"/>
        </w:rPr>
        <w:t>way</w:t>
      </w:r>
      <w:r w:rsidR="00341B3C" w:rsidRPr="004967DC">
        <w:rPr>
          <w:rFonts w:ascii="Arial" w:hAnsi="Arial"/>
          <w:sz w:val="21"/>
          <w:szCs w:val="21"/>
        </w:rPr>
        <w:t>s</w:t>
      </w:r>
      <w:r w:rsidR="00926C66" w:rsidRPr="004967DC">
        <w:rPr>
          <w:rFonts w:ascii="Arial" w:hAnsi="Arial"/>
          <w:sz w:val="21"/>
          <w:szCs w:val="21"/>
        </w:rPr>
        <w:t>.</w:t>
      </w:r>
      <w:r w:rsidR="00435025" w:rsidRPr="004967DC">
        <w:rPr>
          <w:rFonts w:ascii="Arial" w:hAnsi="Arial"/>
          <w:sz w:val="21"/>
          <w:szCs w:val="21"/>
        </w:rPr>
        <w:t xml:space="preserve"> </w:t>
      </w:r>
      <w:r w:rsidR="00926C66" w:rsidRPr="004967DC">
        <w:rPr>
          <w:rFonts w:ascii="Arial" w:hAnsi="Arial"/>
          <w:sz w:val="21"/>
          <w:szCs w:val="21"/>
        </w:rPr>
        <w:t xml:space="preserve">For example, </w:t>
      </w:r>
      <w:r w:rsidR="00435025" w:rsidRPr="004967DC">
        <w:rPr>
          <w:rFonts w:ascii="Arial" w:hAnsi="Arial"/>
          <w:sz w:val="21"/>
          <w:szCs w:val="21"/>
        </w:rPr>
        <w:t>EU measures 3 dimen</w:t>
      </w:r>
      <w:r w:rsidR="00926C66" w:rsidRPr="004967DC">
        <w:rPr>
          <w:rFonts w:ascii="Arial" w:hAnsi="Arial"/>
          <w:sz w:val="21"/>
          <w:szCs w:val="21"/>
        </w:rPr>
        <w:t>sions – adequacy, sustainability and modernized pensions; W</w:t>
      </w:r>
      <w:r w:rsidR="00341B3C" w:rsidRPr="004967DC">
        <w:rPr>
          <w:rFonts w:ascii="Arial" w:hAnsi="Arial"/>
          <w:sz w:val="21"/>
          <w:szCs w:val="21"/>
        </w:rPr>
        <w:t xml:space="preserve">orld </w:t>
      </w:r>
      <w:r w:rsidR="00926C66" w:rsidRPr="004967DC">
        <w:rPr>
          <w:rFonts w:ascii="Arial" w:hAnsi="Arial"/>
          <w:sz w:val="21"/>
          <w:szCs w:val="21"/>
        </w:rPr>
        <w:t>B</w:t>
      </w:r>
      <w:r w:rsidR="00341B3C" w:rsidRPr="004967DC">
        <w:rPr>
          <w:rFonts w:ascii="Arial" w:hAnsi="Arial"/>
          <w:sz w:val="21"/>
          <w:szCs w:val="21"/>
        </w:rPr>
        <w:t>ank</w:t>
      </w:r>
      <w:r w:rsidR="00926C66" w:rsidRPr="004967DC">
        <w:rPr>
          <w:rFonts w:ascii="Arial" w:hAnsi="Arial"/>
          <w:sz w:val="21"/>
          <w:szCs w:val="21"/>
        </w:rPr>
        <w:t xml:space="preserve"> measures 5</w:t>
      </w:r>
      <w:r w:rsidR="00341B3C" w:rsidRPr="004967DC">
        <w:rPr>
          <w:rFonts w:ascii="Arial" w:hAnsi="Arial"/>
          <w:sz w:val="21"/>
          <w:szCs w:val="21"/>
        </w:rPr>
        <w:t>–</w:t>
      </w:r>
      <w:r w:rsidR="00926C66" w:rsidRPr="004967DC">
        <w:rPr>
          <w:rFonts w:ascii="Arial" w:hAnsi="Arial"/>
          <w:sz w:val="21"/>
          <w:szCs w:val="21"/>
        </w:rPr>
        <w:t xml:space="preserve">6 dimensions – coverage, adequacy (which is in EU portfolio </w:t>
      </w:r>
      <w:r w:rsidR="00903F68" w:rsidRPr="004967DC">
        <w:rPr>
          <w:rFonts w:ascii="Arial" w:hAnsi="Arial"/>
          <w:sz w:val="21"/>
          <w:szCs w:val="21"/>
        </w:rPr>
        <w:t xml:space="preserve">jointly deemed as adequacy), </w:t>
      </w:r>
      <w:r w:rsidR="00926C66" w:rsidRPr="004967DC">
        <w:rPr>
          <w:rFonts w:ascii="Arial" w:hAnsi="Arial"/>
          <w:sz w:val="21"/>
          <w:szCs w:val="21"/>
        </w:rPr>
        <w:t>financial sustainability, economic and administrative efficiency</w:t>
      </w:r>
      <w:r w:rsidR="00903F68" w:rsidRPr="004967DC">
        <w:rPr>
          <w:rFonts w:ascii="Arial" w:hAnsi="Arial"/>
          <w:sz w:val="21"/>
          <w:szCs w:val="21"/>
        </w:rPr>
        <w:t xml:space="preserve"> (that</w:t>
      </w:r>
      <w:r w:rsidR="00926C66" w:rsidRPr="004967DC">
        <w:rPr>
          <w:rFonts w:ascii="Arial" w:hAnsi="Arial"/>
          <w:sz w:val="21"/>
          <w:szCs w:val="21"/>
        </w:rPr>
        <w:t xml:space="preserve"> can also be considered jointly as a broad goal of sustainability/affordability of pensions</w:t>
      </w:r>
      <w:r w:rsidR="00903F68" w:rsidRPr="004967DC">
        <w:rPr>
          <w:rFonts w:ascii="Arial" w:hAnsi="Arial"/>
          <w:sz w:val="21"/>
          <w:szCs w:val="21"/>
        </w:rPr>
        <w:t>)</w:t>
      </w:r>
      <w:r w:rsidR="00926C66" w:rsidRPr="004967DC">
        <w:rPr>
          <w:rFonts w:ascii="Arial" w:hAnsi="Arial"/>
          <w:sz w:val="21"/>
          <w:szCs w:val="21"/>
        </w:rPr>
        <w:t xml:space="preserve">. </w:t>
      </w:r>
      <w:r w:rsidRPr="004967DC">
        <w:rPr>
          <w:rFonts w:ascii="Arial" w:hAnsi="Arial"/>
          <w:sz w:val="21"/>
          <w:szCs w:val="21"/>
        </w:rPr>
        <w:t>OECD measures income and poverty of older people (that is actually adequacy) and f</w:t>
      </w:r>
      <w:r w:rsidR="00CA5888">
        <w:rPr>
          <w:rFonts w:ascii="Arial" w:hAnsi="Arial"/>
          <w:sz w:val="21"/>
          <w:szCs w:val="21"/>
        </w:rPr>
        <w:t>inancing</w:t>
      </w:r>
      <w:r w:rsidRPr="004967DC">
        <w:rPr>
          <w:rFonts w:ascii="Arial" w:hAnsi="Arial"/>
          <w:sz w:val="21"/>
          <w:szCs w:val="21"/>
        </w:rPr>
        <w:t xml:space="preserve"> of retirement-income systems. </w:t>
      </w:r>
    </w:p>
    <w:p w14:paraId="22727B8E" w14:textId="77777777" w:rsidR="00C45D68" w:rsidRPr="004967DC" w:rsidRDefault="00926C66" w:rsidP="004967DC">
      <w:pPr>
        <w:pStyle w:val="ListParagraph"/>
        <w:spacing w:after="240" w:line="360" w:lineRule="auto"/>
        <w:ind w:left="0"/>
        <w:contextualSpacing w:val="0"/>
        <w:jc w:val="both"/>
        <w:rPr>
          <w:rFonts w:ascii="Arial" w:hAnsi="Arial"/>
          <w:sz w:val="21"/>
          <w:szCs w:val="21"/>
        </w:rPr>
      </w:pPr>
      <w:r w:rsidRPr="004967DC">
        <w:rPr>
          <w:rFonts w:ascii="Arial" w:hAnsi="Arial"/>
          <w:b/>
          <w:sz w:val="21"/>
          <w:szCs w:val="21"/>
        </w:rPr>
        <w:t>Adequacy</w:t>
      </w:r>
      <w:r w:rsidR="00F43C8C" w:rsidRPr="004967DC">
        <w:rPr>
          <w:rFonts w:ascii="Arial" w:hAnsi="Arial"/>
          <w:sz w:val="21"/>
          <w:szCs w:val="21"/>
        </w:rPr>
        <w:t xml:space="preserve"> </w:t>
      </w:r>
      <w:r w:rsidR="00341B3C" w:rsidRPr="004967DC">
        <w:rPr>
          <w:rFonts w:ascii="Arial" w:hAnsi="Arial"/>
          <w:sz w:val="21"/>
          <w:szCs w:val="21"/>
        </w:rPr>
        <w:t xml:space="preserve">– </w:t>
      </w:r>
      <w:r w:rsidR="00F43C8C" w:rsidRPr="004967DC">
        <w:rPr>
          <w:rFonts w:ascii="Arial" w:hAnsi="Arial"/>
          <w:sz w:val="21"/>
          <w:szCs w:val="21"/>
        </w:rPr>
        <w:t>being</w:t>
      </w:r>
      <w:r w:rsidR="005D0B5B" w:rsidRPr="004967DC">
        <w:rPr>
          <w:rFonts w:ascii="Arial" w:hAnsi="Arial"/>
          <w:sz w:val="21"/>
          <w:szCs w:val="21"/>
        </w:rPr>
        <w:t xml:space="preserve"> </w:t>
      </w:r>
      <w:r w:rsidR="00761A8D" w:rsidRPr="004967DC">
        <w:rPr>
          <w:rFonts w:ascii="Arial" w:hAnsi="Arial"/>
          <w:sz w:val="21"/>
          <w:szCs w:val="21"/>
        </w:rPr>
        <w:t>a pension policy goal that is most typically measured</w:t>
      </w:r>
      <w:r w:rsidR="000A686E" w:rsidRPr="004967DC">
        <w:rPr>
          <w:rFonts w:ascii="Arial" w:hAnsi="Arial"/>
          <w:sz w:val="21"/>
          <w:szCs w:val="21"/>
        </w:rPr>
        <w:t>,</w:t>
      </w:r>
      <w:r w:rsidR="005D0B5B" w:rsidRPr="004967DC">
        <w:rPr>
          <w:rFonts w:ascii="Arial" w:hAnsi="Arial"/>
          <w:i/>
          <w:sz w:val="21"/>
          <w:szCs w:val="21"/>
        </w:rPr>
        <w:t xml:space="preserve"> </w:t>
      </w:r>
      <w:r w:rsidR="00435025" w:rsidRPr="004967DC">
        <w:rPr>
          <w:rFonts w:ascii="Arial" w:hAnsi="Arial"/>
          <w:sz w:val="21"/>
          <w:szCs w:val="21"/>
        </w:rPr>
        <w:t xml:space="preserve">is a broad category </w:t>
      </w:r>
      <w:r w:rsidR="00761A8D" w:rsidRPr="004967DC">
        <w:rPr>
          <w:rFonts w:ascii="Arial" w:hAnsi="Arial"/>
          <w:sz w:val="21"/>
          <w:szCs w:val="21"/>
        </w:rPr>
        <w:t>difficult to define</w:t>
      </w:r>
      <w:r w:rsidR="00BD2378">
        <w:rPr>
          <w:rFonts w:ascii="Arial" w:hAnsi="Arial"/>
          <w:sz w:val="21"/>
          <w:szCs w:val="21"/>
        </w:rPr>
        <w:t xml:space="preserve"> (OECD, 2013)</w:t>
      </w:r>
      <w:r w:rsidR="00BD2378">
        <w:t>.</w:t>
      </w:r>
      <w:r w:rsidR="00435025" w:rsidRPr="004967DC">
        <w:rPr>
          <w:rFonts w:ascii="Arial" w:hAnsi="Arial"/>
          <w:sz w:val="21"/>
          <w:szCs w:val="21"/>
        </w:rPr>
        <w:t xml:space="preserve"> </w:t>
      </w:r>
      <w:r w:rsidR="004B710A" w:rsidRPr="004967DC">
        <w:rPr>
          <w:rFonts w:ascii="Arial" w:hAnsi="Arial"/>
          <w:sz w:val="21"/>
          <w:szCs w:val="21"/>
        </w:rPr>
        <w:t>According to Holzman and Hinz (2005</w:t>
      </w:r>
      <w:r w:rsidR="00BD2378">
        <w:rPr>
          <w:rFonts w:ascii="Arial" w:hAnsi="Arial"/>
          <w:sz w:val="21"/>
          <w:szCs w:val="21"/>
        </w:rPr>
        <w:t>: 6</w:t>
      </w:r>
      <w:r w:rsidR="004B710A" w:rsidRPr="004967DC">
        <w:rPr>
          <w:rFonts w:ascii="Arial" w:hAnsi="Arial"/>
          <w:sz w:val="21"/>
          <w:szCs w:val="21"/>
        </w:rPr>
        <w:t>)</w:t>
      </w:r>
      <w:r w:rsidR="00DB1D68" w:rsidRPr="004967DC">
        <w:rPr>
          <w:rFonts w:ascii="Arial" w:hAnsi="Arial"/>
          <w:sz w:val="21"/>
          <w:szCs w:val="21"/>
        </w:rPr>
        <w:t>,</w:t>
      </w:r>
      <w:r w:rsidR="004B710A" w:rsidRPr="004967DC">
        <w:rPr>
          <w:rFonts w:ascii="Arial" w:hAnsi="Arial"/>
          <w:sz w:val="21"/>
          <w:szCs w:val="21"/>
        </w:rPr>
        <w:t xml:space="preserve"> adequate pension system is “the one that provides benefits to the full breadth of the population that are sufficient to prevent old-age poverty on a country-specific absolute level in addition to providing a reliable means to smooth lifetime consumption for the vast majority of the population”. </w:t>
      </w:r>
      <w:r w:rsidR="00C45D68" w:rsidRPr="004967DC">
        <w:rPr>
          <w:rFonts w:ascii="Arial" w:hAnsi="Arial"/>
          <w:sz w:val="21"/>
          <w:szCs w:val="21"/>
        </w:rPr>
        <w:t xml:space="preserve">EU </w:t>
      </w:r>
      <w:r w:rsidR="00DB1D68" w:rsidRPr="004967DC">
        <w:rPr>
          <w:rFonts w:ascii="Arial" w:hAnsi="Arial"/>
          <w:sz w:val="21"/>
          <w:szCs w:val="21"/>
        </w:rPr>
        <w:t xml:space="preserve">definition </w:t>
      </w:r>
      <w:r w:rsidR="00CC6B63" w:rsidRPr="004967DC">
        <w:rPr>
          <w:rFonts w:ascii="Arial" w:hAnsi="Arial"/>
          <w:sz w:val="21"/>
          <w:szCs w:val="21"/>
        </w:rPr>
        <w:t xml:space="preserve">also includes </w:t>
      </w:r>
      <w:r w:rsidR="00C45D68" w:rsidRPr="004967DC">
        <w:rPr>
          <w:rFonts w:ascii="Arial" w:hAnsi="Arial"/>
          <w:sz w:val="21"/>
          <w:szCs w:val="21"/>
        </w:rPr>
        <w:t xml:space="preserve">absolute and relative </w:t>
      </w:r>
      <w:r w:rsidR="00CC6B63" w:rsidRPr="004967DC">
        <w:rPr>
          <w:rFonts w:ascii="Arial" w:hAnsi="Arial"/>
          <w:sz w:val="21"/>
          <w:szCs w:val="21"/>
        </w:rPr>
        <w:t>living standard – “incomes for all and access to pensions which allow people to maintain, to a reasonable degree, their living standard after retiremen</w:t>
      </w:r>
      <w:r w:rsidR="00903F68" w:rsidRPr="004967DC">
        <w:rPr>
          <w:rFonts w:ascii="Arial" w:hAnsi="Arial"/>
          <w:sz w:val="21"/>
          <w:szCs w:val="21"/>
        </w:rPr>
        <w:t>t” as well as coverage</w:t>
      </w:r>
      <w:r w:rsidR="005D0B5B" w:rsidRPr="004967DC">
        <w:rPr>
          <w:rFonts w:ascii="Arial" w:hAnsi="Arial"/>
          <w:sz w:val="21"/>
          <w:szCs w:val="21"/>
        </w:rPr>
        <w:t>.</w:t>
      </w:r>
      <w:r w:rsidR="00096136" w:rsidRPr="004967DC">
        <w:rPr>
          <w:rFonts w:ascii="Arial" w:hAnsi="Arial"/>
          <w:sz w:val="21"/>
          <w:szCs w:val="21"/>
        </w:rPr>
        <w:t xml:space="preserve"> OECD (2013</w:t>
      </w:r>
      <w:r w:rsidR="00BD2378">
        <w:rPr>
          <w:rFonts w:ascii="Arial" w:hAnsi="Arial"/>
          <w:sz w:val="21"/>
          <w:szCs w:val="21"/>
        </w:rPr>
        <w:t>: 61</w:t>
      </w:r>
      <w:r w:rsidR="00DB1D68" w:rsidRPr="004967DC">
        <w:rPr>
          <w:rFonts w:ascii="Arial" w:hAnsi="Arial"/>
          <w:sz w:val="21"/>
          <w:szCs w:val="21"/>
        </w:rPr>
        <w:t>)</w:t>
      </w:r>
      <w:r w:rsidR="00096136" w:rsidRPr="004967DC">
        <w:rPr>
          <w:rFonts w:ascii="Arial" w:hAnsi="Arial"/>
          <w:sz w:val="21"/>
          <w:szCs w:val="21"/>
        </w:rPr>
        <w:t xml:space="preserve"> uses a narrow definition that considers retirement income adequate if it meets some absolute minimum level of resources in old age and broadest definition that “deems a retirement</w:t>
      </w:r>
      <w:r w:rsidR="00BD2378">
        <w:rPr>
          <w:rFonts w:ascii="Arial" w:hAnsi="Arial"/>
          <w:sz w:val="21"/>
          <w:szCs w:val="21"/>
        </w:rPr>
        <w:t xml:space="preserve"> </w:t>
      </w:r>
      <w:r w:rsidR="00096136" w:rsidRPr="004967DC">
        <w:rPr>
          <w:rFonts w:ascii="Arial" w:hAnsi="Arial"/>
          <w:sz w:val="21"/>
          <w:szCs w:val="21"/>
        </w:rPr>
        <w:t>income adequate if it replaces a worker’s earnings at a level which enables him or her to maintain a standard of living in retirement comparable to that enjoyed in working life”.</w:t>
      </w:r>
      <w:r w:rsidR="00342CFD" w:rsidRPr="004967DC">
        <w:rPr>
          <w:rFonts w:ascii="Arial" w:hAnsi="Arial"/>
          <w:sz w:val="21"/>
          <w:szCs w:val="21"/>
        </w:rPr>
        <w:t xml:space="preserve"> </w:t>
      </w:r>
    </w:p>
    <w:p w14:paraId="1CFAAF75" w14:textId="77777777" w:rsidR="000A686E" w:rsidRPr="004967DC" w:rsidRDefault="000A686E" w:rsidP="004967DC">
      <w:pPr>
        <w:spacing w:after="240" w:line="360" w:lineRule="auto"/>
        <w:jc w:val="both"/>
        <w:rPr>
          <w:rFonts w:ascii="Arial" w:hAnsi="Arial" w:cs="Microsoft Sans Serif"/>
          <w:sz w:val="21"/>
          <w:szCs w:val="21"/>
          <w:lang w:val="en-GB"/>
        </w:rPr>
      </w:pPr>
      <w:r w:rsidRPr="004967DC">
        <w:rPr>
          <w:rFonts w:ascii="Arial" w:hAnsi="Arial" w:cs="Microsoft Sans Serif"/>
          <w:sz w:val="21"/>
          <w:szCs w:val="21"/>
          <w:lang w:val="en-GB"/>
        </w:rPr>
        <w:t xml:space="preserve">Accordingly, pension indicators can be </w:t>
      </w:r>
      <w:r w:rsidR="00C123D1" w:rsidRPr="004967DC">
        <w:rPr>
          <w:rFonts w:ascii="Arial" w:hAnsi="Arial" w:cs="Microsoft Sans Serif"/>
          <w:sz w:val="21"/>
          <w:szCs w:val="21"/>
          <w:lang w:val="en-GB"/>
        </w:rPr>
        <w:t>generally</w:t>
      </w:r>
      <w:r w:rsidRPr="004967DC">
        <w:rPr>
          <w:rFonts w:ascii="Arial" w:hAnsi="Arial" w:cs="Microsoft Sans Serif"/>
          <w:sz w:val="21"/>
          <w:szCs w:val="21"/>
          <w:lang w:val="en-GB"/>
        </w:rPr>
        <w:t xml:space="preserve"> divided into</w:t>
      </w:r>
      <w:r w:rsidR="00E41578" w:rsidRPr="004967DC">
        <w:rPr>
          <w:rFonts w:ascii="Arial" w:hAnsi="Arial" w:cs="Microsoft Sans Serif"/>
          <w:sz w:val="21"/>
          <w:szCs w:val="21"/>
          <w:lang w:val="en-GB"/>
        </w:rPr>
        <w:t>: 1</w:t>
      </w:r>
      <w:r w:rsidRPr="004967DC">
        <w:rPr>
          <w:rFonts w:ascii="Arial" w:hAnsi="Arial" w:cs="Microsoft Sans Serif"/>
          <w:sz w:val="21"/>
          <w:szCs w:val="21"/>
          <w:lang w:val="en-GB"/>
        </w:rPr>
        <w:t xml:space="preserve">) those designed to measure the </w:t>
      </w:r>
      <w:r w:rsidRPr="004967DC">
        <w:rPr>
          <w:rFonts w:ascii="Arial" w:hAnsi="Arial" w:cs="Microsoft Sans Serif"/>
          <w:b/>
          <w:sz w:val="21"/>
          <w:szCs w:val="21"/>
          <w:lang w:val="en-GB"/>
        </w:rPr>
        <w:t>absolute living standard</w:t>
      </w:r>
      <w:r w:rsidRPr="004967DC">
        <w:rPr>
          <w:rFonts w:ascii="Arial" w:hAnsi="Arial" w:cs="Microsoft Sans Serif"/>
          <w:sz w:val="21"/>
          <w:szCs w:val="21"/>
          <w:lang w:val="en-GB"/>
        </w:rPr>
        <w:t xml:space="preserve"> of pensioners and poverty in old-age; </w:t>
      </w:r>
      <w:r w:rsidR="00E41578" w:rsidRPr="004967DC">
        <w:rPr>
          <w:rFonts w:ascii="Arial" w:hAnsi="Arial" w:cs="Microsoft Sans Serif"/>
          <w:sz w:val="21"/>
          <w:szCs w:val="21"/>
          <w:lang w:val="en-GB"/>
        </w:rPr>
        <w:t>and 2</w:t>
      </w:r>
      <w:r w:rsidRPr="004967DC">
        <w:rPr>
          <w:rFonts w:ascii="Arial" w:hAnsi="Arial" w:cs="Microsoft Sans Serif"/>
          <w:sz w:val="21"/>
          <w:szCs w:val="21"/>
          <w:lang w:val="en-GB"/>
        </w:rPr>
        <w:t xml:space="preserve">) those that measure the </w:t>
      </w:r>
      <w:r w:rsidRPr="004967DC">
        <w:rPr>
          <w:rFonts w:ascii="Arial" w:hAnsi="Arial" w:cs="Microsoft Sans Serif"/>
          <w:b/>
          <w:sz w:val="21"/>
          <w:szCs w:val="21"/>
          <w:lang w:val="en-GB"/>
        </w:rPr>
        <w:t>relative living standard</w:t>
      </w:r>
      <w:r w:rsidRPr="004967DC">
        <w:rPr>
          <w:rFonts w:ascii="Arial" w:hAnsi="Arial" w:cs="Microsoft Sans Serif"/>
          <w:i/>
          <w:sz w:val="21"/>
          <w:szCs w:val="21"/>
          <w:lang w:val="en-GB"/>
        </w:rPr>
        <w:t xml:space="preserve"> </w:t>
      </w:r>
      <w:r w:rsidRPr="004967DC">
        <w:rPr>
          <w:rFonts w:ascii="Arial" w:hAnsi="Arial" w:cs="Microsoft Sans Serif"/>
          <w:sz w:val="21"/>
          <w:szCs w:val="21"/>
          <w:lang w:val="en-GB"/>
        </w:rPr>
        <w:t>of pensioners, i.e. income replacement</w:t>
      </w:r>
      <w:r w:rsidR="00E41578" w:rsidRPr="004967DC">
        <w:rPr>
          <w:rFonts w:ascii="Arial" w:hAnsi="Arial" w:cs="Microsoft Sans Serif"/>
          <w:sz w:val="21"/>
          <w:szCs w:val="21"/>
          <w:lang w:val="en-GB"/>
        </w:rPr>
        <w:t>.</w:t>
      </w:r>
      <w:r w:rsidRPr="004967DC">
        <w:rPr>
          <w:rFonts w:ascii="Arial" w:hAnsi="Arial" w:cs="Microsoft Sans Serif"/>
          <w:sz w:val="21"/>
          <w:szCs w:val="21"/>
          <w:lang w:val="en-GB"/>
        </w:rPr>
        <w:t xml:space="preserve"> Further, </w:t>
      </w:r>
      <w:r w:rsidR="0032593F" w:rsidRPr="004967DC">
        <w:rPr>
          <w:rFonts w:ascii="Arial" w:hAnsi="Arial" w:cs="Microsoft Sans Serif"/>
          <w:sz w:val="21"/>
          <w:szCs w:val="21"/>
          <w:lang w:val="en-GB"/>
        </w:rPr>
        <w:t xml:space="preserve">both groups of indicators can be </w:t>
      </w:r>
      <w:r w:rsidRPr="004967DC">
        <w:rPr>
          <w:rFonts w:ascii="Arial" w:hAnsi="Arial" w:cs="Microsoft Sans Serif"/>
          <w:sz w:val="21"/>
          <w:szCs w:val="21"/>
          <w:lang w:val="en-GB"/>
        </w:rPr>
        <w:t>divide</w:t>
      </w:r>
      <w:r w:rsidR="0032593F" w:rsidRPr="004967DC">
        <w:rPr>
          <w:rFonts w:ascii="Arial" w:hAnsi="Arial" w:cs="Microsoft Sans Serif"/>
          <w:sz w:val="21"/>
          <w:szCs w:val="21"/>
          <w:lang w:val="en-GB"/>
        </w:rPr>
        <w:t>d</w:t>
      </w:r>
      <w:r w:rsidRPr="004967DC">
        <w:rPr>
          <w:rFonts w:ascii="Arial" w:hAnsi="Arial" w:cs="Microsoft Sans Serif"/>
          <w:sz w:val="21"/>
          <w:szCs w:val="21"/>
          <w:lang w:val="en-GB"/>
        </w:rPr>
        <w:t xml:space="preserve"> into those measuring the </w:t>
      </w:r>
      <w:r w:rsidRPr="004967DC">
        <w:rPr>
          <w:rFonts w:ascii="Arial" w:hAnsi="Arial" w:cs="Microsoft Sans Serif"/>
          <w:b/>
          <w:sz w:val="21"/>
          <w:szCs w:val="21"/>
          <w:lang w:val="en-GB"/>
        </w:rPr>
        <w:t>design indicators</w:t>
      </w:r>
      <w:r w:rsidRPr="004967DC">
        <w:rPr>
          <w:rFonts w:ascii="Arial" w:hAnsi="Arial" w:cs="Microsoft Sans Serif"/>
          <w:sz w:val="21"/>
          <w:szCs w:val="21"/>
          <w:lang w:val="en-GB"/>
        </w:rPr>
        <w:t xml:space="preserve"> and those measuring the </w:t>
      </w:r>
      <w:r w:rsidRPr="004967DC">
        <w:rPr>
          <w:rFonts w:ascii="Arial" w:hAnsi="Arial" w:cs="Microsoft Sans Serif"/>
          <w:b/>
          <w:sz w:val="21"/>
          <w:szCs w:val="21"/>
          <w:lang w:val="en-GB"/>
        </w:rPr>
        <w:t>actual outcome</w:t>
      </w:r>
      <w:r w:rsidRPr="004967DC">
        <w:rPr>
          <w:rFonts w:ascii="Arial" w:hAnsi="Arial" w:cs="Microsoft Sans Serif"/>
          <w:sz w:val="21"/>
          <w:szCs w:val="21"/>
          <w:lang w:val="en-GB"/>
        </w:rPr>
        <w:t xml:space="preserve"> i.e. performance indicators</w:t>
      </w:r>
      <w:r w:rsidR="00D84F49">
        <w:rPr>
          <w:rFonts w:ascii="Arial" w:hAnsi="Arial" w:cs="Microsoft Sans Serif"/>
          <w:sz w:val="21"/>
          <w:szCs w:val="21"/>
          <w:lang w:val="en-GB"/>
        </w:rPr>
        <w:t xml:space="preserve"> Stanić (2012)</w:t>
      </w:r>
      <w:r w:rsidR="00763F36" w:rsidRPr="004967DC">
        <w:rPr>
          <w:rFonts w:ascii="Arial" w:hAnsi="Arial" w:cs="Microsoft Sans Serif"/>
          <w:sz w:val="21"/>
          <w:szCs w:val="21"/>
          <w:lang w:val="en-GB"/>
        </w:rPr>
        <w:t>.</w:t>
      </w:r>
      <w:r w:rsidRPr="004967DC">
        <w:rPr>
          <w:rFonts w:ascii="Arial" w:hAnsi="Arial" w:cs="Microsoft Sans Serif"/>
          <w:sz w:val="21"/>
          <w:szCs w:val="21"/>
          <w:lang w:val="en-GB"/>
        </w:rPr>
        <w:t xml:space="preserve"> </w:t>
      </w:r>
      <w:bookmarkStart w:id="7" w:name="_Toc232326469"/>
      <w:bookmarkStart w:id="8" w:name="_Toc295254331"/>
      <w:bookmarkStart w:id="9" w:name="_Toc321424862"/>
      <w:r w:rsidRPr="004967DC">
        <w:rPr>
          <w:rFonts w:ascii="Arial" w:hAnsi="Arial" w:cs="Microsoft Sans Serif"/>
          <w:sz w:val="21"/>
          <w:szCs w:val="21"/>
          <w:lang w:val="en-GB"/>
        </w:rPr>
        <w:t xml:space="preserve">Finally, those measuring actual outcome may be individual/micro measures or aggregate/macro measures. </w:t>
      </w:r>
    </w:p>
    <w:p w14:paraId="5829F02C" w14:textId="77777777" w:rsidR="00D84F49" w:rsidRDefault="000A686E" w:rsidP="00CA5888">
      <w:pPr>
        <w:spacing w:after="240" w:line="360" w:lineRule="auto"/>
        <w:jc w:val="both"/>
        <w:rPr>
          <w:rFonts w:ascii="Arial" w:hAnsi="Arial" w:cs="Microsoft Sans Serif"/>
          <w:sz w:val="21"/>
          <w:szCs w:val="21"/>
          <w:lang w:val="en-GB"/>
        </w:rPr>
      </w:pPr>
      <w:r w:rsidRPr="004967DC">
        <w:rPr>
          <w:rFonts w:ascii="Arial" w:hAnsi="Arial" w:cs="Microsoft Sans Serif"/>
          <w:sz w:val="21"/>
          <w:szCs w:val="21"/>
          <w:lang w:val="en-GB"/>
        </w:rPr>
        <w:t>Table 1 summarise</w:t>
      </w:r>
      <w:r w:rsidR="00DC25D2" w:rsidRPr="004967DC">
        <w:rPr>
          <w:rFonts w:ascii="Arial" w:hAnsi="Arial" w:cs="Microsoft Sans Serif"/>
          <w:sz w:val="21"/>
          <w:szCs w:val="21"/>
          <w:lang w:val="en-GB"/>
        </w:rPr>
        <w:t>s</w:t>
      </w:r>
      <w:r w:rsidRPr="004967DC">
        <w:rPr>
          <w:rFonts w:ascii="Arial" w:hAnsi="Arial" w:cs="Microsoft Sans Serif"/>
          <w:sz w:val="21"/>
          <w:szCs w:val="21"/>
          <w:lang w:val="en-GB"/>
        </w:rPr>
        <w:t xml:space="preserve"> the most important adequacy sub-goals of the pension system and the risks they cover, parameters of pension system, indicators used to measure how system is designed and the achievement of </w:t>
      </w:r>
      <w:r w:rsidR="00DC25D2" w:rsidRPr="004967DC">
        <w:rPr>
          <w:rFonts w:ascii="Arial" w:hAnsi="Arial" w:cs="Microsoft Sans Serif"/>
          <w:sz w:val="21"/>
          <w:szCs w:val="21"/>
          <w:lang w:val="en-GB"/>
        </w:rPr>
        <w:t xml:space="preserve">the </w:t>
      </w:r>
      <w:r w:rsidRPr="004967DC">
        <w:rPr>
          <w:rFonts w:ascii="Arial" w:hAnsi="Arial" w:cs="Microsoft Sans Serif"/>
          <w:sz w:val="21"/>
          <w:szCs w:val="21"/>
          <w:lang w:val="en-GB"/>
        </w:rPr>
        <w:t>goals.</w:t>
      </w:r>
    </w:p>
    <w:p w14:paraId="5BEFAB90" w14:textId="77777777" w:rsidR="00CA5888" w:rsidRDefault="00CA5888" w:rsidP="00CA5888">
      <w:pPr>
        <w:spacing w:after="240" w:line="360" w:lineRule="auto"/>
        <w:jc w:val="both"/>
        <w:rPr>
          <w:rFonts w:ascii="Arial" w:hAnsi="Arial" w:cs="Microsoft Sans Serif"/>
          <w:sz w:val="21"/>
          <w:szCs w:val="21"/>
          <w:lang w:val="en-GB"/>
        </w:rPr>
      </w:pPr>
    </w:p>
    <w:p w14:paraId="4829D8E1" w14:textId="77777777" w:rsidR="00DA33FF" w:rsidRDefault="00DA33FF" w:rsidP="00CA5888">
      <w:pPr>
        <w:spacing w:after="240" w:line="360" w:lineRule="auto"/>
        <w:jc w:val="both"/>
        <w:rPr>
          <w:rFonts w:ascii="Arial" w:hAnsi="Arial" w:cs="Microsoft Sans Serif"/>
          <w:sz w:val="21"/>
          <w:szCs w:val="21"/>
          <w:lang w:val="en-GB"/>
        </w:rPr>
      </w:pPr>
    </w:p>
    <w:p w14:paraId="087216B2" w14:textId="77777777" w:rsidR="00DA33FF" w:rsidRDefault="00DA33FF" w:rsidP="00CA5888">
      <w:pPr>
        <w:spacing w:after="240" w:line="360" w:lineRule="auto"/>
        <w:jc w:val="both"/>
        <w:rPr>
          <w:rFonts w:ascii="Arial" w:hAnsi="Arial" w:cs="Microsoft Sans Serif"/>
          <w:sz w:val="21"/>
          <w:szCs w:val="21"/>
          <w:lang w:val="en-GB"/>
        </w:rPr>
      </w:pPr>
    </w:p>
    <w:p w14:paraId="1BDD4DCF" w14:textId="77777777" w:rsidR="00DA33FF" w:rsidRDefault="00DA33FF" w:rsidP="00CA5888">
      <w:pPr>
        <w:spacing w:after="240" w:line="360" w:lineRule="auto"/>
        <w:jc w:val="both"/>
        <w:rPr>
          <w:rFonts w:ascii="Arial" w:hAnsi="Arial" w:cs="Microsoft Sans Serif"/>
          <w:sz w:val="21"/>
          <w:szCs w:val="21"/>
          <w:lang w:val="en-GB"/>
        </w:rPr>
      </w:pPr>
    </w:p>
    <w:p w14:paraId="13FEB8F2" w14:textId="77777777" w:rsidR="00DA33FF" w:rsidRDefault="00DA33FF" w:rsidP="00CA5888">
      <w:pPr>
        <w:spacing w:after="240" w:line="360" w:lineRule="auto"/>
        <w:jc w:val="both"/>
        <w:rPr>
          <w:rFonts w:ascii="Arial" w:hAnsi="Arial" w:cs="Microsoft Sans Serif"/>
          <w:sz w:val="21"/>
          <w:szCs w:val="21"/>
          <w:lang w:val="en-GB"/>
        </w:rPr>
      </w:pPr>
    </w:p>
    <w:p w14:paraId="14959C84" w14:textId="77777777" w:rsidR="000A686E" w:rsidRPr="00CA5888" w:rsidRDefault="000A686E" w:rsidP="00CA5888">
      <w:pPr>
        <w:spacing w:after="240" w:line="360" w:lineRule="auto"/>
        <w:jc w:val="both"/>
        <w:rPr>
          <w:rFonts w:ascii="Arial" w:hAnsi="Arial" w:cs="Microsoft Sans Serif"/>
          <w:sz w:val="21"/>
          <w:szCs w:val="21"/>
          <w:lang w:val="en-GB"/>
        </w:rPr>
      </w:pPr>
      <w:r w:rsidRPr="004967DC">
        <w:rPr>
          <w:rFonts w:ascii="Arial" w:hAnsi="Arial"/>
          <w:b/>
          <w:sz w:val="21"/>
          <w:szCs w:val="21"/>
          <w:lang w:val="en-GB"/>
        </w:rPr>
        <w:lastRenderedPageBreak/>
        <w:t xml:space="preserve">Table 1. Adequacy sub-goals, parameters and indicators of </w:t>
      </w:r>
      <w:r w:rsidR="009D0E16" w:rsidRPr="004967DC">
        <w:rPr>
          <w:rFonts w:ascii="Arial" w:hAnsi="Arial"/>
          <w:b/>
          <w:sz w:val="21"/>
          <w:szCs w:val="21"/>
          <w:lang w:val="en-GB"/>
        </w:rPr>
        <w:t>pension system</w:t>
      </w:r>
      <w:bookmarkEnd w:id="7"/>
      <w:bookmarkEnd w:id="8"/>
      <w:bookmarkEnd w:id="9"/>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239"/>
        <w:gridCol w:w="2551"/>
        <w:gridCol w:w="2552"/>
        <w:gridCol w:w="2599"/>
      </w:tblGrid>
      <w:tr w:rsidR="000A686E" w:rsidRPr="004967DC" w14:paraId="10DDD9EF" w14:textId="77777777">
        <w:trPr>
          <w:trHeight w:val="340"/>
          <w:jc w:val="center"/>
        </w:trPr>
        <w:tc>
          <w:tcPr>
            <w:tcW w:w="2239" w:type="dxa"/>
            <w:vMerge w:val="restart"/>
            <w:shd w:val="clear" w:color="auto" w:fill="1F497D" w:themeFill="text2"/>
            <w:vAlign w:val="center"/>
          </w:tcPr>
          <w:p w14:paraId="4AA22854" w14:textId="77777777" w:rsidR="00445B34" w:rsidRDefault="000A686E" w:rsidP="00445B34">
            <w:pPr>
              <w:autoSpaceDE w:val="0"/>
              <w:autoSpaceDN w:val="0"/>
              <w:adjustRightInd w:val="0"/>
              <w:snapToGrid w:val="0"/>
              <w:spacing w:line="360" w:lineRule="auto"/>
              <w:jc w:val="center"/>
              <w:rPr>
                <w:rFonts w:ascii="Arial" w:hAnsi="Arial" w:cs="Microsoft Sans Serif"/>
                <w:b/>
                <w:color w:val="FFFFFF" w:themeColor="background1"/>
                <w:sz w:val="21"/>
                <w:szCs w:val="21"/>
                <w:lang w:val="en-GB"/>
              </w:rPr>
            </w:pPr>
            <w:r w:rsidRPr="004967DC">
              <w:rPr>
                <w:rFonts w:ascii="Arial" w:hAnsi="Arial" w:cs="Microsoft Sans Serif"/>
                <w:b/>
                <w:color w:val="FFFFFF" w:themeColor="background1"/>
                <w:sz w:val="21"/>
                <w:szCs w:val="21"/>
                <w:lang w:val="en-GB"/>
              </w:rPr>
              <w:t>Goal</w:t>
            </w:r>
          </w:p>
          <w:p w14:paraId="49F1F715" w14:textId="77777777" w:rsidR="000A686E" w:rsidRPr="004967DC" w:rsidRDefault="000A686E" w:rsidP="00445B34">
            <w:pPr>
              <w:autoSpaceDE w:val="0"/>
              <w:autoSpaceDN w:val="0"/>
              <w:adjustRightInd w:val="0"/>
              <w:snapToGrid w:val="0"/>
              <w:spacing w:line="360" w:lineRule="auto"/>
              <w:jc w:val="center"/>
              <w:rPr>
                <w:rFonts w:ascii="Arial" w:hAnsi="Arial" w:cs="Microsoft Sans Serif"/>
                <w:i/>
                <w:color w:val="FFFFFF" w:themeColor="background1"/>
                <w:sz w:val="21"/>
                <w:szCs w:val="21"/>
                <w:lang w:val="en-GB"/>
              </w:rPr>
            </w:pPr>
            <w:r w:rsidRPr="004967DC">
              <w:rPr>
                <w:rFonts w:ascii="Arial" w:hAnsi="Arial" w:cs="Microsoft Sans Serif"/>
                <w:i/>
                <w:color w:val="FFFFFF" w:themeColor="background1"/>
                <w:sz w:val="21"/>
                <w:szCs w:val="21"/>
                <w:lang w:val="en-GB"/>
              </w:rPr>
              <w:t>(covered risk)</w:t>
            </w:r>
          </w:p>
        </w:tc>
        <w:tc>
          <w:tcPr>
            <w:tcW w:w="2551" w:type="dxa"/>
            <w:vMerge w:val="restart"/>
            <w:shd w:val="clear" w:color="auto" w:fill="1F497D" w:themeFill="text2"/>
            <w:vAlign w:val="center"/>
          </w:tcPr>
          <w:p w14:paraId="62A0AEED" w14:textId="77777777" w:rsidR="000A686E" w:rsidRPr="004967DC" w:rsidRDefault="000A686E" w:rsidP="00445B34">
            <w:pPr>
              <w:autoSpaceDE w:val="0"/>
              <w:autoSpaceDN w:val="0"/>
              <w:adjustRightInd w:val="0"/>
              <w:snapToGrid w:val="0"/>
              <w:spacing w:line="360" w:lineRule="auto"/>
              <w:jc w:val="center"/>
              <w:rPr>
                <w:rFonts w:ascii="Arial" w:hAnsi="Arial" w:cs="Microsoft Sans Serif"/>
                <w:b/>
                <w:color w:val="FFFFFF" w:themeColor="background1"/>
                <w:sz w:val="21"/>
                <w:szCs w:val="21"/>
                <w:lang w:val="en-GB"/>
              </w:rPr>
            </w:pPr>
            <w:r w:rsidRPr="004967DC">
              <w:rPr>
                <w:rFonts w:ascii="Arial" w:hAnsi="Arial" w:cs="Microsoft Sans Serif"/>
                <w:b/>
                <w:color w:val="FFFFFF" w:themeColor="background1"/>
                <w:sz w:val="21"/>
                <w:szCs w:val="21"/>
                <w:lang w:val="en-GB"/>
              </w:rPr>
              <w:t>Pension system parameters</w:t>
            </w:r>
          </w:p>
        </w:tc>
        <w:tc>
          <w:tcPr>
            <w:tcW w:w="5151" w:type="dxa"/>
            <w:gridSpan w:val="2"/>
            <w:shd w:val="clear" w:color="auto" w:fill="1F497D" w:themeFill="text2"/>
            <w:vAlign w:val="center"/>
          </w:tcPr>
          <w:p w14:paraId="4963B32E" w14:textId="77777777" w:rsidR="000A686E" w:rsidRPr="004967DC" w:rsidRDefault="000A686E" w:rsidP="00445B34">
            <w:pPr>
              <w:autoSpaceDE w:val="0"/>
              <w:autoSpaceDN w:val="0"/>
              <w:adjustRightInd w:val="0"/>
              <w:snapToGrid w:val="0"/>
              <w:spacing w:line="360" w:lineRule="auto"/>
              <w:jc w:val="center"/>
              <w:rPr>
                <w:rFonts w:ascii="Arial" w:hAnsi="Arial" w:cs="Microsoft Sans Serif"/>
                <w:b/>
                <w:color w:val="FFFFFF" w:themeColor="background1"/>
                <w:sz w:val="21"/>
                <w:szCs w:val="21"/>
                <w:lang w:val="en-GB"/>
              </w:rPr>
            </w:pPr>
            <w:r w:rsidRPr="004967DC">
              <w:rPr>
                <w:rFonts w:ascii="Arial" w:hAnsi="Arial" w:cs="Microsoft Sans Serif"/>
                <w:b/>
                <w:color w:val="FFFFFF" w:themeColor="background1"/>
                <w:sz w:val="21"/>
                <w:szCs w:val="21"/>
                <w:lang w:val="en-GB"/>
              </w:rPr>
              <w:t>Measurement/Indicators</w:t>
            </w:r>
          </w:p>
        </w:tc>
      </w:tr>
      <w:tr w:rsidR="000A686E" w:rsidRPr="004967DC" w14:paraId="573C7B17" w14:textId="77777777">
        <w:trPr>
          <w:trHeight w:val="370"/>
          <w:jc w:val="center"/>
        </w:trPr>
        <w:tc>
          <w:tcPr>
            <w:tcW w:w="2239" w:type="dxa"/>
            <w:vMerge/>
            <w:shd w:val="clear" w:color="auto" w:fill="1F497D" w:themeFill="text2"/>
            <w:vAlign w:val="center"/>
          </w:tcPr>
          <w:p w14:paraId="29FE60B8" w14:textId="77777777" w:rsidR="000A686E" w:rsidRPr="004967DC" w:rsidRDefault="000A686E" w:rsidP="00445B34">
            <w:pPr>
              <w:autoSpaceDE w:val="0"/>
              <w:autoSpaceDN w:val="0"/>
              <w:adjustRightInd w:val="0"/>
              <w:snapToGrid w:val="0"/>
              <w:spacing w:line="360" w:lineRule="auto"/>
              <w:jc w:val="center"/>
              <w:rPr>
                <w:rFonts w:ascii="Arial" w:hAnsi="Arial" w:cs="Microsoft Sans Serif"/>
                <w:b/>
                <w:color w:val="FFFFFF" w:themeColor="background1"/>
                <w:sz w:val="21"/>
                <w:szCs w:val="21"/>
                <w:lang w:val="en-GB"/>
              </w:rPr>
            </w:pPr>
          </w:p>
        </w:tc>
        <w:tc>
          <w:tcPr>
            <w:tcW w:w="2551" w:type="dxa"/>
            <w:vMerge/>
            <w:shd w:val="clear" w:color="auto" w:fill="1F497D" w:themeFill="text2"/>
            <w:vAlign w:val="center"/>
          </w:tcPr>
          <w:p w14:paraId="1ED143D8" w14:textId="77777777" w:rsidR="000A686E" w:rsidRPr="004967DC" w:rsidRDefault="000A686E" w:rsidP="00445B34">
            <w:pPr>
              <w:autoSpaceDE w:val="0"/>
              <w:autoSpaceDN w:val="0"/>
              <w:adjustRightInd w:val="0"/>
              <w:snapToGrid w:val="0"/>
              <w:spacing w:line="360" w:lineRule="auto"/>
              <w:jc w:val="center"/>
              <w:rPr>
                <w:rFonts w:ascii="Arial" w:hAnsi="Arial" w:cs="Microsoft Sans Serif"/>
                <w:b/>
                <w:color w:val="FFFFFF" w:themeColor="background1"/>
                <w:sz w:val="21"/>
                <w:szCs w:val="21"/>
                <w:lang w:val="en-GB"/>
              </w:rPr>
            </w:pPr>
          </w:p>
        </w:tc>
        <w:tc>
          <w:tcPr>
            <w:tcW w:w="2552" w:type="dxa"/>
            <w:shd w:val="clear" w:color="auto" w:fill="1F497D" w:themeFill="text2"/>
            <w:vAlign w:val="center"/>
          </w:tcPr>
          <w:p w14:paraId="5D247681" w14:textId="77777777" w:rsidR="000A686E" w:rsidRPr="004967DC" w:rsidRDefault="000A686E" w:rsidP="00445B34">
            <w:pPr>
              <w:autoSpaceDE w:val="0"/>
              <w:autoSpaceDN w:val="0"/>
              <w:adjustRightInd w:val="0"/>
              <w:snapToGrid w:val="0"/>
              <w:spacing w:line="360" w:lineRule="auto"/>
              <w:jc w:val="center"/>
              <w:rPr>
                <w:rFonts w:ascii="Arial" w:hAnsi="Arial" w:cs="Microsoft Sans Serif"/>
                <w:b/>
                <w:color w:val="FFFFFF" w:themeColor="background1"/>
                <w:sz w:val="21"/>
                <w:szCs w:val="21"/>
                <w:lang w:val="en-GB"/>
              </w:rPr>
            </w:pPr>
            <w:r w:rsidRPr="004967DC">
              <w:rPr>
                <w:rFonts w:ascii="Arial" w:hAnsi="Arial" w:cs="Microsoft Sans Serif"/>
                <w:b/>
                <w:color w:val="FFFFFF" w:themeColor="background1"/>
                <w:sz w:val="21"/>
                <w:szCs w:val="21"/>
                <w:lang w:val="en-GB"/>
              </w:rPr>
              <w:t>Design</w:t>
            </w:r>
          </w:p>
        </w:tc>
        <w:tc>
          <w:tcPr>
            <w:tcW w:w="2599" w:type="dxa"/>
            <w:shd w:val="clear" w:color="auto" w:fill="1F497D" w:themeFill="text2"/>
            <w:vAlign w:val="center"/>
          </w:tcPr>
          <w:p w14:paraId="5AE3262D" w14:textId="77777777" w:rsidR="000A686E" w:rsidRPr="004967DC" w:rsidRDefault="000A686E" w:rsidP="00445B34">
            <w:pPr>
              <w:autoSpaceDE w:val="0"/>
              <w:autoSpaceDN w:val="0"/>
              <w:adjustRightInd w:val="0"/>
              <w:snapToGrid w:val="0"/>
              <w:spacing w:line="360" w:lineRule="auto"/>
              <w:jc w:val="center"/>
              <w:rPr>
                <w:rFonts w:ascii="Arial" w:hAnsi="Arial" w:cs="Microsoft Sans Serif"/>
                <w:b/>
                <w:color w:val="FFFFFF" w:themeColor="background1"/>
                <w:sz w:val="21"/>
                <w:szCs w:val="21"/>
                <w:lang w:val="en-GB"/>
              </w:rPr>
            </w:pPr>
            <w:r w:rsidRPr="004967DC">
              <w:rPr>
                <w:rFonts w:ascii="Arial" w:hAnsi="Arial" w:cs="Microsoft Sans Serif"/>
                <w:b/>
                <w:color w:val="FFFFFF" w:themeColor="background1"/>
                <w:sz w:val="21"/>
                <w:szCs w:val="21"/>
                <w:lang w:val="en-GB"/>
              </w:rPr>
              <w:t>Actual</w:t>
            </w:r>
          </w:p>
        </w:tc>
      </w:tr>
      <w:tr w:rsidR="000A686E" w:rsidRPr="004967DC" w14:paraId="7403D116" w14:textId="77777777">
        <w:trPr>
          <w:trHeight w:val="3879"/>
          <w:jc w:val="center"/>
        </w:trPr>
        <w:tc>
          <w:tcPr>
            <w:tcW w:w="2239" w:type="dxa"/>
          </w:tcPr>
          <w:p w14:paraId="464B0D07"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Poverty reduction/</w:t>
            </w:r>
          </w:p>
          <w:p w14:paraId="483FA00E"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Prevention i.e. absolute living standard</w:t>
            </w:r>
          </w:p>
          <w:p w14:paraId="4BEC231C"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i/>
                <w:sz w:val="21"/>
                <w:szCs w:val="21"/>
                <w:lang w:val="en-GB"/>
              </w:rPr>
              <w:t>(earnings risk, unemployment risk)</w:t>
            </w:r>
          </w:p>
        </w:tc>
        <w:tc>
          <w:tcPr>
            <w:tcW w:w="2551" w:type="dxa"/>
          </w:tcPr>
          <w:p w14:paraId="3D0BC3D6"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Minimal benefit provision (flat/targeted/ minimum pension)</w:t>
            </w:r>
            <w:r w:rsidR="009D0E16" w:rsidRPr="004967DC">
              <w:rPr>
                <w:rFonts w:ascii="Arial" w:hAnsi="Arial" w:cs="Microsoft Sans Serif"/>
                <w:sz w:val="21"/>
                <w:szCs w:val="21"/>
                <w:lang w:val="en-GB"/>
              </w:rPr>
              <w:t>.</w:t>
            </w:r>
          </w:p>
          <w:p w14:paraId="0764BA58"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Different accrual rates for different earnings levels</w:t>
            </w:r>
            <w:r w:rsidR="009D0E16" w:rsidRPr="004967DC">
              <w:rPr>
                <w:rFonts w:ascii="Arial" w:hAnsi="Arial" w:cs="Microsoft Sans Serif"/>
                <w:sz w:val="21"/>
                <w:szCs w:val="21"/>
                <w:lang w:val="en-GB"/>
              </w:rPr>
              <w:t>.</w:t>
            </w:r>
          </w:p>
          <w:p w14:paraId="3E4D6E07"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Contribution/</w:t>
            </w:r>
            <w:r w:rsidR="009D0E16" w:rsidRPr="004967DC">
              <w:rPr>
                <w:rFonts w:ascii="Arial" w:hAnsi="Arial" w:cs="Microsoft Sans Serif"/>
                <w:sz w:val="21"/>
                <w:szCs w:val="21"/>
                <w:lang w:val="en-GB"/>
              </w:rPr>
              <w:t xml:space="preserve">benefit </w:t>
            </w:r>
            <w:r w:rsidRPr="004967DC">
              <w:rPr>
                <w:rFonts w:ascii="Arial" w:hAnsi="Arial" w:cs="Microsoft Sans Serif"/>
                <w:sz w:val="21"/>
                <w:szCs w:val="21"/>
                <w:lang w:val="en-GB"/>
              </w:rPr>
              <w:t>ceiling</w:t>
            </w:r>
            <w:r w:rsidR="009D0E16" w:rsidRPr="004967DC">
              <w:rPr>
                <w:rFonts w:ascii="Arial" w:hAnsi="Arial" w:cs="Microsoft Sans Serif"/>
                <w:sz w:val="21"/>
                <w:szCs w:val="21"/>
                <w:lang w:val="en-GB"/>
              </w:rPr>
              <w:t>.</w:t>
            </w:r>
            <w:r w:rsidRPr="004967DC">
              <w:rPr>
                <w:rFonts w:ascii="Arial" w:hAnsi="Arial" w:cs="Microsoft Sans Serif"/>
                <w:sz w:val="21"/>
                <w:szCs w:val="21"/>
                <w:lang w:val="en-GB"/>
              </w:rPr>
              <w:t xml:space="preserve"> </w:t>
            </w:r>
          </w:p>
        </w:tc>
        <w:tc>
          <w:tcPr>
            <w:tcW w:w="2552" w:type="dxa"/>
          </w:tcPr>
          <w:p w14:paraId="3B82D4E4"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Minimal benefit/average earnings ratio</w:t>
            </w:r>
            <w:r w:rsidR="009D0E16" w:rsidRPr="004967DC">
              <w:rPr>
                <w:rFonts w:ascii="Arial" w:hAnsi="Arial" w:cs="Microsoft Sans Serif"/>
                <w:sz w:val="21"/>
                <w:szCs w:val="21"/>
                <w:lang w:val="en-GB"/>
              </w:rPr>
              <w:t>.</w:t>
            </w:r>
          </w:p>
          <w:p w14:paraId="252DFA35"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Hypothetical replacement rate</w:t>
            </w:r>
            <w:r w:rsidR="009D0E16" w:rsidRPr="004967DC">
              <w:rPr>
                <w:rFonts w:ascii="Arial" w:hAnsi="Arial" w:cs="Microsoft Sans Serif"/>
                <w:sz w:val="21"/>
                <w:szCs w:val="21"/>
                <w:lang w:val="en-GB"/>
              </w:rPr>
              <w:t xml:space="preserve"> for low income earners (below </w:t>
            </w:r>
            <w:r w:rsidRPr="004967DC">
              <w:rPr>
                <w:rFonts w:ascii="Arial" w:hAnsi="Arial" w:cs="Microsoft Sans Serif"/>
                <w:sz w:val="21"/>
                <w:szCs w:val="21"/>
                <w:lang w:val="en-GB"/>
              </w:rPr>
              <w:t>50% average)</w:t>
            </w:r>
            <w:r w:rsidR="009D0E16" w:rsidRPr="004967DC">
              <w:rPr>
                <w:rFonts w:ascii="Arial" w:hAnsi="Arial" w:cs="Microsoft Sans Serif"/>
                <w:sz w:val="21"/>
                <w:szCs w:val="21"/>
                <w:lang w:val="en-GB"/>
              </w:rPr>
              <w:t>.</w:t>
            </w:r>
          </w:p>
          <w:p w14:paraId="6FE492C0" w14:textId="77777777" w:rsidR="000A686E" w:rsidRPr="004967DC" w:rsidRDefault="000A686E" w:rsidP="004967DC">
            <w:pPr>
              <w:autoSpaceDE w:val="0"/>
              <w:autoSpaceDN w:val="0"/>
              <w:adjustRightInd w:val="0"/>
              <w:snapToGrid w:val="0"/>
              <w:spacing w:after="240" w:line="360" w:lineRule="auto"/>
              <w:rPr>
                <w:rFonts w:ascii="Arial" w:hAnsi="Arial" w:cs="Microsoft Sans Serif"/>
                <w:i/>
                <w:sz w:val="21"/>
                <w:szCs w:val="21"/>
                <w:lang w:val="en-GB"/>
              </w:rPr>
            </w:pPr>
            <w:r w:rsidRPr="004967DC">
              <w:rPr>
                <w:rFonts w:ascii="Arial" w:hAnsi="Arial" w:cs="Microsoft Sans Serif"/>
                <w:sz w:val="21"/>
                <w:szCs w:val="21"/>
                <w:lang w:val="en-GB"/>
              </w:rPr>
              <w:t>Coefficien</w:t>
            </w:r>
            <w:r w:rsidR="009D0E16" w:rsidRPr="004967DC">
              <w:rPr>
                <w:rFonts w:ascii="Arial" w:hAnsi="Arial" w:cs="Microsoft Sans Serif"/>
                <w:sz w:val="21"/>
                <w:szCs w:val="21"/>
                <w:lang w:val="en-GB"/>
              </w:rPr>
              <w:t>t of variation of hypothetical replacement rate</w:t>
            </w:r>
            <w:r w:rsidRPr="004967DC">
              <w:rPr>
                <w:rFonts w:ascii="Arial" w:hAnsi="Arial" w:cs="Microsoft Sans Serif"/>
                <w:sz w:val="21"/>
                <w:szCs w:val="21"/>
                <w:lang w:val="en-GB"/>
              </w:rPr>
              <w:t xml:space="preserve"> (higher than 0)</w:t>
            </w:r>
            <w:r w:rsidR="009D0E16" w:rsidRPr="004967DC">
              <w:rPr>
                <w:rFonts w:ascii="Arial" w:hAnsi="Arial" w:cs="Microsoft Sans Serif"/>
                <w:sz w:val="21"/>
                <w:szCs w:val="21"/>
                <w:lang w:val="en-GB"/>
              </w:rPr>
              <w:t>.</w:t>
            </w:r>
          </w:p>
        </w:tc>
        <w:tc>
          <w:tcPr>
            <w:tcW w:w="2599" w:type="dxa"/>
          </w:tcPr>
          <w:p w14:paraId="2EDEC53D"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Poverty and inequality indexes</w:t>
            </w:r>
            <w:r w:rsidR="009D0E16" w:rsidRPr="004967DC">
              <w:rPr>
                <w:rFonts w:ascii="Arial" w:hAnsi="Arial" w:cs="Microsoft Sans Serif"/>
                <w:sz w:val="21"/>
                <w:szCs w:val="21"/>
                <w:lang w:val="en-GB"/>
              </w:rPr>
              <w:t>.</w:t>
            </w:r>
          </w:p>
          <w:p w14:paraId="334187CF"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 xml:space="preserve">Coefficient of variation of actual </w:t>
            </w:r>
            <w:r w:rsidR="009D0E16" w:rsidRPr="004967DC">
              <w:rPr>
                <w:rFonts w:ascii="Arial" w:hAnsi="Arial" w:cs="Microsoft Sans Serif"/>
                <w:sz w:val="21"/>
                <w:szCs w:val="21"/>
                <w:lang w:val="en-GB"/>
              </w:rPr>
              <w:t>replacement rate</w:t>
            </w:r>
            <w:r w:rsidR="00702DD8" w:rsidRPr="004967DC">
              <w:rPr>
                <w:rFonts w:ascii="Arial" w:hAnsi="Arial" w:cs="Microsoft Sans Serif"/>
                <w:sz w:val="21"/>
                <w:szCs w:val="21"/>
                <w:lang w:val="en-GB"/>
              </w:rPr>
              <w:t>.</w:t>
            </w:r>
          </w:p>
        </w:tc>
      </w:tr>
      <w:tr w:rsidR="000A686E" w:rsidRPr="004967DC" w14:paraId="60F9562D" w14:textId="77777777">
        <w:trPr>
          <w:trHeight w:val="4493"/>
          <w:jc w:val="center"/>
        </w:trPr>
        <w:tc>
          <w:tcPr>
            <w:tcW w:w="2239" w:type="dxa"/>
            <w:shd w:val="clear" w:color="auto" w:fill="C6D9F1" w:themeFill="text2" w:themeFillTint="33"/>
          </w:tcPr>
          <w:p w14:paraId="51791E5F"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Income maintenance/consumption smoothing i.e.</w:t>
            </w:r>
          </w:p>
          <w:p w14:paraId="2E8EF336"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relative living standard</w:t>
            </w:r>
          </w:p>
          <w:p w14:paraId="3D152A25"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i/>
                <w:sz w:val="21"/>
                <w:szCs w:val="21"/>
                <w:lang w:val="en-GB"/>
              </w:rPr>
              <w:t>(longevity risk, myopia, time inconsistency)</w:t>
            </w:r>
          </w:p>
        </w:tc>
        <w:tc>
          <w:tcPr>
            <w:tcW w:w="2551" w:type="dxa"/>
            <w:shd w:val="clear" w:color="auto" w:fill="C6D9F1" w:themeFill="text2" w:themeFillTint="33"/>
          </w:tcPr>
          <w:p w14:paraId="6FFEAAE0" w14:textId="77777777" w:rsidR="000A686E" w:rsidRPr="004967DC" w:rsidRDefault="00B16975" w:rsidP="004967DC">
            <w:pPr>
              <w:autoSpaceDE w:val="0"/>
              <w:autoSpaceDN w:val="0"/>
              <w:adjustRightInd w:val="0"/>
              <w:snapToGrid w:val="0"/>
              <w:spacing w:after="240" w:line="360" w:lineRule="auto"/>
              <w:rPr>
                <w:rFonts w:ascii="Arial" w:hAnsi="Arial" w:cs="Microsoft Sans Serif"/>
                <w:b/>
                <w:sz w:val="21"/>
                <w:szCs w:val="21"/>
                <w:lang w:val="en-GB"/>
              </w:rPr>
            </w:pPr>
            <w:r w:rsidRPr="004967DC">
              <w:rPr>
                <w:rFonts w:ascii="Arial" w:hAnsi="Arial" w:cs="Microsoft Sans Serif"/>
                <w:b/>
                <w:sz w:val="21"/>
                <w:szCs w:val="21"/>
                <w:lang w:val="en-GB"/>
              </w:rPr>
              <w:t>Traditional DB</w:t>
            </w:r>
          </w:p>
          <w:p w14:paraId="17EE40A0"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Valorisation</w:t>
            </w:r>
          </w:p>
          <w:p w14:paraId="2A31E74F"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Accrual rate</w:t>
            </w:r>
            <w:r w:rsidR="00B16975" w:rsidRPr="004967DC">
              <w:rPr>
                <w:rFonts w:ascii="Arial" w:hAnsi="Arial" w:cs="Microsoft Sans Serif"/>
                <w:sz w:val="21"/>
                <w:szCs w:val="21"/>
                <w:lang w:val="en-GB"/>
              </w:rPr>
              <w:t>.</w:t>
            </w:r>
          </w:p>
          <w:p w14:paraId="5783897B" w14:textId="77777777" w:rsidR="000A686E" w:rsidRPr="004967DC" w:rsidRDefault="00B16975" w:rsidP="004967DC">
            <w:pPr>
              <w:autoSpaceDE w:val="0"/>
              <w:autoSpaceDN w:val="0"/>
              <w:adjustRightInd w:val="0"/>
              <w:snapToGrid w:val="0"/>
              <w:spacing w:after="240" w:line="360" w:lineRule="auto"/>
              <w:rPr>
                <w:rFonts w:ascii="Arial" w:hAnsi="Arial" w:cs="Microsoft Sans Serif"/>
                <w:b/>
                <w:sz w:val="21"/>
                <w:szCs w:val="21"/>
                <w:lang w:val="en-GB"/>
              </w:rPr>
            </w:pPr>
            <w:r w:rsidRPr="004967DC">
              <w:rPr>
                <w:rFonts w:ascii="Arial" w:hAnsi="Arial" w:cs="Microsoft Sans Serif"/>
                <w:b/>
                <w:sz w:val="21"/>
                <w:szCs w:val="21"/>
                <w:lang w:val="en-GB"/>
              </w:rPr>
              <w:t>Point system</w:t>
            </w:r>
          </w:p>
          <w:p w14:paraId="6C3E0DF8"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General point value General point indexation</w:t>
            </w:r>
            <w:r w:rsidR="00B16975" w:rsidRPr="004967DC">
              <w:rPr>
                <w:rFonts w:ascii="Arial" w:hAnsi="Arial" w:cs="Microsoft Sans Serif"/>
                <w:sz w:val="21"/>
                <w:szCs w:val="21"/>
                <w:lang w:val="en-GB"/>
              </w:rPr>
              <w:t>.</w:t>
            </w:r>
          </w:p>
          <w:p w14:paraId="23AADE94" w14:textId="77777777" w:rsidR="00B16975"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NDC</w:t>
            </w:r>
            <w:r w:rsidR="00B16975" w:rsidRPr="004967DC">
              <w:rPr>
                <w:rFonts w:ascii="Arial" w:hAnsi="Arial" w:cs="Microsoft Sans Serif"/>
                <w:sz w:val="21"/>
                <w:szCs w:val="21"/>
                <w:lang w:val="en-GB"/>
              </w:rPr>
              <w:t>.</w:t>
            </w:r>
          </w:p>
          <w:p w14:paraId="6D29946D"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Interest rate</w:t>
            </w:r>
            <w:r w:rsidR="00B16975" w:rsidRPr="004967DC">
              <w:rPr>
                <w:rFonts w:ascii="Arial" w:hAnsi="Arial" w:cs="Microsoft Sans Serif"/>
                <w:sz w:val="21"/>
                <w:szCs w:val="21"/>
                <w:lang w:val="en-GB"/>
              </w:rPr>
              <w:t>.</w:t>
            </w:r>
          </w:p>
        </w:tc>
        <w:tc>
          <w:tcPr>
            <w:tcW w:w="2552" w:type="dxa"/>
            <w:shd w:val="clear" w:color="auto" w:fill="C6D9F1" w:themeFill="text2" w:themeFillTint="33"/>
          </w:tcPr>
          <w:p w14:paraId="6F30106E"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Hypothetical/theoretical replacement rate</w:t>
            </w:r>
            <w:r w:rsidR="00B16975" w:rsidRPr="004967DC">
              <w:rPr>
                <w:rFonts w:ascii="Arial" w:hAnsi="Arial" w:cs="Microsoft Sans Serif"/>
                <w:sz w:val="21"/>
                <w:szCs w:val="21"/>
                <w:lang w:val="en-GB"/>
              </w:rPr>
              <w:t>.</w:t>
            </w:r>
          </w:p>
          <w:p w14:paraId="21F34F76"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Pension wealth</w:t>
            </w:r>
            <w:r w:rsidR="00B16975" w:rsidRPr="004967DC">
              <w:rPr>
                <w:rFonts w:ascii="Arial" w:hAnsi="Arial" w:cs="Microsoft Sans Serif"/>
                <w:sz w:val="21"/>
                <w:szCs w:val="21"/>
                <w:lang w:val="en-GB"/>
              </w:rPr>
              <w:t>.</w:t>
            </w:r>
          </w:p>
          <w:p w14:paraId="0E3C3351"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Relative pension level</w:t>
            </w:r>
            <w:r w:rsidR="00B16975" w:rsidRPr="004967DC">
              <w:rPr>
                <w:rFonts w:ascii="Arial" w:hAnsi="Arial" w:cs="Microsoft Sans Serif"/>
                <w:sz w:val="21"/>
                <w:szCs w:val="21"/>
                <w:lang w:val="en-GB"/>
              </w:rPr>
              <w:t>.</w:t>
            </w:r>
          </w:p>
          <w:p w14:paraId="36896EE9"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p>
          <w:p w14:paraId="5170BB3B"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p>
        </w:tc>
        <w:tc>
          <w:tcPr>
            <w:tcW w:w="2599" w:type="dxa"/>
            <w:shd w:val="clear" w:color="auto" w:fill="C6D9F1" w:themeFill="text2" w:themeFillTint="33"/>
          </w:tcPr>
          <w:p w14:paraId="6CCBB76C" w14:textId="77777777" w:rsidR="000A686E" w:rsidRPr="004967DC" w:rsidRDefault="000A686E" w:rsidP="004967DC">
            <w:pPr>
              <w:autoSpaceDE w:val="0"/>
              <w:autoSpaceDN w:val="0"/>
              <w:adjustRightInd w:val="0"/>
              <w:snapToGrid w:val="0"/>
              <w:spacing w:after="240" w:line="360" w:lineRule="auto"/>
              <w:rPr>
                <w:rFonts w:ascii="Arial" w:hAnsi="Arial" w:cs="Microsoft Sans Serif"/>
                <w:b/>
                <w:sz w:val="21"/>
                <w:szCs w:val="21"/>
                <w:lang w:val="en-GB"/>
              </w:rPr>
            </w:pPr>
            <w:r w:rsidRPr="004967DC">
              <w:rPr>
                <w:rFonts w:ascii="Arial" w:hAnsi="Arial" w:cs="Microsoft Sans Serif"/>
                <w:b/>
                <w:sz w:val="21"/>
                <w:szCs w:val="21"/>
                <w:lang w:val="en-GB"/>
              </w:rPr>
              <w:t>Micro measures:</w:t>
            </w:r>
          </w:p>
          <w:p w14:paraId="5E48A723"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Actual (individual) replacement rate</w:t>
            </w:r>
            <w:r w:rsidR="00B16975" w:rsidRPr="004967DC">
              <w:rPr>
                <w:rFonts w:ascii="Arial" w:hAnsi="Arial" w:cs="Microsoft Sans Serif"/>
                <w:sz w:val="21"/>
                <w:szCs w:val="21"/>
                <w:lang w:val="en-GB"/>
              </w:rPr>
              <w:t>.</w:t>
            </w:r>
          </w:p>
          <w:p w14:paraId="2440E220" w14:textId="77777777" w:rsidR="000A686E" w:rsidRPr="004967DC" w:rsidRDefault="000A686E" w:rsidP="004967DC">
            <w:pPr>
              <w:autoSpaceDE w:val="0"/>
              <w:autoSpaceDN w:val="0"/>
              <w:adjustRightInd w:val="0"/>
              <w:snapToGrid w:val="0"/>
              <w:spacing w:after="240" w:line="360" w:lineRule="auto"/>
              <w:rPr>
                <w:rFonts w:ascii="Arial" w:hAnsi="Arial" w:cs="Microsoft Sans Serif"/>
                <w:b/>
                <w:sz w:val="21"/>
                <w:szCs w:val="21"/>
                <w:lang w:val="en-GB"/>
              </w:rPr>
            </w:pPr>
            <w:r w:rsidRPr="004967DC">
              <w:rPr>
                <w:rFonts w:ascii="Arial" w:hAnsi="Arial" w:cs="Microsoft Sans Serif"/>
                <w:b/>
                <w:sz w:val="21"/>
                <w:szCs w:val="21"/>
                <w:lang w:val="en-GB"/>
              </w:rPr>
              <w:t>Macro measures:</w:t>
            </w:r>
          </w:p>
          <w:p w14:paraId="682FBB7E"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Ratios of elderly to non-elderly income</w:t>
            </w:r>
            <w:r w:rsidR="00B16975" w:rsidRPr="004967DC">
              <w:rPr>
                <w:rFonts w:ascii="Arial" w:hAnsi="Arial" w:cs="Microsoft Sans Serif"/>
                <w:sz w:val="21"/>
                <w:szCs w:val="21"/>
                <w:lang w:val="en-GB"/>
              </w:rPr>
              <w:t>.</w:t>
            </w:r>
          </w:p>
          <w:p w14:paraId="0A38B0C3" w14:textId="77777777" w:rsidR="000A686E" w:rsidRPr="004967DC" w:rsidRDefault="000A686E"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Benefit ratio</w:t>
            </w:r>
            <w:r w:rsidR="00B16975" w:rsidRPr="004967DC">
              <w:rPr>
                <w:rFonts w:ascii="Arial" w:hAnsi="Arial" w:cs="Microsoft Sans Serif"/>
                <w:sz w:val="21"/>
                <w:szCs w:val="21"/>
                <w:lang w:val="en-GB"/>
              </w:rPr>
              <w:t>.</w:t>
            </w:r>
          </w:p>
          <w:p w14:paraId="3BE1D01A" w14:textId="77777777" w:rsidR="000A686E" w:rsidRPr="004967DC" w:rsidRDefault="00B16975" w:rsidP="004967DC">
            <w:pPr>
              <w:autoSpaceDE w:val="0"/>
              <w:autoSpaceDN w:val="0"/>
              <w:adjustRightInd w:val="0"/>
              <w:snapToGrid w:val="0"/>
              <w:spacing w:after="240" w:line="360" w:lineRule="auto"/>
              <w:rPr>
                <w:rFonts w:ascii="Arial" w:hAnsi="Arial" w:cs="Microsoft Sans Serif"/>
                <w:sz w:val="21"/>
                <w:szCs w:val="21"/>
                <w:lang w:val="en-GB"/>
              </w:rPr>
            </w:pPr>
            <w:r w:rsidRPr="004967DC">
              <w:rPr>
                <w:rFonts w:ascii="Arial" w:hAnsi="Arial" w:cs="Microsoft Sans Serif"/>
                <w:sz w:val="21"/>
                <w:szCs w:val="21"/>
                <w:lang w:val="en-GB"/>
              </w:rPr>
              <w:t>Aggregate replacement ratio.</w:t>
            </w:r>
          </w:p>
        </w:tc>
      </w:tr>
    </w:tbl>
    <w:p w14:paraId="586BE94B" w14:textId="77777777" w:rsidR="000A686E" w:rsidRPr="004967DC" w:rsidRDefault="000A686E" w:rsidP="004967DC">
      <w:pPr>
        <w:spacing w:after="240" w:line="360" w:lineRule="auto"/>
        <w:rPr>
          <w:rFonts w:ascii="Arial" w:hAnsi="Arial"/>
          <w:sz w:val="21"/>
          <w:szCs w:val="21"/>
          <w:lang w:val="en-GB"/>
        </w:rPr>
      </w:pPr>
      <w:r w:rsidRPr="004967DC">
        <w:rPr>
          <w:rFonts w:ascii="Arial" w:hAnsi="Arial"/>
          <w:sz w:val="21"/>
          <w:szCs w:val="21"/>
          <w:lang w:val="en-GB"/>
        </w:rPr>
        <w:t>Source: Stanić (2012: 78), slightly amended</w:t>
      </w:r>
      <w:r w:rsidR="007832A5" w:rsidRPr="004967DC">
        <w:rPr>
          <w:rFonts w:ascii="Arial" w:hAnsi="Arial"/>
          <w:sz w:val="21"/>
          <w:szCs w:val="21"/>
          <w:lang w:val="en-GB"/>
        </w:rPr>
        <w:t>.</w:t>
      </w:r>
    </w:p>
    <w:p w14:paraId="3EE1C022" w14:textId="77777777" w:rsidR="00C45D68" w:rsidRPr="004967DC" w:rsidRDefault="002C29A1" w:rsidP="004967DC">
      <w:pPr>
        <w:spacing w:after="240" w:line="360" w:lineRule="auto"/>
        <w:jc w:val="both"/>
        <w:rPr>
          <w:rFonts w:ascii="Arial" w:hAnsi="Arial"/>
          <w:sz w:val="21"/>
          <w:szCs w:val="21"/>
        </w:rPr>
      </w:pPr>
      <w:r w:rsidRPr="004967DC">
        <w:rPr>
          <w:rFonts w:ascii="Arial" w:hAnsi="Arial"/>
          <w:sz w:val="21"/>
          <w:szCs w:val="21"/>
        </w:rPr>
        <w:t xml:space="preserve">When it comes to </w:t>
      </w:r>
      <w:r w:rsidRPr="004967DC">
        <w:rPr>
          <w:rFonts w:ascii="Arial" w:hAnsi="Arial"/>
          <w:b/>
          <w:sz w:val="21"/>
          <w:szCs w:val="21"/>
        </w:rPr>
        <w:t xml:space="preserve">measurement of </w:t>
      </w:r>
      <w:r w:rsidR="00096136" w:rsidRPr="004967DC">
        <w:rPr>
          <w:rFonts w:ascii="Arial" w:hAnsi="Arial"/>
          <w:b/>
          <w:sz w:val="21"/>
          <w:szCs w:val="21"/>
        </w:rPr>
        <w:t>absolute living standard</w:t>
      </w:r>
      <w:r w:rsidR="00096136" w:rsidRPr="004967DC">
        <w:rPr>
          <w:rFonts w:ascii="Arial" w:hAnsi="Arial"/>
          <w:i/>
          <w:sz w:val="21"/>
          <w:szCs w:val="21"/>
        </w:rPr>
        <w:t xml:space="preserve"> </w:t>
      </w:r>
      <w:r w:rsidR="005C44DE" w:rsidRPr="004967DC">
        <w:rPr>
          <w:rFonts w:ascii="Arial" w:hAnsi="Arial"/>
          <w:sz w:val="21"/>
          <w:szCs w:val="21"/>
        </w:rPr>
        <w:t xml:space="preserve">i.e. </w:t>
      </w:r>
      <w:r w:rsidRPr="004967DC">
        <w:rPr>
          <w:rFonts w:ascii="Arial" w:hAnsi="Arial"/>
          <w:sz w:val="21"/>
          <w:szCs w:val="21"/>
        </w:rPr>
        <w:t xml:space="preserve">poverty reduction/prevention, there are usual dilemmas general to poverty measurement </w:t>
      </w:r>
      <w:r w:rsidR="00894A0F" w:rsidRPr="004967DC">
        <w:rPr>
          <w:rFonts w:ascii="Arial" w:hAnsi="Arial"/>
          <w:sz w:val="21"/>
          <w:szCs w:val="21"/>
        </w:rPr>
        <w:t xml:space="preserve">– </w:t>
      </w:r>
      <w:r w:rsidR="00CD40EE" w:rsidRPr="004967DC">
        <w:rPr>
          <w:rFonts w:ascii="Arial" w:hAnsi="Arial"/>
          <w:sz w:val="21"/>
          <w:szCs w:val="21"/>
        </w:rPr>
        <w:t xml:space="preserve">absolute </w:t>
      </w:r>
      <w:r w:rsidRPr="004967DC">
        <w:rPr>
          <w:rFonts w:ascii="Arial" w:hAnsi="Arial"/>
          <w:sz w:val="21"/>
          <w:szCs w:val="21"/>
        </w:rPr>
        <w:t xml:space="preserve">vs. relative </w:t>
      </w:r>
      <w:r w:rsidR="00CD40EE" w:rsidRPr="004967DC">
        <w:rPr>
          <w:rFonts w:ascii="Arial" w:hAnsi="Arial"/>
          <w:sz w:val="21"/>
          <w:szCs w:val="21"/>
        </w:rPr>
        <w:t>poverty</w:t>
      </w:r>
      <w:r w:rsidRPr="004967DC">
        <w:rPr>
          <w:rFonts w:ascii="Arial" w:hAnsi="Arial"/>
          <w:sz w:val="21"/>
          <w:szCs w:val="21"/>
        </w:rPr>
        <w:t xml:space="preserve">, </w:t>
      </w:r>
      <w:r w:rsidRPr="004967DC">
        <w:rPr>
          <w:rFonts w:ascii="Arial" w:hAnsi="Arial"/>
          <w:sz w:val="21"/>
          <w:szCs w:val="21"/>
        </w:rPr>
        <w:lastRenderedPageBreak/>
        <w:t xml:space="preserve">consumption </w:t>
      </w:r>
      <w:r w:rsidR="00652DCA" w:rsidRPr="004967DC">
        <w:rPr>
          <w:rFonts w:ascii="Arial" w:hAnsi="Arial"/>
          <w:sz w:val="21"/>
          <w:szCs w:val="21"/>
        </w:rPr>
        <w:t>or</w:t>
      </w:r>
      <w:r w:rsidRPr="004967DC">
        <w:rPr>
          <w:rFonts w:ascii="Arial" w:hAnsi="Arial"/>
          <w:sz w:val="21"/>
          <w:szCs w:val="21"/>
        </w:rPr>
        <w:t xml:space="preserve"> income</w:t>
      </w:r>
      <w:r w:rsidR="00652DCA" w:rsidRPr="004967DC">
        <w:rPr>
          <w:rFonts w:ascii="Arial" w:hAnsi="Arial"/>
          <w:sz w:val="21"/>
          <w:szCs w:val="21"/>
        </w:rPr>
        <w:t xml:space="preserve"> measurement</w:t>
      </w:r>
      <w:r w:rsidRPr="004967DC">
        <w:rPr>
          <w:rFonts w:ascii="Arial" w:hAnsi="Arial"/>
          <w:sz w:val="21"/>
          <w:szCs w:val="21"/>
        </w:rPr>
        <w:t xml:space="preserve">, unit </w:t>
      </w:r>
      <w:r w:rsidR="00652DCA" w:rsidRPr="004967DC">
        <w:rPr>
          <w:rFonts w:ascii="Arial" w:hAnsi="Arial"/>
          <w:sz w:val="21"/>
          <w:szCs w:val="21"/>
        </w:rPr>
        <w:t xml:space="preserve">of measurement </w:t>
      </w:r>
      <w:r w:rsidRPr="004967DC">
        <w:rPr>
          <w:rFonts w:ascii="Arial" w:hAnsi="Arial"/>
          <w:sz w:val="21"/>
          <w:szCs w:val="21"/>
        </w:rPr>
        <w:t>(individual vs. household)</w:t>
      </w:r>
      <w:r w:rsidR="00652DCA" w:rsidRPr="004967DC">
        <w:rPr>
          <w:rFonts w:ascii="Arial" w:hAnsi="Arial"/>
          <w:sz w:val="21"/>
          <w:szCs w:val="21"/>
        </w:rPr>
        <w:t>, equivalence scales etc</w:t>
      </w:r>
      <w:r w:rsidR="00F43C8C" w:rsidRPr="004967DC">
        <w:rPr>
          <w:rFonts w:ascii="Arial" w:hAnsi="Arial"/>
          <w:sz w:val="21"/>
          <w:szCs w:val="21"/>
        </w:rPr>
        <w:t>.</w:t>
      </w:r>
      <w:r w:rsidR="00652DCA" w:rsidRPr="004967DC">
        <w:rPr>
          <w:rStyle w:val="FootnoteReference"/>
          <w:rFonts w:ascii="Arial" w:hAnsi="Arial"/>
          <w:sz w:val="21"/>
          <w:szCs w:val="21"/>
        </w:rPr>
        <w:footnoteReference w:id="16"/>
      </w:r>
      <w:r w:rsidR="00652DCA" w:rsidRPr="004967DC">
        <w:rPr>
          <w:rFonts w:ascii="Arial" w:hAnsi="Arial"/>
          <w:sz w:val="21"/>
          <w:szCs w:val="21"/>
        </w:rPr>
        <w:t xml:space="preserve">. </w:t>
      </w:r>
    </w:p>
    <w:p w14:paraId="7594A2AD" w14:textId="77777777" w:rsidR="00327966" w:rsidRPr="004967DC" w:rsidRDefault="00FD26D5" w:rsidP="004967DC">
      <w:pPr>
        <w:autoSpaceDE w:val="0"/>
        <w:autoSpaceDN w:val="0"/>
        <w:adjustRightInd w:val="0"/>
        <w:spacing w:after="240" w:line="360" w:lineRule="auto"/>
        <w:jc w:val="both"/>
        <w:rPr>
          <w:rFonts w:ascii="Arial" w:hAnsi="Arial"/>
          <w:sz w:val="21"/>
          <w:szCs w:val="21"/>
        </w:rPr>
      </w:pPr>
      <w:r w:rsidRPr="004967DC">
        <w:rPr>
          <w:rFonts w:ascii="Arial" w:hAnsi="Arial"/>
          <w:sz w:val="21"/>
          <w:szCs w:val="21"/>
        </w:rPr>
        <w:t>Typical</w:t>
      </w:r>
      <w:r w:rsidR="00327966" w:rsidRPr="004967DC">
        <w:rPr>
          <w:rFonts w:ascii="Arial" w:hAnsi="Arial"/>
          <w:sz w:val="21"/>
          <w:szCs w:val="21"/>
        </w:rPr>
        <w:t xml:space="preserve"> </w:t>
      </w:r>
      <w:r w:rsidR="00327966" w:rsidRPr="004967DC">
        <w:rPr>
          <w:rFonts w:ascii="Arial" w:hAnsi="Arial"/>
          <w:b/>
          <w:sz w:val="21"/>
          <w:szCs w:val="21"/>
        </w:rPr>
        <w:t xml:space="preserve">measure of </w:t>
      </w:r>
      <w:r w:rsidR="00EF7313" w:rsidRPr="004967DC">
        <w:rPr>
          <w:rFonts w:ascii="Arial" w:hAnsi="Arial"/>
          <w:b/>
          <w:sz w:val="21"/>
          <w:szCs w:val="21"/>
        </w:rPr>
        <w:t>relative living standard</w:t>
      </w:r>
      <w:r w:rsidR="00327966" w:rsidRPr="004967DC">
        <w:rPr>
          <w:rFonts w:ascii="Arial" w:hAnsi="Arial"/>
          <w:sz w:val="21"/>
          <w:szCs w:val="21"/>
        </w:rPr>
        <w:t xml:space="preserve"> is </w:t>
      </w:r>
      <w:r w:rsidR="00327966" w:rsidRPr="004967DC">
        <w:rPr>
          <w:rFonts w:ascii="Arial" w:hAnsi="Arial"/>
          <w:b/>
          <w:sz w:val="21"/>
          <w:szCs w:val="21"/>
        </w:rPr>
        <w:t>replacement rate</w:t>
      </w:r>
      <w:r w:rsidR="00327966" w:rsidRPr="004967DC">
        <w:rPr>
          <w:rFonts w:ascii="Arial" w:hAnsi="Arial"/>
          <w:sz w:val="21"/>
          <w:szCs w:val="21"/>
        </w:rPr>
        <w:t xml:space="preserve"> </w:t>
      </w:r>
      <w:r w:rsidR="0028297B" w:rsidRPr="004967DC">
        <w:rPr>
          <w:rFonts w:ascii="Arial" w:hAnsi="Arial"/>
          <w:sz w:val="21"/>
          <w:szCs w:val="21"/>
        </w:rPr>
        <w:t>– ratio</w:t>
      </w:r>
      <w:r w:rsidR="00327966" w:rsidRPr="004967DC">
        <w:rPr>
          <w:rFonts w:ascii="Arial" w:hAnsi="Arial"/>
          <w:sz w:val="21"/>
          <w:szCs w:val="21"/>
        </w:rPr>
        <w:t xml:space="preserve"> of post-retirement to pre-retirement income. Defined in such a way, this is a micro/individual measure of income maintenance. It can be calculated based on hypothetical or actual earnings. </w:t>
      </w:r>
    </w:p>
    <w:p w14:paraId="6231CE3E" w14:textId="77777777" w:rsidR="00C46AC5" w:rsidRPr="004967DC" w:rsidRDefault="00CC33DF" w:rsidP="004967DC">
      <w:pPr>
        <w:autoSpaceDE w:val="0"/>
        <w:autoSpaceDN w:val="0"/>
        <w:adjustRightInd w:val="0"/>
        <w:spacing w:after="240" w:line="360" w:lineRule="auto"/>
        <w:jc w:val="both"/>
        <w:rPr>
          <w:rFonts w:ascii="Arial" w:hAnsi="Arial"/>
          <w:sz w:val="21"/>
          <w:szCs w:val="21"/>
        </w:rPr>
      </w:pPr>
      <w:r w:rsidRPr="004967DC">
        <w:rPr>
          <w:rFonts w:ascii="Arial" w:hAnsi="Arial"/>
          <w:sz w:val="21"/>
          <w:szCs w:val="21"/>
        </w:rPr>
        <w:t>Hypothetical</w:t>
      </w:r>
      <w:r w:rsidR="000A686E" w:rsidRPr="004967DC">
        <w:rPr>
          <w:rFonts w:ascii="Arial" w:hAnsi="Arial"/>
          <w:sz w:val="21"/>
          <w:szCs w:val="21"/>
        </w:rPr>
        <w:t>/theoretical</w:t>
      </w:r>
      <w:r w:rsidRPr="004967DC">
        <w:rPr>
          <w:rFonts w:ascii="Arial" w:hAnsi="Arial"/>
          <w:sz w:val="21"/>
          <w:szCs w:val="21"/>
        </w:rPr>
        <w:t xml:space="preserve"> replacement rate </w:t>
      </w:r>
      <w:r w:rsidR="000A686E" w:rsidRPr="004967DC">
        <w:rPr>
          <w:rFonts w:ascii="Arial" w:hAnsi="Arial"/>
          <w:sz w:val="21"/>
          <w:szCs w:val="21"/>
        </w:rPr>
        <w:t xml:space="preserve">(TRR) </w:t>
      </w:r>
      <w:r w:rsidRPr="004967DC">
        <w:rPr>
          <w:rFonts w:ascii="Arial" w:hAnsi="Arial"/>
          <w:sz w:val="21"/>
          <w:szCs w:val="21"/>
        </w:rPr>
        <w:t xml:space="preserve">is </w:t>
      </w:r>
      <w:r w:rsidR="00FD26D5" w:rsidRPr="004967DC">
        <w:rPr>
          <w:rFonts w:ascii="Arial" w:hAnsi="Arial"/>
          <w:sz w:val="21"/>
          <w:szCs w:val="21"/>
        </w:rPr>
        <w:t xml:space="preserve">the </w:t>
      </w:r>
      <w:r w:rsidR="00296087" w:rsidRPr="004967DC">
        <w:rPr>
          <w:rFonts w:ascii="Arial" w:hAnsi="Arial"/>
          <w:sz w:val="21"/>
          <w:szCs w:val="21"/>
        </w:rPr>
        <w:t>most usual indicator of</w:t>
      </w:r>
      <w:r w:rsidR="003C24C1" w:rsidRPr="004967DC">
        <w:rPr>
          <w:rFonts w:ascii="Arial" w:hAnsi="Arial"/>
          <w:sz w:val="21"/>
          <w:szCs w:val="21"/>
        </w:rPr>
        <w:t xml:space="preserve"> assessing pension adequacy.</w:t>
      </w:r>
      <w:r w:rsidRPr="004967DC">
        <w:rPr>
          <w:rFonts w:ascii="Arial" w:hAnsi="Arial"/>
          <w:sz w:val="21"/>
          <w:szCs w:val="21"/>
        </w:rPr>
        <w:t xml:space="preserve"> “The intention behind the standardized approach is to isolate the specific design issues that can be compared across countries. In this way, idiosyncratic determinants of pension system outcomes can be separated from those inherent to the design of the pension system itself”</w:t>
      </w:r>
      <w:r w:rsidR="00876515">
        <w:rPr>
          <w:rFonts w:ascii="Arial" w:hAnsi="Arial"/>
          <w:sz w:val="21"/>
          <w:szCs w:val="21"/>
        </w:rPr>
        <w:t xml:space="preserve"> </w:t>
      </w:r>
      <w:r w:rsidR="00876515" w:rsidRPr="00876515">
        <w:rPr>
          <w:rFonts w:ascii="Arial" w:hAnsi="Arial"/>
          <w:sz w:val="21"/>
          <w:szCs w:val="21"/>
        </w:rPr>
        <w:t>(</w:t>
      </w:r>
      <w:r w:rsidR="00876515" w:rsidRPr="00876515">
        <w:rPr>
          <w:rFonts w:ascii="Arial" w:hAnsi="Arial" w:cs="Arial"/>
          <w:color w:val="1A1A1A"/>
          <w:sz w:val="21"/>
          <w:szCs w:val="18"/>
        </w:rPr>
        <w:t>Pallares-Miralles et al., 2012)</w:t>
      </w:r>
      <w:r w:rsidRPr="00876515">
        <w:rPr>
          <w:rFonts w:ascii="Arial" w:hAnsi="Arial"/>
          <w:sz w:val="21"/>
          <w:szCs w:val="21"/>
        </w:rPr>
        <w:t>.</w:t>
      </w:r>
      <w:r w:rsidR="001E0768" w:rsidRPr="00876515">
        <w:rPr>
          <w:rFonts w:ascii="Arial" w:hAnsi="Arial"/>
          <w:sz w:val="21"/>
          <w:szCs w:val="21"/>
        </w:rPr>
        <w:t xml:space="preserve"> </w:t>
      </w:r>
      <w:r w:rsidR="004B34CA" w:rsidRPr="00876515">
        <w:rPr>
          <w:rFonts w:ascii="Arial" w:hAnsi="Arial"/>
          <w:i/>
          <w:sz w:val="21"/>
          <w:szCs w:val="21"/>
        </w:rPr>
        <w:t>“</w:t>
      </w:r>
      <w:r w:rsidR="004B34CA" w:rsidRPr="004967DC">
        <w:rPr>
          <w:rFonts w:ascii="Arial" w:hAnsi="Arial"/>
          <w:sz w:val="21"/>
          <w:szCs w:val="21"/>
        </w:rPr>
        <w:t xml:space="preserve">Theoretical </w:t>
      </w:r>
      <w:r w:rsidR="003053F2" w:rsidRPr="004967DC">
        <w:rPr>
          <w:rFonts w:ascii="Arial" w:hAnsi="Arial"/>
          <w:sz w:val="21"/>
          <w:szCs w:val="21"/>
        </w:rPr>
        <w:t>replacement rates</w:t>
      </w:r>
      <w:r w:rsidR="004B34CA" w:rsidRPr="004967DC">
        <w:rPr>
          <w:rFonts w:ascii="Arial" w:hAnsi="Arial"/>
          <w:sz w:val="21"/>
          <w:szCs w:val="21"/>
        </w:rPr>
        <w:t xml:space="preserve"> have been developed to measure the extent to which pension systems enable workers to preserve their previous living standard when moving from employment to retirement</w:t>
      </w:r>
      <w:r w:rsidR="004B34CA" w:rsidRPr="004967DC">
        <w:rPr>
          <w:rFonts w:ascii="Arial" w:hAnsi="Arial"/>
          <w:i/>
          <w:sz w:val="21"/>
          <w:szCs w:val="21"/>
        </w:rPr>
        <w:t>”</w:t>
      </w:r>
      <w:r w:rsidR="004B34CA" w:rsidRPr="004967DC">
        <w:rPr>
          <w:rFonts w:ascii="Arial" w:hAnsi="Arial"/>
          <w:sz w:val="21"/>
          <w:szCs w:val="21"/>
        </w:rPr>
        <w:t xml:space="preserve"> (</w:t>
      </w:r>
      <w:r w:rsidR="00462118">
        <w:rPr>
          <w:rFonts w:ascii="Arial" w:hAnsi="Arial"/>
          <w:sz w:val="21"/>
          <w:szCs w:val="21"/>
        </w:rPr>
        <w:t>EC</w:t>
      </w:r>
      <w:r w:rsidR="004B34CA" w:rsidRPr="004967DC">
        <w:rPr>
          <w:rFonts w:ascii="Arial" w:hAnsi="Arial"/>
          <w:sz w:val="21"/>
          <w:szCs w:val="21"/>
        </w:rPr>
        <w:t>, 2006</w:t>
      </w:r>
      <w:r w:rsidR="00462118">
        <w:rPr>
          <w:rFonts w:ascii="Arial" w:hAnsi="Arial"/>
          <w:sz w:val="21"/>
          <w:szCs w:val="21"/>
        </w:rPr>
        <w:t>a</w:t>
      </w:r>
      <w:r w:rsidR="004B34CA" w:rsidRPr="004967DC">
        <w:rPr>
          <w:rFonts w:ascii="Arial" w:hAnsi="Arial"/>
          <w:sz w:val="21"/>
          <w:szCs w:val="21"/>
        </w:rPr>
        <w:t>). Currently most prominent work on TRRs is done by EC-ISG and OECD, as discussed in previous sections.</w:t>
      </w:r>
    </w:p>
    <w:p w14:paraId="2BC2030E" w14:textId="77777777" w:rsidR="00096136" w:rsidRPr="004967DC" w:rsidRDefault="00C46AC5" w:rsidP="004967DC">
      <w:pPr>
        <w:spacing w:after="240" w:line="360" w:lineRule="auto"/>
        <w:jc w:val="both"/>
        <w:rPr>
          <w:rFonts w:ascii="Arial" w:hAnsi="Arial"/>
          <w:sz w:val="21"/>
          <w:szCs w:val="21"/>
        </w:rPr>
      </w:pPr>
      <w:r w:rsidRPr="004967DC">
        <w:rPr>
          <w:rFonts w:ascii="Arial" w:hAnsi="Arial"/>
          <w:sz w:val="21"/>
          <w:szCs w:val="21"/>
        </w:rPr>
        <w:t xml:space="preserve">TRR may be current and perspective (future). For Serbia only current replacement is currently relevant, since changes of indexation have been so frequent and ad hoc in the last 10 years that </w:t>
      </w:r>
      <w:r w:rsidR="003053F2" w:rsidRPr="004967DC">
        <w:rPr>
          <w:rFonts w:ascii="Arial" w:hAnsi="Arial"/>
          <w:sz w:val="21"/>
          <w:szCs w:val="21"/>
        </w:rPr>
        <w:t>projections for</w:t>
      </w:r>
      <w:r w:rsidRPr="004967DC">
        <w:rPr>
          <w:rFonts w:ascii="Arial" w:hAnsi="Arial"/>
          <w:sz w:val="21"/>
          <w:szCs w:val="21"/>
        </w:rPr>
        <w:t xml:space="preserve"> 40</w:t>
      </w:r>
      <w:r w:rsidR="003053F2" w:rsidRPr="004967DC">
        <w:rPr>
          <w:rFonts w:ascii="Arial" w:hAnsi="Arial"/>
          <w:sz w:val="21"/>
          <w:szCs w:val="21"/>
        </w:rPr>
        <w:t>–</w:t>
      </w:r>
      <w:r w:rsidRPr="004967DC">
        <w:rPr>
          <w:rFonts w:ascii="Arial" w:hAnsi="Arial"/>
          <w:sz w:val="21"/>
          <w:szCs w:val="21"/>
        </w:rPr>
        <w:t>50 year</w:t>
      </w:r>
      <w:r w:rsidR="003053F2" w:rsidRPr="004967DC">
        <w:rPr>
          <w:rFonts w:ascii="Arial" w:hAnsi="Arial"/>
          <w:sz w:val="21"/>
          <w:szCs w:val="21"/>
        </w:rPr>
        <w:t>s</w:t>
      </w:r>
      <w:r w:rsidRPr="004967DC">
        <w:rPr>
          <w:rFonts w:ascii="Arial" w:hAnsi="Arial"/>
          <w:sz w:val="21"/>
          <w:szCs w:val="21"/>
        </w:rPr>
        <w:t xml:space="preserve"> in </w:t>
      </w:r>
      <w:r w:rsidR="003053F2" w:rsidRPr="004967DC">
        <w:rPr>
          <w:rFonts w:ascii="Arial" w:hAnsi="Arial"/>
          <w:sz w:val="21"/>
          <w:szCs w:val="21"/>
        </w:rPr>
        <w:t xml:space="preserve">the </w:t>
      </w:r>
      <w:r w:rsidRPr="004967DC">
        <w:rPr>
          <w:rFonts w:ascii="Arial" w:hAnsi="Arial"/>
          <w:sz w:val="21"/>
          <w:szCs w:val="21"/>
        </w:rPr>
        <w:t xml:space="preserve">future </w:t>
      </w:r>
      <w:r w:rsidR="003053F2" w:rsidRPr="004967DC">
        <w:rPr>
          <w:rFonts w:ascii="Arial" w:hAnsi="Arial"/>
          <w:sz w:val="21"/>
          <w:szCs w:val="21"/>
        </w:rPr>
        <w:t>cannot be reliable</w:t>
      </w:r>
      <w:r w:rsidR="00462118">
        <w:rPr>
          <w:rFonts w:ascii="Arial" w:hAnsi="Arial"/>
          <w:sz w:val="21"/>
          <w:szCs w:val="21"/>
        </w:rPr>
        <w:t>.</w:t>
      </w:r>
    </w:p>
    <w:p w14:paraId="4CFC0474" w14:textId="77777777" w:rsidR="00352B17" w:rsidRPr="004967DC" w:rsidRDefault="00E57873" w:rsidP="00BD2378">
      <w:pPr>
        <w:pStyle w:val="NormalWeb"/>
        <w:spacing w:beforeLines="0" w:afterLines="0" w:line="360" w:lineRule="auto"/>
        <w:jc w:val="both"/>
        <w:rPr>
          <w:rFonts w:ascii="Arial" w:hAnsi="Arial"/>
          <w:sz w:val="21"/>
          <w:szCs w:val="21"/>
        </w:rPr>
      </w:pPr>
      <w:r w:rsidRPr="004967DC">
        <w:rPr>
          <w:rFonts w:ascii="Arial" w:hAnsi="Arial"/>
          <w:sz w:val="21"/>
          <w:szCs w:val="21"/>
        </w:rPr>
        <w:t>A</w:t>
      </w:r>
      <w:r w:rsidR="001E0768" w:rsidRPr="004967DC">
        <w:rPr>
          <w:rFonts w:ascii="Arial" w:hAnsi="Arial"/>
          <w:sz w:val="21"/>
          <w:szCs w:val="21"/>
        </w:rPr>
        <w:t xml:space="preserve"> number of authors </w:t>
      </w:r>
      <w:r w:rsidR="00F43C8C" w:rsidRPr="004967DC">
        <w:rPr>
          <w:rFonts w:ascii="Arial" w:hAnsi="Arial"/>
          <w:sz w:val="21"/>
          <w:szCs w:val="21"/>
        </w:rPr>
        <w:t>criticize</w:t>
      </w:r>
      <w:r w:rsidR="004B34CA" w:rsidRPr="004967DC">
        <w:rPr>
          <w:rFonts w:ascii="Arial" w:hAnsi="Arial"/>
          <w:sz w:val="21"/>
          <w:szCs w:val="21"/>
        </w:rPr>
        <w:t xml:space="preserve"> TRRs as not being </w:t>
      </w:r>
      <w:r w:rsidR="00296087" w:rsidRPr="004967DC">
        <w:rPr>
          <w:rFonts w:ascii="Arial" w:hAnsi="Arial"/>
          <w:sz w:val="21"/>
          <w:szCs w:val="21"/>
        </w:rPr>
        <w:t xml:space="preserve">a comprehensive measure of income replacement. OECD (2005) notes that </w:t>
      </w:r>
      <w:r w:rsidR="00D4375B" w:rsidRPr="004967DC">
        <w:rPr>
          <w:rFonts w:ascii="Arial" w:hAnsi="Arial"/>
          <w:sz w:val="21"/>
          <w:szCs w:val="21"/>
        </w:rPr>
        <w:t>replacement rates</w:t>
      </w:r>
      <w:r w:rsidR="00296087" w:rsidRPr="004967DC">
        <w:rPr>
          <w:rFonts w:ascii="Arial" w:hAnsi="Arial"/>
          <w:sz w:val="21"/>
          <w:szCs w:val="21"/>
        </w:rPr>
        <w:t xml:space="preserve"> are the first indication of the magnitude of the pension promise, but they are not comprehensive measures. For a full picture, it is necessary to take account of life expectancy, retirement ages and the indexation of pension benefits. </w:t>
      </w:r>
      <w:r w:rsidR="00F715D4" w:rsidRPr="004967DC">
        <w:rPr>
          <w:rFonts w:ascii="Arial" w:hAnsi="Arial"/>
          <w:sz w:val="21"/>
          <w:szCs w:val="21"/>
        </w:rPr>
        <w:t xml:space="preserve">Grech (2013) </w:t>
      </w:r>
      <w:r w:rsidR="00B41A64" w:rsidRPr="004967DC">
        <w:rPr>
          <w:rFonts w:ascii="Arial" w:hAnsi="Arial"/>
          <w:sz w:val="21"/>
          <w:szCs w:val="21"/>
        </w:rPr>
        <w:t xml:space="preserve">points out that </w:t>
      </w:r>
      <w:r w:rsidR="00D4375B" w:rsidRPr="004967DC">
        <w:rPr>
          <w:rFonts w:ascii="Arial" w:hAnsi="Arial"/>
          <w:sz w:val="21"/>
          <w:szCs w:val="21"/>
        </w:rPr>
        <w:t>replacement rate</w:t>
      </w:r>
      <w:r w:rsidR="00B41A64" w:rsidRPr="004967DC">
        <w:rPr>
          <w:rFonts w:ascii="Arial" w:hAnsi="Arial"/>
          <w:sz w:val="21"/>
          <w:szCs w:val="21"/>
        </w:rPr>
        <w:t xml:space="preserve"> is a “single point-in-time indicator”</w:t>
      </w:r>
      <w:r w:rsidR="00F715D4" w:rsidRPr="004967DC">
        <w:rPr>
          <w:rFonts w:ascii="Arial" w:hAnsi="Arial"/>
          <w:sz w:val="21"/>
          <w:szCs w:val="21"/>
        </w:rPr>
        <w:t xml:space="preserve"> failing</w:t>
      </w:r>
      <w:r w:rsidR="00B41A64" w:rsidRPr="004967DC">
        <w:rPr>
          <w:rFonts w:ascii="Arial" w:hAnsi="Arial"/>
          <w:sz w:val="21"/>
          <w:szCs w:val="21"/>
        </w:rPr>
        <w:t xml:space="preserve"> to take into account differences in longevity and state pension ages </w:t>
      </w:r>
      <w:r w:rsidR="00F715D4" w:rsidRPr="004967DC">
        <w:rPr>
          <w:rFonts w:ascii="Arial" w:hAnsi="Arial"/>
          <w:sz w:val="21"/>
          <w:szCs w:val="21"/>
        </w:rPr>
        <w:t>and also ignoring</w:t>
      </w:r>
      <w:r w:rsidR="00B41A64" w:rsidRPr="004967DC">
        <w:rPr>
          <w:rFonts w:ascii="Arial" w:hAnsi="Arial"/>
          <w:sz w:val="21"/>
          <w:szCs w:val="21"/>
        </w:rPr>
        <w:t xml:space="preserve"> how pension payments change over the period in retirement.</w:t>
      </w:r>
      <w:r w:rsidR="00F715D4" w:rsidRPr="004967DC">
        <w:rPr>
          <w:rFonts w:ascii="Arial" w:hAnsi="Arial"/>
          <w:sz w:val="21"/>
          <w:szCs w:val="21"/>
        </w:rPr>
        <w:t xml:space="preserve"> Similarly, </w:t>
      </w:r>
      <w:r w:rsidR="009361E9" w:rsidRPr="004967DC">
        <w:rPr>
          <w:rFonts w:ascii="Arial" w:hAnsi="Arial"/>
          <w:sz w:val="21"/>
          <w:szCs w:val="21"/>
        </w:rPr>
        <w:t xml:space="preserve">Chybalski (2012) argues that measuring </w:t>
      </w:r>
      <w:r w:rsidR="004A6023" w:rsidRPr="004967DC">
        <w:rPr>
          <w:rFonts w:ascii="Arial" w:hAnsi="Arial"/>
          <w:sz w:val="21"/>
          <w:szCs w:val="21"/>
        </w:rPr>
        <w:t xml:space="preserve">adequacy only with </w:t>
      </w:r>
      <w:r w:rsidR="00D4375B" w:rsidRPr="004967DC">
        <w:rPr>
          <w:rFonts w:ascii="Arial" w:hAnsi="Arial"/>
          <w:sz w:val="21"/>
          <w:szCs w:val="21"/>
        </w:rPr>
        <w:t>replacement rate</w:t>
      </w:r>
      <w:r w:rsidR="004A6023" w:rsidRPr="004967DC">
        <w:rPr>
          <w:rFonts w:ascii="Arial" w:hAnsi="Arial"/>
          <w:sz w:val="21"/>
          <w:szCs w:val="21"/>
        </w:rPr>
        <w:t xml:space="preserve"> is one-dimensional approach. This is why it is important to include </w:t>
      </w:r>
      <w:r w:rsidR="00C2358A" w:rsidRPr="004967DC">
        <w:rPr>
          <w:rFonts w:ascii="Arial" w:hAnsi="Arial"/>
          <w:b/>
          <w:sz w:val="21"/>
          <w:szCs w:val="21"/>
        </w:rPr>
        <w:t>pension wealth</w:t>
      </w:r>
      <w:r w:rsidR="00C2358A" w:rsidRPr="004967DC">
        <w:rPr>
          <w:rFonts w:ascii="Arial" w:hAnsi="Arial"/>
          <w:i/>
          <w:sz w:val="21"/>
          <w:szCs w:val="21"/>
        </w:rPr>
        <w:t>,</w:t>
      </w:r>
      <w:r w:rsidR="00C2358A" w:rsidRPr="004967DC">
        <w:rPr>
          <w:rFonts w:ascii="Arial" w:hAnsi="Arial"/>
          <w:sz w:val="21"/>
          <w:szCs w:val="21"/>
        </w:rPr>
        <w:t xml:space="preserve"> which takes into the total value of the lifetime flow of retirement incomes </w:t>
      </w:r>
      <w:r w:rsidR="004A6023" w:rsidRPr="004967DC">
        <w:rPr>
          <w:rFonts w:ascii="Arial" w:hAnsi="Arial"/>
          <w:sz w:val="21"/>
          <w:szCs w:val="21"/>
        </w:rPr>
        <w:t>as a complementary indicator</w:t>
      </w:r>
      <w:r w:rsidR="00C2358A" w:rsidRPr="004967DC">
        <w:rPr>
          <w:rFonts w:ascii="Arial" w:hAnsi="Arial"/>
          <w:sz w:val="21"/>
          <w:szCs w:val="21"/>
        </w:rPr>
        <w:t>. In addition, change in pension wealth shows what are the incentives or disincentives to stay in labor market for additional year. Th</w:t>
      </w:r>
      <w:r w:rsidR="00424527" w:rsidRPr="004967DC">
        <w:rPr>
          <w:rFonts w:ascii="Arial" w:hAnsi="Arial"/>
          <w:sz w:val="21"/>
          <w:szCs w:val="21"/>
        </w:rPr>
        <w:t>ese</w:t>
      </w:r>
      <w:r w:rsidR="00C2358A" w:rsidRPr="004967DC">
        <w:rPr>
          <w:rFonts w:ascii="Arial" w:hAnsi="Arial"/>
          <w:sz w:val="21"/>
          <w:szCs w:val="21"/>
        </w:rPr>
        <w:t xml:space="preserve"> indicators have not been calcula</w:t>
      </w:r>
      <w:r w:rsidRPr="004967DC">
        <w:rPr>
          <w:rFonts w:ascii="Arial" w:hAnsi="Arial"/>
          <w:sz w:val="21"/>
          <w:szCs w:val="21"/>
        </w:rPr>
        <w:t xml:space="preserve">ted for Serbia so far. </w:t>
      </w:r>
    </w:p>
    <w:p w14:paraId="7B43C435" w14:textId="77777777" w:rsidR="00DC2FF4" w:rsidRPr="004967DC" w:rsidRDefault="000A7F95" w:rsidP="00462118">
      <w:pPr>
        <w:pStyle w:val="NormalWeb"/>
        <w:spacing w:beforeLines="0" w:afterLines="0" w:line="360" w:lineRule="auto"/>
        <w:jc w:val="both"/>
        <w:rPr>
          <w:rFonts w:ascii="Arial" w:hAnsi="Arial"/>
          <w:sz w:val="21"/>
          <w:szCs w:val="21"/>
        </w:rPr>
      </w:pPr>
      <w:r w:rsidRPr="004967DC">
        <w:rPr>
          <w:rFonts w:ascii="Arial" w:hAnsi="Arial"/>
          <w:sz w:val="21"/>
          <w:szCs w:val="21"/>
        </w:rPr>
        <w:t xml:space="preserve">When it comes to measures of actual outcome, individual </w:t>
      </w:r>
      <w:r w:rsidR="003B78FD" w:rsidRPr="004967DC">
        <w:rPr>
          <w:rFonts w:ascii="Arial" w:hAnsi="Arial"/>
          <w:sz w:val="21"/>
          <w:szCs w:val="21"/>
        </w:rPr>
        <w:t>replacement rates</w:t>
      </w:r>
      <w:r w:rsidRPr="004967DC">
        <w:rPr>
          <w:rFonts w:ascii="Arial" w:hAnsi="Arial"/>
          <w:sz w:val="21"/>
          <w:szCs w:val="21"/>
        </w:rPr>
        <w:t xml:space="preserve"> are very difficult to calculate</w:t>
      </w:r>
      <w:r w:rsidR="00DC2FF4" w:rsidRPr="004967DC">
        <w:rPr>
          <w:rFonts w:ascii="Arial" w:hAnsi="Arial"/>
          <w:sz w:val="21"/>
          <w:szCs w:val="21"/>
        </w:rPr>
        <w:t>.</w:t>
      </w:r>
      <w:r w:rsidRPr="004967DC">
        <w:rPr>
          <w:rFonts w:ascii="Arial" w:hAnsi="Arial"/>
          <w:sz w:val="21"/>
          <w:szCs w:val="21"/>
        </w:rPr>
        <w:t xml:space="preserve"> All EU measures, such as aggregate replacement rate (ARR), </w:t>
      </w:r>
      <w:r w:rsidR="00EF7313" w:rsidRPr="004967DC">
        <w:rPr>
          <w:rFonts w:ascii="Arial" w:hAnsi="Arial"/>
          <w:sz w:val="21"/>
          <w:szCs w:val="21"/>
        </w:rPr>
        <w:t xml:space="preserve">median relative income of elderly people, benefit ratio – they are all macro measures of adequacy. </w:t>
      </w:r>
    </w:p>
    <w:p w14:paraId="71CB1EEF" w14:textId="77777777" w:rsidR="00096136" w:rsidRPr="004967DC" w:rsidRDefault="0099013C" w:rsidP="004967DC">
      <w:pPr>
        <w:autoSpaceDE w:val="0"/>
        <w:autoSpaceDN w:val="0"/>
        <w:adjustRightInd w:val="0"/>
        <w:spacing w:after="240" w:line="360" w:lineRule="auto"/>
        <w:jc w:val="both"/>
        <w:rPr>
          <w:rFonts w:ascii="Arial" w:hAnsi="Arial"/>
          <w:sz w:val="21"/>
          <w:szCs w:val="21"/>
        </w:rPr>
      </w:pPr>
      <w:r w:rsidRPr="004967DC">
        <w:rPr>
          <w:rFonts w:ascii="Arial" w:hAnsi="Arial"/>
          <w:sz w:val="21"/>
          <w:szCs w:val="21"/>
        </w:rPr>
        <w:t xml:space="preserve">When it comes to income maintenance, another </w:t>
      </w:r>
      <w:r w:rsidR="00CB7051" w:rsidRPr="004967DC">
        <w:rPr>
          <w:rFonts w:ascii="Arial" w:hAnsi="Arial"/>
          <w:sz w:val="21"/>
          <w:szCs w:val="21"/>
        </w:rPr>
        <w:t xml:space="preserve">issue is </w:t>
      </w:r>
      <w:r w:rsidR="00CB7051" w:rsidRPr="004967DC">
        <w:rPr>
          <w:rFonts w:ascii="Arial" w:hAnsi="Arial"/>
          <w:b/>
          <w:sz w:val="21"/>
          <w:szCs w:val="21"/>
        </w:rPr>
        <w:t>adequa</w:t>
      </w:r>
      <w:r w:rsidRPr="004967DC">
        <w:rPr>
          <w:rFonts w:ascii="Arial" w:hAnsi="Arial"/>
          <w:b/>
          <w:sz w:val="21"/>
          <w:szCs w:val="21"/>
        </w:rPr>
        <w:t>cy</w:t>
      </w:r>
      <w:r w:rsidR="00CB7051" w:rsidRPr="004967DC">
        <w:rPr>
          <w:rFonts w:ascii="Arial" w:hAnsi="Arial"/>
          <w:sz w:val="21"/>
          <w:szCs w:val="21"/>
        </w:rPr>
        <w:t xml:space="preserve">. </w:t>
      </w:r>
      <w:r w:rsidR="00531464" w:rsidRPr="004967DC">
        <w:rPr>
          <w:rFonts w:ascii="Arial" w:hAnsi="Arial"/>
          <w:sz w:val="21"/>
          <w:szCs w:val="21"/>
        </w:rPr>
        <w:t>Stanić (2008) points to a number of studies analyzing this matter. For example, Palmer (1989)</w:t>
      </w:r>
      <w:r w:rsidRPr="004967DC">
        <w:rPr>
          <w:rFonts w:ascii="Arial" w:hAnsi="Arial"/>
          <w:sz w:val="21"/>
          <w:szCs w:val="21"/>
        </w:rPr>
        <w:t>,</w:t>
      </w:r>
      <w:r w:rsidR="00531464" w:rsidRPr="004967DC">
        <w:rPr>
          <w:rFonts w:ascii="Arial" w:hAnsi="Arial"/>
          <w:sz w:val="21"/>
          <w:szCs w:val="21"/>
        </w:rPr>
        <w:t xml:space="preserve"> as in McGill (1989)</w:t>
      </w:r>
      <w:r w:rsidRPr="004967DC">
        <w:rPr>
          <w:rFonts w:ascii="Arial" w:hAnsi="Arial"/>
          <w:sz w:val="21"/>
          <w:szCs w:val="21"/>
        </w:rPr>
        <w:t>,</w:t>
      </w:r>
      <w:r w:rsidR="00531464" w:rsidRPr="004967DC">
        <w:rPr>
          <w:rFonts w:ascii="Arial" w:hAnsi="Arial"/>
          <w:sz w:val="21"/>
          <w:szCs w:val="21"/>
        </w:rPr>
        <w:t xml:space="preserve"> argue </w:t>
      </w:r>
      <w:r w:rsidR="00531464" w:rsidRPr="004967DC">
        <w:rPr>
          <w:rFonts w:ascii="Arial" w:hAnsi="Arial"/>
          <w:sz w:val="21"/>
          <w:szCs w:val="21"/>
        </w:rPr>
        <w:lastRenderedPageBreak/>
        <w:t xml:space="preserve">that total retirement income of </w:t>
      </w:r>
      <w:r w:rsidR="00531464" w:rsidRPr="004967DC">
        <w:rPr>
          <w:rFonts w:ascii="Arial" w:hAnsi="Arial"/>
          <w:b/>
          <w:sz w:val="21"/>
          <w:szCs w:val="21"/>
        </w:rPr>
        <w:t>60-75%</w:t>
      </w:r>
      <w:r w:rsidR="00531464" w:rsidRPr="004967DC">
        <w:rPr>
          <w:rFonts w:ascii="Arial" w:hAnsi="Arial"/>
          <w:sz w:val="21"/>
          <w:szCs w:val="21"/>
        </w:rPr>
        <w:t xml:space="preserve"> of an individual’s </w:t>
      </w:r>
      <w:r w:rsidR="00531464" w:rsidRPr="004967DC">
        <w:rPr>
          <w:rFonts w:ascii="Arial" w:hAnsi="Arial"/>
          <w:b/>
          <w:sz w:val="21"/>
          <w:szCs w:val="21"/>
        </w:rPr>
        <w:t>gross</w:t>
      </w:r>
      <w:r w:rsidR="00531464" w:rsidRPr="004967DC">
        <w:rPr>
          <w:rFonts w:ascii="Arial" w:hAnsi="Arial"/>
          <w:sz w:val="21"/>
          <w:szCs w:val="21"/>
        </w:rPr>
        <w:t xml:space="preserve"> earnings at retirement will enable him</w:t>
      </w:r>
      <w:r w:rsidRPr="004967DC">
        <w:rPr>
          <w:rFonts w:ascii="Arial" w:hAnsi="Arial"/>
          <w:sz w:val="21"/>
          <w:szCs w:val="21"/>
        </w:rPr>
        <w:t>/her</w:t>
      </w:r>
      <w:r w:rsidR="00531464" w:rsidRPr="004967DC">
        <w:rPr>
          <w:rFonts w:ascii="Arial" w:hAnsi="Arial"/>
          <w:sz w:val="21"/>
          <w:szCs w:val="21"/>
        </w:rPr>
        <w:t xml:space="preserve"> to enjoy a</w:t>
      </w:r>
      <w:r w:rsidRPr="004967DC">
        <w:rPr>
          <w:rFonts w:ascii="Arial" w:hAnsi="Arial"/>
          <w:sz w:val="21"/>
          <w:szCs w:val="21"/>
        </w:rPr>
        <w:t xml:space="preserve">n adequate </w:t>
      </w:r>
      <w:r w:rsidR="00531464" w:rsidRPr="004967DC">
        <w:rPr>
          <w:rFonts w:ascii="Arial" w:hAnsi="Arial"/>
          <w:sz w:val="21"/>
          <w:szCs w:val="21"/>
        </w:rPr>
        <w:t>standard of living during the latter stages of his</w:t>
      </w:r>
      <w:r w:rsidRPr="004967DC">
        <w:rPr>
          <w:rFonts w:ascii="Arial" w:hAnsi="Arial"/>
          <w:sz w:val="21"/>
          <w:szCs w:val="21"/>
        </w:rPr>
        <w:t>/hers</w:t>
      </w:r>
      <w:r w:rsidR="00531464" w:rsidRPr="004967DC">
        <w:rPr>
          <w:rFonts w:ascii="Arial" w:hAnsi="Arial"/>
          <w:sz w:val="21"/>
          <w:szCs w:val="21"/>
        </w:rPr>
        <w:t xml:space="preserve"> employment. Similarly, Munell </w:t>
      </w:r>
      <w:r w:rsidR="00462118">
        <w:rPr>
          <w:rFonts w:ascii="Arial" w:hAnsi="Arial"/>
          <w:sz w:val="21"/>
          <w:szCs w:val="21"/>
        </w:rPr>
        <w:t xml:space="preserve">and Soto </w:t>
      </w:r>
      <w:r w:rsidR="00531464" w:rsidRPr="004967DC">
        <w:rPr>
          <w:rFonts w:ascii="Arial" w:hAnsi="Arial"/>
          <w:sz w:val="21"/>
          <w:szCs w:val="21"/>
        </w:rPr>
        <w:t xml:space="preserve">(2005) </w:t>
      </w:r>
      <w:r w:rsidR="00462118">
        <w:rPr>
          <w:rFonts w:ascii="Arial" w:hAnsi="Arial"/>
          <w:sz w:val="21"/>
          <w:szCs w:val="21"/>
        </w:rPr>
        <w:t>state</w:t>
      </w:r>
      <w:r w:rsidR="00531464" w:rsidRPr="004967DC">
        <w:rPr>
          <w:rFonts w:ascii="Arial" w:hAnsi="Arial"/>
          <w:sz w:val="21"/>
          <w:szCs w:val="21"/>
        </w:rPr>
        <w:t xml:space="preserve"> that replacement does not have to be 100 percent of gross income because they pay much less in taxes after retirement, they no longer need to save a portion of their income for retirement and they don't have work-related expenses, such as clothing and transportation. On the other side, health expenses are increasing in old-age. Therefore, </w:t>
      </w:r>
      <w:r w:rsidR="00FB6BD7" w:rsidRPr="004967DC">
        <w:rPr>
          <w:rFonts w:ascii="Arial" w:hAnsi="Arial"/>
          <w:sz w:val="21"/>
          <w:szCs w:val="21"/>
        </w:rPr>
        <w:t xml:space="preserve">the manner </w:t>
      </w:r>
      <w:r w:rsidR="00531464" w:rsidRPr="004967DC">
        <w:rPr>
          <w:rFonts w:ascii="Arial" w:hAnsi="Arial"/>
          <w:sz w:val="21"/>
          <w:szCs w:val="21"/>
        </w:rPr>
        <w:t xml:space="preserve">the health system is financed, the quality of health insurance in a country, </w:t>
      </w:r>
      <w:r w:rsidR="00FB6BD7" w:rsidRPr="004967DC">
        <w:rPr>
          <w:rFonts w:ascii="Arial" w:hAnsi="Arial"/>
          <w:sz w:val="21"/>
          <w:szCs w:val="21"/>
        </w:rPr>
        <w:t>a way</w:t>
      </w:r>
      <w:r w:rsidR="00531464" w:rsidRPr="004967DC">
        <w:rPr>
          <w:rFonts w:ascii="Arial" w:hAnsi="Arial"/>
          <w:sz w:val="21"/>
          <w:szCs w:val="21"/>
        </w:rPr>
        <w:t xml:space="preserve"> costs of medicines </w:t>
      </w:r>
      <w:r w:rsidR="00FB6BD7" w:rsidRPr="004967DC">
        <w:rPr>
          <w:rFonts w:ascii="Arial" w:hAnsi="Arial"/>
          <w:sz w:val="21"/>
          <w:szCs w:val="21"/>
        </w:rPr>
        <w:t xml:space="preserve">are </w:t>
      </w:r>
      <w:r w:rsidR="00531464" w:rsidRPr="004967DC">
        <w:rPr>
          <w:rFonts w:ascii="Arial" w:hAnsi="Arial"/>
          <w:sz w:val="21"/>
          <w:szCs w:val="21"/>
        </w:rPr>
        <w:t xml:space="preserve">covered etc. influence the amount of income needed in retirement compared to working time when health-related expenses are lower. Finally, replacing the pre-retirement income in transition and emerging economies may not be adequate due to very low wages prior to retirement. </w:t>
      </w:r>
    </w:p>
    <w:p w14:paraId="186EB66E" w14:textId="77777777" w:rsidR="00096136" w:rsidRPr="004967DC" w:rsidRDefault="00531464" w:rsidP="004967DC">
      <w:pPr>
        <w:spacing w:after="240" w:line="360" w:lineRule="auto"/>
        <w:jc w:val="both"/>
        <w:rPr>
          <w:rFonts w:ascii="Arial" w:hAnsi="Arial"/>
          <w:sz w:val="21"/>
          <w:szCs w:val="21"/>
        </w:rPr>
      </w:pPr>
      <w:r w:rsidRPr="004967DC">
        <w:rPr>
          <w:rFonts w:ascii="Arial" w:hAnsi="Arial"/>
          <w:sz w:val="21"/>
          <w:szCs w:val="21"/>
        </w:rPr>
        <w:t>Furthermore</w:t>
      </w:r>
      <w:r w:rsidR="00096136" w:rsidRPr="004967DC">
        <w:rPr>
          <w:rFonts w:ascii="Arial" w:hAnsi="Arial"/>
          <w:sz w:val="21"/>
          <w:szCs w:val="21"/>
        </w:rPr>
        <w:t>,</w:t>
      </w:r>
      <w:r w:rsidR="00960748" w:rsidRPr="004967DC">
        <w:rPr>
          <w:rFonts w:ascii="Arial" w:hAnsi="Arial"/>
          <w:sz w:val="21"/>
          <w:szCs w:val="21"/>
        </w:rPr>
        <w:t xml:space="preserve"> </w:t>
      </w:r>
      <w:r w:rsidR="00096136" w:rsidRPr="004967DC">
        <w:rPr>
          <w:rFonts w:ascii="Arial" w:hAnsi="Arial"/>
          <w:sz w:val="21"/>
          <w:szCs w:val="21"/>
        </w:rPr>
        <w:t xml:space="preserve">one may analyze broader concept such </w:t>
      </w:r>
      <w:r w:rsidR="00096136" w:rsidRPr="004967DC">
        <w:rPr>
          <w:rFonts w:ascii="Arial" w:hAnsi="Arial"/>
          <w:b/>
          <w:sz w:val="21"/>
          <w:szCs w:val="21"/>
        </w:rPr>
        <w:t>income adequacy of elderly</w:t>
      </w:r>
      <w:r w:rsidR="00C40F22" w:rsidRPr="004967DC">
        <w:rPr>
          <w:rFonts w:ascii="Arial" w:hAnsi="Arial"/>
          <w:sz w:val="21"/>
          <w:szCs w:val="21"/>
        </w:rPr>
        <w:t xml:space="preserve"> </w:t>
      </w:r>
      <w:r w:rsidR="00E17A06" w:rsidRPr="004967DC">
        <w:rPr>
          <w:rFonts w:ascii="Arial" w:hAnsi="Arial"/>
          <w:sz w:val="21"/>
          <w:szCs w:val="21"/>
        </w:rPr>
        <w:t xml:space="preserve">or focus only on </w:t>
      </w:r>
      <w:r w:rsidR="00E17A06" w:rsidRPr="004967DC">
        <w:rPr>
          <w:rFonts w:ascii="Arial" w:hAnsi="Arial"/>
          <w:b/>
          <w:sz w:val="21"/>
          <w:szCs w:val="21"/>
        </w:rPr>
        <w:t xml:space="preserve">pension income </w:t>
      </w:r>
      <w:r w:rsidR="00960748" w:rsidRPr="004967DC">
        <w:rPr>
          <w:rFonts w:ascii="Arial" w:hAnsi="Arial"/>
          <w:b/>
          <w:sz w:val="21"/>
          <w:szCs w:val="21"/>
        </w:rPr>
        <w:t>adequacy</w:t>
      </w:r>
      <w:r w:rsidR="00E17A06" w:rsidRPr="004967DC">
        <w:rPr>
          <w:rFonts w:ascii="Arial" w:hAnsi="Arial"/>
          <w:sz w:val="21"/>
          <w:szCs w:val="21"/>
        </w:rPr>
        <w:t>.</w:t>
      </w:r>
      <w:r w:rsidR="00960748" w:rsidRPr="004967DC">
        <w:rPr>
          <w:rFonts w:ascii="Arial" w:hAnsi="Arial"/>
          <w:sz w:val="21"/>
          <w:szCs w:val="21"/>
        </w:rPr>
        <w:t xml:space="preserve"> For income adequacy of elderly</w:t>
      </w:r>
      <w:r w:rsidR="00F56667" w:rsidRPr="004967DC">
        <w:rPr>
          <w:rFonts w:ascii="Arial" w:hAnsi="Arial"/>
          <w:sz w:val="21"/>
          <w:szCs w:val="21"/>
        </w:rPr>
        <w:t>,</w:t>
      </w:r>
      <w:r w:rsidR="00096136" w:rsidRPr="004967DC">
        <w:rPr>
          <w:rFonts w:ascii="Arial" w:hAnsi="Arial"/>
          <w:sz w:val="21"/>
          <w:szCs w:val="21"/>
        </w:rPr>
        <w:t xml:space="preserve"> pension system plays very i</w:t>
      </w:r>
      <w:r w:rsidR="00960748" w:rsidRPr="004967DC">
        <w:rPr>
          <w:rFonts w:ascii="Arial" w:hAnsi="Arial"/>
          <w:sz w:val="21"/>
          <w:szCs w:val="21"/>
        </w:rPr>
        <w:t>mportant</w:t>
      </w:r>
      <w:r w:rsidR="00F56667" w:rsidRPr="004967DC">
        <w:rPr>
          <w:rFonts w:ascii="Arial" w:hAnsi="Arial"/>
          <w:sz w:val="21"/>
          <w:szCs w:val="21"/>
        </w:rPr>
        <w:t>,</w:t>
      </w:r>
      <w:r w:rsidR="00960748" w:rsidRPr="004967DC">
        <w:rPr>
          <w:rFonts w:ascii="Arial" w:hAnsi="Arial"/>
          <w:sz w:val="21"/>
          <w:szCs w:val="21"/>
        </w:rPr>
        <w:t xml:space="preserve"> but </w:t>
      </w:r>
      <w:r w:rsidR="00F56667" w:rsidRPr="004967DC">
        <w:rPr>
          <w:rFonts w:ascii="Arial" w:hAnsi="Arial"/>
          <w:sz w:val="21"/>
          <w:szCs w:val="21"/>
        </w:rPr>
        <w:t xml:space="preserve">does </w:t>
      </w:r>
      <w:r w:rsidR="00960748" w:rsidRPr="004967DC">
        <w:rPr>
          <w:rFonts w:ascii="Arial" w:hAnsi="Arial"/>
          <w:sz w:val="21"/>
          <w:szCs w:val="21"/>
        </w:rPr>
        <w:t xml:space="preserve">not the only role. Other factors are also important and </w:t>
      </w:r>
      <w:r w:rsidR="00231AE1" w:rsidRPr="004967DC">
        <w:rPr>
          <w:rFonts w:ascii="Arial" w:hAnsi="Arial"/>
          <w:sz w:val="21"/>
          <w:szCs w:val="21"/>
        </w:rPr>
        <w:t xml:space="preserve">implicitly </w:t>
      </w:r>
      <w:r w:rsidR="00960748" w:rsidRPr="004967DC">
        <w:rPr>
          <w:rFonts w:ascii="Arial" w:hAnsi="Arial"/>
          <w:sz w:val="21"/>
          <w:szCs w:val="21"/>
        </w:rPr>
        <w:t>taken into account such as p</w:t>
      </w:r>
      <w:r w:rsidR="00096136" w:rsidRPr="004967DC">
        <w:rPr>
          <w:rFonts w:ascii="Arial" w:hAnsi="Arial"/>
          <w:sz w:val="21"/>
          <w:szCs w:val="21"/>
        </w:rPr>
        <w:t>ension coverage, other income sources, household composition, access to other benefits that are not pension (such as attendance allowance for example, prescribed drugs</w:t>
      </w:r>
      <w:r w:rsidR="00960748" w:rsidRPr="004967DC">
        <w:rPr>
          <w:rFonts w:ascii="Arial" w:hAnsi="Arial"/>
          <w:sz w:val="21"/>
          <w:szCs w:val="21"/>
        </w:rPr>
        <w:t xml:space="preserve"> etc.</w:t>
      </w:r>
      <w:r w:rsidR="00096136" w:rsidRPr="004967DC">
        <w:rPr>
          <w:rFonts w:ascii="Arial" w:hAnsi="Arial"/>
          <w:sz w:val="21"/>
          <w:szCs w:val="21"/>
        </w:rPr>
        <w:t>) and services (health care, long-</w:t>
      </w:r>
      <w:r w:rsidR="00960748" w:rsidRPr="004967DC">
        <w:rPr>
          <w:rFonts w:ascii="Arial" w:hAnsi="Arial"/>
          <w:sz w:val="21"/>
          <w:szCs w:val="21"/>
        </w:rPr>
        <w:t>term care services etc.)</w:t>
      </w:r>
      <w:r w:rsidR="008B5CCD" w:rsidRPr="004967DC">
        <w:rPr>
          <w:rStyle w:val="FootnoteReference"/>
          <w:rFonts w:ascii="Arial" w:hAnsi="Arial"/>
          <w:sz w:val="21"/>
          <w:szCs w:val="21"/>
        </w:rPr>
        <w:footnoteReference w:id="17"/>
      </w:r>
      <w:r w:rsidR="008B5CCD" w:rsidRPr="004967DC">
        <w:rPr>
          <w:rFonts w:ascii="Arial" w:hAnsi="Arial"/>
          <w:sz w:val="21"/>
          <w:szCs w:val="21"/>
        </w:rPr>
        <w:t>.</w:t>
      </w:r>
      <w:r w:rsidR="00960748" w:rsidRPr="004967DC">
        <w:rPr>
          <w:rFonts w:ascii="Arial" w:hAnsi="Arial"/>
          <w:sz w:val="21"/>
          <w:szCs w:val="21"/>
        </w:rPr>
        <w:t xml:space="preserve"> </w:t>
      </w:r>
      <w:r w:rsidR="008B5CCD" w:rsidRPr="004967DC">
        <w:rPr>
          <w:rFonts w:ascii="Arial" w:hAnsi="Arial"/>
          <w:sz w:val="21"/>
          <w:szCs w:val="21"/>
        </w:rPr>
        <w:t>Hence</w:t>
      </w:r>
      <w:r w:rsidR="00665F5E" w:rsidRPr="004967DC">
        <w:rPr>
          <w:rFonts w:ascii="Arial" w:hAnsi="Arial"/>
          <w:sz w:val="21"/>
          <w:szCs w:val="21"/>
        </w:rPr>
        <w:t>,</w:t>
      </w:r>
      <w:r w:rsidR="008B5CCD" w:rsidRPr="004967DC">
        <w:rPr>
          <w:rFonts w:ascii="Arial" w:hAnsi="Arial"/>
          <w:sz w:val="21"/>
          <w:szCs w:val="21"/>
        </w:rPr>
        <w:t xml:space="preserve"> when </w:t>
      </w:r>
      <w:r w:rsidR="00F56667" w:rsidRPr="004967DC">
        <w:rPr>
          <w:rFonts w:ascii="Arial" w:hAnsi="Arial"/>
          <w:sz w:val="21"/>
          <w:szCs w:val="21"/>
        </w:rPr>
        <w:t xml:space="preserve">more narrow concept of pension income adequacy is </w:t>
      </w:r>
      <w:r w:rsidR="00231AE1" w:rsidRPr="004967DC">
        <w:rPr>
          <w:rFonts w:ascii="Arial" w:hAnsi="Arial"/>
          <w:sz w:val="21"/>
          <w:szCs w:val="21"/>
        </w:rPr>
        <w:t>analyze</w:t>
      </w:r>
      <w:r w:rsidR="00F56667" w:rsidRPr="004967DC">
        <w:rPr>
          <w:rFonts w:ascii="Arial" w:hAnsi="Arial"/>
          <w:sz w:val="21"/>
          <w:szCs w:val="21"/>
        </w:rPr>
        <w:t>d,</w:t>
      </w:r>
      <w:r w:rsidR="008B5CCD" w:rsidRPr="004967DC">
        <w:rPr>
          <w:rFonts w:ascii="Arial" w:hAnsi="Arial"/>
          <w:sz w:val="21"/>
          <w:szCs w:val="21"/>
        </w:rPr>
        <w:t xml:space="preserve"> </w:t>
      </w:r>
      <w:r w:rsidR="00231AE1" w:rsidRPr="004967DC">
        <w:rPr>
          <w:rFonts w:ascii="Arial" w:hAnsi="Arial"/>
          <w:sz w:val="21"/>
          <w:szCs w:val="21"/>
        </w:rPr>
        <w:t xml:space="preserve">also </w:t>
      </w:r>
      <w:r w:rsidR="00F56667" w:rsidRPr="004967DC">
        <w:rPr>
          <w:rFonts w:ascii="Arial" w:hAnsi="Arial"/>
          <w:sz w:val="21"/>
          <w:szCs w:val="21"/>
        </w:rPr>
        <w:t xml:space="preserve">other aspects of the system explicitly, for example pension coverage as well as to take into consideration other components of welfare states such as health, long-term care etc. </w:t>
      </w:r>
      <w:r w:rsidR="00231AE1" w:rsidRPr="004967DC">
        <w:rPr>
          <w:rFonts w:ascii="Arial" w:hAnsi="Arial"/>
          <w:sz w:val="21"/>
          <w:szCs w:val="21"/>
        </w:rPr>
        <w:t xml:space="preserve">need to </w:t>
      </w:r>
      <w:r w:rsidR="00F56667" w:rsidRPr="004967DC">
        <w:rPr>
          <w:rFonts w:ascii="Arial" w:hAnsi="Arial"/>
          <w:sz w:val="21"/>
          <w:szCs w:val="21"/>
        </w:rPr>
        <w:t xml:space="preserve">be </w:t>
      </w:r>
      <w:r w:rsidR="00231AE1" w:rsidRPr="004967DC">
        <w:rPr>
          <w:rFonts w:ascii="Arial" w:hAnsi="Arial"/>
          <w:sz w:val="21"/>
          <w:szCs w:val="21"/>
        </w:rPr>
        <w:t>analyze</w:t>
      </w:r>
      <w:r w:rsidR="00F56667" w:rsidRPr="004967DC">
        <w:rPr>
          <w:rFonts w:ascii="Arial" w:hAnsi="Arial"/>
          <w:sz w:val="21"/>
          <w:szCs w:val="21"/>
        </w:rPr>
        <w:t>d.</w:t>
      </w:r>
    </w:p>
    <w:p w14:paraId="6A595A52" w14:textId="77777777" w:rsidR="00A50E94" w:rsidRPr="004967DC" w:rsidRDefault="00C2358A" w:rsidP="004967DC">
      <w:pPr>
        <w:pStyle w:val="ListParagraph"/>
        <w:spacing w:after="240" w:line="360" w:lineRule="auto"/>
        <w:ind w:left="0"/>
        <w:contextualSpacing w:val="0"/>
        <w:jc w:val="both"/>
        <w:rPr>
          <w:rFonts w:ascii="Arial" w:hAnsi="Arial"/>
          <w:sz w:val="21"/>
          <w:szCs w:val="21"/>
        </w:rPr>
      </w:pPr>
      <w:r w:rsidRPr="004967DC">
        <w:rPr>
          <w:rFonts w:ascii="Arial" w:hAnsi="Arial"/>
          <w:sz w:val="21"/>
          <w:szCs w:val="21"/>
        </w:rPr>
        <w:t xml:space="preserve">Difference in </w:t>
      </w:r>
      <w:r w:rsidR="00A45189" w:rsidRPr="004967DC">
        <w:rPr>
          <w:rFonts w:ascii="Arial" w:hAnsi="Arial"/>
          <w:sz w:val="21"/>
          <w:szCs w:val="21"/>
        </w:rPr>
        <w:t xml:space="preserve">measuring </w:t>
      </w:r>
      <w:r w:rsidR="00F73FEF" w:rsidRPr="004967DC">
        <w:rPr>
          <w:rFonts w:ascii="Arial" w:hAnsi="Arial"/>
          <w:sz w:val="21"/>
          <w:szCs w:val="21"/>
        </w:rPr>
        <w:t>adequacy</w:t>
      </w:r>
      <w:r w:rsidR="00A45189" w:rsidRPr="004967DC">
        <w:rPr>
          <w:rFonts w:ascii="Arial" w:hAnsi="Arial"/>
          <w:sz w:val="21"/>
          <w:szCs w:val="21"/>
        </w:rPr>
        <w:t xml:space="preserve"> of pension income vs. </w:t>
      </w:r>
      <w:r w:rsidR="00F73FEF" w:rsidRPr="004967DC">
        <w:rPr>
          <w:rFonts w:ascii="Arial" w:hAnsi="Arial"/>
          <w:sz w:val="21"/>
          <w:szCs w:val="21"/>
        </w:rPr>
        <w:t xml:space="preserve">income </w:t>
      </w:r>
      <w:r w:rsidR="00A45189" w:rsidRPr="004967DC">
        <w:rPr>
          <w:rFonts w:ascii="Arial" w:hAnsi="Arial"/>
          <w:sz w:val="21"/>
          <w:szCs w:val="21"/>
        </w:rPr>
        <w:t xml:space="preserve">of elderly </w:t>
      </w:r>
      <w:r w:rsidR="00F73FEF" w:rsidRPr="004967DC">
        <w:rPr>
          <w:rFonts w:ascii="Arial" w:hAnsi="Arial"/>
          <w:sz w:val="21"/>
          <w:szCs w:val="21"/>
        </w:rPr>
        <w:t>is</w:t>
      </w:r>
      <w:r w:rsidR="000042CD" w:rsidRPr="004967DC">
        <w:rPr>
          <w:rFonts w:ascii="Arial" w:hAnsi="Arial"/>
          <w:sz w:val="21"/>
          <w:szCs w:val="21"/>
        </w:rPr>
        <w:t xml:space="preserve"> evident when ARR and median relative income of elderly </w:t>
      </w:r>
      <w:r w:rsidR="003E244A" w:rsidRPr="004967DC">
        <w:rPr>
          <w:rFonts w:ascii="Arial" w:hAnsi="Arial"/>
          <w:sz w:val="21"/>
          <w:szCs w:val="21"/>
        </w:rPr>
        <w:t>are</w:t>
      </w:r>
      <w:r w:rsidR="00F73FEF" w:rsidRPr="004967DC">
        <w:rPr>
          <w:rFonts w:ascii="Arial" w:hAnsi="Arial"/>
          <w:sz w:val="21"/>
          <w:szCs w:val="21"/>
        </w:rPr>
        <w:t xml:space="preserve"> compared. </w:t>
      </w:r>
      <w:r w:rsidR="00A50E94" w:rsidRPr="004967DC">
        <w:rPr>
          <w:rFonts w:ascii="Arial" w:hAnsi="Arial"/>
          <w:sz w:val="21"/>
          <w:szCs w:val="21"/>
        </w:rPr>
        <w:t xml:space="preserve">ARR </w:t>
      </w:r>
      <w:r w:rsidR="00F56667" w:rsidRPr="004967DC">
        <w:rPr>
          <w:rFonts w:ascii="Arial" w:hAnsi="Arial"/>
          <w:sz w:val="21"/>
          <w:szCs w:val="21"/>
        </w:rPr>
        <w:t>focuses on</w:t>
      </w:r>
      <w:r w:rsidRPr="004967DC">
        <w:rPr>
          <w:rFonts w:ascii="Arial" w:hAnsi="Arial"/>
          <w:sz w:val="21"/>
          <w:szCs w:val="21"/>
        </w:rPr>
        <w:t xml:space="preserve"> pension income </w:t>
      </w:r>
      <w:r w:rsidR="00A50E94" w:rsidRPr="004967DC">
        <w:rPr>
          <w:rFonts w:ascii="Arial" w:hAnsi="Arial"/>
          <w:sz w:val="21"/>
          <w:szCs w:val="21"/>
        </w:rPr>
        <w:t xml:space="preserve">that </w:t>
      </w:r>
      <w:r w:rsidRPr="004967DC">
        <w:rPr>
          <w:rFonts w:ascii="Arial" w:hAnsi="Arial"/>
          <w:sz w:val="21"/>
          <w:szCs w:val="21"/>
        </w:rPr>
        <w:t>pertains to old-age and survivors</w:t>
      </w:r>
      <w:r w:rsidR="00F56667" w:rsidRPr="004967DC">
        <w:rPr>
          <w:rFonts w:ascii="Arial" w:hAnsi="Arial"/>
          <w:sz w:val="21"/>
          <w:szCs w:val="21"/>
        </w:rPr>
        <w:t>’</w:t>
      </w:r>
      <w:r w:rsidRPr="004967DC">
        <w:rPr>
          <w:rFonts w:ascii="Arial" w:hAnsi="Arial"/>
          <w:sz w:val="21"/>
          <w:szCs w:val="21"/>
        </w:rPr>
        <w:t xml:space="preserve"> pensions and individual pension plans, while disability pensions are considered as other social benefits that are not included in ARR when paid for those aged below statutory pensionable age</w:t>
      </w:r>
      <w:r w:rsidRPr="004967DC">
        <w:rPr>
          <w:rStyle w:val="FootnoteReference"/>
          <w:rFonts w:ascii="Arial" w:hAnsi="Arial"/>
          <w:sz w:val="21"/>
          <w:szCs w:val="21"/>
        </w:rPr>
        <w:footnoteReference w:id="18"/>
      </w:r>
      <w:r w:rsidR="00A50E94" w:rsidRPr="004967DC">
        <w:rPr>
          <w:rFonts w:ascii="Arial" w:hAnsi="Arial"/>
          <w:sz w:val="21"/>
          <w:szCs w:val="21"/>
        </w:rPr>
        <w:t xml:space="preserve">. </w:t>
      </w:r>
      <w:r w:rsidR="00A45189" w:rsidRPr="004967DC">
        <w:rPr>
          <w:rFonts w:ascii="Arial" w:hAnsi="Arial"/>
          <w:sz w:val="21"/>
          <w:szCs w:val="21"/>
        </w:rPr>
        <w:t>ARR</w:t>
      </w:r>
      <w:r w:rsidR="00A50E94" w:rsidRPr="004967DC">
        <w:rPr>
          <w:rFonts w:ascii="Arial" w:hAnsi="Arial"/>
          <w:sz w:val="21"/>
          <w:szCs w:val="21"/>
        </w:rPr>
        <w:t xml:space="preserve"> </w:t>
      </w:r>
      <w:r w:rsidRPr="004967DC">
        <w:rPr>
          <w:rFonts w:ascii="Arial" w:hAnsi="Arial"/>
          <w:sz w:val="21"/>
          <w:szCs w:val="21"/>
        </w:rPr>
        <w:t>does not take into account type and size of h</w:t>
      </w:r>
      <w:r w:rsidR="00F56667" w:rsidRPr="004967DC">
        <w:rPr>
          <w:rFonts w:ascii="Arial" w:hAnsi="Arial"/>
          <w:sz w:val="21"/>
          <w:szCs w:val="21"/>
        </w:rPr>
        <w:t>ousehold, hence there is no equ</w:t>
      </w:r>
      <w:r w:rsidRPr="004967DC">
        <w:rPr>
          <w:rFonts w:ascii="Arial" w:hAnsi="Arial"/>
          <w:sz w:val="21"/>
          <w:szCs w:val="21"/>
        </w:rPr>
        <w:t>ali</w:t>
      </w:r>
      <w:r w:rsidR="00F56667" w:rsidRPr="004967DC">
        <w:rPr>
          <w:rFonts w:ascii="Arial" w:hAnsi="Arial"/>
          <w:sz w:val="21"/>
          <w:szCs w:val="21"/>
        </w:rPr>
        <w:t>z</w:t>
      </w:r>
      <w:r w:rsidRPr="004967DC">
        <w:rPr>
          <w:rFonts w:ascii="Arial" w:hAnsi="Arial"/>
          <w:sz w:val="21"/>
          <w:szCs w:val="21"/>
        </w:rPr>
        <w:t>ation of disposable income. Finally ARR compares income only to those working earners i</w:t>
      </w:r>
      <w:r w:rsidR="00A45189" w:rsidRPr="004967DC">
        <w:rPr>
          <w:rFonts w:ascii="Arial" w:hAnsi="Arial"/>
          <w:sz w:val="21"/>
          <w:szCs w:val="21"/>
        </w:rPr>
        <w:t>n a decade prior to re</w:t>
      </w:r>
      <w:r w:rsidR="009630E3" w:rsidRPr="004967DC">
        <w:rPr>
          <w:rFonts w:ascii="Arial" w:hAnsi="Arial"/>
          <w:sz w:val="21"/>
          <w:szCs w:val="21"/>
        </w:rPr>
        <w:t xml:space="preserve">tirement while </w:t>
      </w:r>
      <w:r w:rsidR="009630E3" w:rsidRPr="00445B34">
        <w:rPr>
          <w:rFonts w:ascii="Arial" w:hAnsi="Arial"/>
          <w:sz w:val="21"/>
          <w:szCs w:val="21"/>
        </w:rPr>
        <w:t>R</w:t>
      </w:r>
      <w:r w:rsidR="00CA5888">
        <w:rPr>
          <w:rFonts w:ascii="Arial" w:hAnsi="Arial"/>
          <w:sz w:val="21"/>
          <w:szCs w:val="21"/>
        </w:rPr>
        <w:t>M</w:t>
      </w:r>
      <w:r w:rsidR="009630E3" w:rsidRPr="00445B34">
        <w:rPr>
          <w:rFonts w:ascii="Arial" w:hAnsi="Arial"/>
          <w:sz w:val="21"/>
          <w:szCs w:val="21"/>
        </w:rPr>
        <w:t>I</w:t>
      </w:r>
      <w:r w:rsidR="009630E3" w:rsidRPr="004967DC">
        <w:rPr>
          <w:rFonts w:ascii="Arial" w:hAnsi="Arial"/>
          <w:sz w:val="21"/>
          <w:szCs w:val="21"/>
        </w:rPr>
        <w:t xml:space="preserve"> compares to total population up to 65, taking </w:t>
      </w:r>
      <w:r w:rsidR="00F56667" w:rsidRPr="004967DC">
        <w:rPr>
          <w:rFonts w:ascii="Arial" w:hAnsi="Arial"/>
          <w:sz w:val="21"/>
          <w:szCs w:val="21"/>
        </w:rPr>
        <w:t xml:space="preserve">in </w:t>
      </w:r>
      <w:r w:rsidR="009630E3" w:rsidRPr="004967DC">
        <w:rPr>
          <w:rFonts w:ascii="Arial" w:hAnsi="Arial"/>
          <w:sz w:val="21"/>
          <w:szCs w:val="21"/>
        </w:rPr>
        <w:t>account children</w:t>
      </w:r>
      <w:r w:rsidR="00F56667" w:rsidRPr="004967DC">
        <w:rPr>
          <w:rFonts w:ascii="Arial" w:hAnsi="Arial"/>
          <w:sz w:val="21"/>
          <w:szCs w:val="21"/>
        </w:rPr>
        <w:t>, too</w:t>
      </w:r>
      <w:r w:rsidR="009630E3" w:rsidRPr="004967DC">
        <w:rPr>
          <w:rFonts w:ascii="Arial" w:hAnsi="Arial"/>
          <w:sz w:val="21"/>
          <w:szCs w:val="21"/>
        </w:rPr>
        <w:t>. It should also be kept in mind that ARR is based on gross pensions and earnings, while “net figures would provide more accurate depiction of actual (disposable) income situation” (</w:t>
      </w:r>
      <w:r w:rsidR="00BD2378">
        <w:rPr>
          <w:rFonts w:ascii="Arial" w:hAnsi="Arial"/>
          <w:sz w:val="21"/>
          <w:szCs w:val="21"/>
        </w:rPr>
        <w:t>EC and SPC</w:t>
      </w:r>
      <w:r w:rsidR="009630E3" w:rsidRPr="004967DC">
        <w:rPr>
          <w:rFonts w:ascii="Arial" w:hAnsi="Arial"/>
          <w:sz w:val="21"/>
          <w:szCs w:val="21"/>
        </w:rPr>
        <w:t>, 2015:113).</w:t>
      </w:r>
    </w:p>
    <w:p w14:paraId="2E09DEFA" w14:textId="77777777" w:rsidR="00DA33FF" w:rsidRDefault="00DA33FF" w:rsidP="004967DC">
      <w:pPr>
        <w:pStyle w:val="ListParagraph"/>
        <w:spacing w:after="240" w:line="360" w:lineRule="auto"/>
        <w:ind w:left="0"/>
        <w:contextualSpacing w:val="0"/>
        <w:jc w:val="both"/>
        <w:rPr>
          <w:rFonts w:ascii="Arial" w:hAnsi="Arial"/>
          <w:b/>
          <w:sz w:val="21"/>
          <w:szCs w:val="21"/>
        </w:rPr>
      </w:pPr>
    </w:p>
    <w:p w14:paraId="4BBBE61A" w14:textId="77777777" w:rsidR="00DA33FF" w:rsidRDefault="00DA33FF" w:rsidP="004967DC">
      <w:pPr>
        <w:pStyle w:val="ListParagraph"/>
        <w:spacing w:after="240" w:line="360" w:lineRule="auto"/>
        <w:ind w:left="0"/>
        <w:contextualSpacing w:val="0"/>
        <w:jc w:val="both"/>
        <w:rPr>
          <w:rFonts w:ascii="Arial" w:hAnsi="Arial"/>
          <w:b/>
          <w:sz w:val="21"/>
          <w:szCs w:val="21"/>
        </w:rPr>
      </w:pPr>
    </w:p>
    <w:p w14:paraId="00EAFD1F" w14:textId="77777777" w:rsidR="00A50E94" w:rsidRPr="004967DC" w:rsidRDefault="00A50E94" w:rsidP="004967DC">
      <w:pPr>
        <w:pStyle w:val="ListParagraph"/>
        <w:spacing w:after="240" w:line="360" w:lineRule="auto"/>
        <w:ind w:left="0"/>
        <w:contextualSpacing w:val="0"/>
        <w:jc w:val="both"/>
        <w:rPr>
          <w:rFonts w:ascii="Arial" w:hAnsi="Arial"/>
          <w:b/>
          <w:sz w:val="21"/>
          <w:szCs w:val="21"/>
        </w:rPr>
      </w:pPr>
      <w:r w:rsidRPr="004967DC">
        <w:rPr>
          <w:rFonts w:ascii="Arial" w:hAnsi="Arial"/>
          <w:b/>
          <w:sz w:val="21"/>
          <w:szCs w:val="21"/>
        </w:rPr>
        <w:lastRenderedPageBreak/>
        <w:t xml:space="preserve">Graph 1. Aggregate replacement ratio (ARR) vs. </w:t>
      </w:r>
      <w:r w:rsidR="00885429" w:rsidRPr="004967DC">
        <w:rPr>
          <w:rFonts w:ascii="Arial" w:hAnsi="Arial"/>
          <w:b/>
          <w:sz w:val="21"/>
          <w:szCs w:val="21"/>
        </w:rPr>
        <w:t xml:space="preserve">relative </w:t>
      </w:r>
      <w:r w:rsidRPr="004967DC">
        <w:rPr>
          <w:rFonts w:ascii="Arial" w:hAnsi="Arial"/>
          <w:b/>
          <w:sz w:val="21"/>
          <w:szCs w:val="21"/>
        </w:rPr>
        <w:t xml:space="preserve">median income of </w:t>
      </w:r>
      <w:r w:rsidRPr="00CA5888">
        <w:rPr>
          <w:rFonts w:ascii="Arial" w:hAnsi="Arial"/>
          <w:b/>
          <w:sz w:val="21"/>
          <w:szCs w:val="21"/>
        </w:rPr>
        <w:t>elderly (RMI 65</w:t>
      </w:r>
      <w:r w:rsidR="00885429" w:rsidRPr="004967DC">
        <w:rPr>
          <w:rFonts w:ascii="Arial" w:hAnsi="Arial"/>
          <w:b/>
          <w:sz w:val="21"/>
          <w:szCs w:val="21"/>
        </w:rPr>
        <w:t xml:space="preserve"> and above</w:t>
      </w:r>
      <w:r w:rsidRPr="004967DC">
        <w:rPr>
          <w:rFonts w:ascii="Arial" w:hAnsi="Arial"/>
          <w:b/>
          <w:sz w:val="21"/>
          <w:szCs w:val="21"/>
        </w:rPr>
        <w:t>) in 2014</w:t>
      </w:r>
    </w:p>
    <w:p w14:paraId="51FD2F01" w14:textId="77777777" w:rsidR="00BC569A" w:rsidRPr="004967DC" w:rsidRDefault="00F13EBC" w:rsidP="005D6229">
      <w:pPr>
        <w:spacing w:after="240" w:line="360" w:lineRule="auto"/>
        <w:jc w:val="both"/>
        <w:rPr>
          <w:rFonts w:ascii="Arial" w:hAnsi="Arial"/>
          <w:sz w:val="21"/>
          <w:szCs w:val="21"/>
        </w:rPr>
      </w:pPr>
      <w:r w:rsidRPr="004967DC">
        <w:rPr>
          <w:rFonts w:ascii="Arial" w:hAnsi="Arial"/>
          <w:noProof/>
          <w:sz w:val="21"/>
          <w:szCs w:val="21"/>
          <w:lang w:eastAsia="en-US"/>
        </w:rPr>
        <w:drawing>
          <wp:inline distT="0" distB="0" distL="0" distR="0" wp14:anchorId="6F877F97" wp14:editId="3C36BC91">
            <wp:extent cx="5769090" cy="3022600"/>
            <wp:effectExtent l="0" t="0" r="22225" b="2540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50E94" w:rsidRPr="004967DC">
        <w:rPr>
          <w:rFonts w:ascii="Arial" w:hAnsi="Arial"/>
          <w:sz w:val="21"/>
          <w:szCs w:val="21"/>
        </w:rPr>
        <w:t>Source: Eurostat</w:t>
      </w:r>
      <w:r w:rsidR="00887EA3">
        <w:rPr>
          <w:rFonts w:ascii="Arial" w:hAnsi="Arial"/>
          <w:sz w:val="21"/>
          <w:szCs w:val="21"/>
        </w:rPr>
        <w:t xml:space="preserve"> (2014)</w:t>
      </w:r>
    </w:p>
    <w:p w14:paraId="790121A9" w14:textId="77777777" w:rsidR="00A45189" w:rsidRPr="004967DC" w:rsidRDefault="00A45189" w:rsidP="004967DC">
      <w:pPr>
        <w:pStyle w:val="ListParagraph"/>
        <w:spacing w:after="240" w:line="360" w:lineRule="auto"/>
        <w:ind w:left="0"/>
        <w:contextualSpacing w:val="0"/>
        <w:jc w:val="both"/>
        <w:rPr>
          <w:rFonts w:ascii="Arial" w:hAnsi="Arial"/>
          <w:sz w:val="21"/>
          <w:szCs w:val="21"/>
        </w:rPr>
      </w:pPr>
      <w:r w:rsidRPr="004967DC">
        <w:rPr>
          <w:rFonts w:ascii="Arial" w:hAnsi="Arial"/>
          <w:sz w:val="21"/>
          <w:szCs w:val="21"/>
        </w:rPr>
        <w:t>Despite these conceptual differences, results from the ARR indicator are generally in line with the overall trends described by t</w:t>
      </w:r>
      <w:r w:rsidR="009630E3" w:rsidRPr="004967DC">
        <w:rPr>
          <w:rFonts w:ascii="Arial" w:hAnsi="Arial"/>
          <w:sz w:val="21"/>
          <w:szCs w:val="21"/>
        </w:rPr>
        <w:t>he relative median income ratio (correlation coefficient is somewhat less than 0</w:t>
      </w:r>
      <w:r w:rsidR="00885429" w:rsidRPr="004967DC">
        <w:rPr>
          <w:rFonts w:ascii="Arial" w:hAnsi="Arial"/>
          <w:sz w:val="21"/>
          <w:szCs w:val="21"/>
        </w:rPr>
        <w:t>.</w:t>
      </w:r>
      <w:r w:rsidR="009630E3" w:rsidRPr="004967DC">
        <w:rPr>
          <w:rFonts w:ascii="Arial" w:hAnsi="Arial"/>
          <w:sz w:val="21"/>
          <w:szCs w:val="21"/>
        </w:rPr>
        <w:t xml:space="preserve">7). </w:t>
      </w:r>
      <w:r w:rsidRPr="004967DC">
        <w:rPr>
          <w:rFonts w:ascii="Arial" w:hAnsi="Arial"/>
          <w:sz w:val="21"/>
          <w:szCs w:val="21"/>
        </w:rPr>
        <w:t>Where a comparably low aggregate replacement ratios coincide with relatively high relative median income ratios, which is a case of Serbia (</w:t>
      </w:r>
      <w:r w:rsidR="000E628E" w:rsidRPr="004967DC">
        <w:rPr>
          <w:rFonts w:ascii="Arial" w:hAnsi="Arial"/>
          <w:sz w:val="21"/>
          <w:szCs w:val="21"/>
        </w:rPr>
        <w:t xml:space="preserve">also in Ireland, </w:t>
      </w:r>
      <w:r w:rsidRPr="004967DC">
        <w:rPr>
          <w:rFonts w:ascii="Arial" w:hAnsi="Arial"/>
          <w:sz w:val="21"/>
          <w:szCs w:val="21"/>
        </w:rPr>
        <w:t>Croatia</w:t>
      </w:r>
      <w:r w:rsidR="000E628E" w:rsidRPr="004967DC">
        <w:rPr>
          <w:rFonts w:ascii="Arial" w:hAnsi="Arial"/>
          <w:sz w:val="21"/>
          <w:szCs w:val="21"/>
        </w:rPr>
        <w:t>, Slovenia etc.</w:t>
      </w:r>
      <w:r w:rsidRPr="004967DC">
        <w:rPr>
          <w:rFonts w:ascii="Arial" w:hAnsi="Arial"/>
          <w:sz w:val="21"/>
          <w:szCs w:val="21"/>
        </w:rPr>
        <w:t>), this may be explained by factors such as the availability of other sources of income, the level of social contributions an</w:t>
      </w:r>
      <w:r w:rsidR="009630E3" w:rsidRPr="004967DC">
        <w:rPr>
          <w:rFonts w:ascii="Arial" w:hAnsi="Arial"/>
          <w:sz w:val="21"/>
          <w:szCs w:val="21"/>
        </w:rPr>
        <w:t>d taxes levied on pension income</w:t>
      </w:r>
      <w:r w:rsidR="00885429" w:rsidRPr="004967DC">
        <w:rPr>
          <w:rFonts w:ascii="Arial" w:hAnsi="Arial"/>
          <w:sz w:val="21"/>
          <w:szCs w:val="21"/>
        </w:rPr>
        <w:t xml:space="preserve"> (</w:t>
      </w:r>
      <w:r w:rsidR="009630E3" w:rsidRPr="004967DC">
        <w:rPr>
          <w:rFonts w:ascii="Arial" w:hAnsi="Arial"/>
          <w:sz w:val="21"/>
          <w:szCs w:val="21"/>
        </w:rPr>
        <w:t>which in case of Serbia are non-existent</w:t>
      </w:r>
      <w:r w:rsidR="00885429" w:rsidRPr="004967DC">
        <w:rPr>
          <w:rFonts w:ascii="Arial" w:hAnsi="Arial"/>
          <w:sz w:val="21"/>
          <w:szCs w:val="21"/>
        </w:rPr>
        <w:t>)</w:t>
      </w:r>
      <w:r w:rsidRPr="004967DC">
        <w:rPr>
          <w:rFonts w:ascii="Arial" w:hAnsi="Arial"/>
          <w:sz w:val="21"/>
          <w:szCs w:val="21"/>
        </w:rPr>
        <w:t>, or differences in household structures</w:t>
      </w:r>
      <w:r w:rsidR="00BD2378">
        <w:rPr>
          <w:rFonts w:ascii="Arial" w:hAnsi="Arial"/>
          <w:sz w:val="21"/>
          <w:szCs w:val="21"/>
        </w:rPr>
        <w:t xml:space="preserve"> (EC and SPC, 2015)</w:t>
      </w:r>
      <w:r w:rsidRPr="004967DC">
        <w:rPr>
          <w:rFonts w:ascii="Arial" w:hAnsi="Arial"/>
          <w:sz w:val="21"/>
          <w:szCs w:val="21"/>
        </w:rPr>
        <w:t xml:space="preserve">. </w:t>
      </w:r>
    </w:p>
    <w:p w14:paraId="3B755611" w14:textId="77777777" w:rsidR="0023466F" w:rsidRPr="004967DC" w:rsidRDefault="000E628E" w:rsidP="004967DC">
      <w:pPr>
        <w:spacing w:after="240" w:line="360" w:lineRule="auto"/>
        <w:jc w:val="both"/>
        <w:rPr>
          <w:rFonts w:ascii="Arial" w:hAnsi="Arial"/>
          <w:sz w:val="21"/>
          <w:szCs w:val="21"/>
        </w:rPr>
      </w:pPr>
      <w:r w:rsidRPr="004967DC">
        <w:rPr>
          <w:rFonts w:ascii="Arial" w:hAnsi="Arial"/>
          <w:sz w:val="21"/>
          <w:szCs w:val="21"/>
        </w:rPr>
        <w:t xml:space="preserve">When it comes to indicators of </w:t>
      </w:r>
      <w:r w:rsidRPr="004967DC">
        <w:rPr>
          <w:rFonts w:ascii="Arial" w:hAnsi="Arial"/>
          <w:b/>
          <w:sz w:val="21"/>
          <w:szCs w:val="21"/>
        </w:rPr>
        <w:t>sustainability</w:t>
      </w:r>
      <w:r w:rsidRPr="004967DC">
        <w:rPr>
          <w:rFonts w:ascii="Arial" w:hAnsi="Arial"/>
          <w:b/>
          <w:i/>
          <w:sz w:val="21"/>
          <w:szCs w:val="21"/>
        </w:rPr>
        <w:t xml:space="preserve"> </w:t>
      </w:r>
      <w:r w:rsidRPr="004967DC">
        <w:rPr>
          <w:rFonts w:ascii="Arial" w:hAnsi="Arial"/>
          <w:sz w:val="21"/>
          <w:szCs w:val="21"/>
        </w:rPr>
        <w:t>or financing</w:t>
      </w:r>
      <w:r w:rsidR="00990F25" w:rsidRPr="004967DC">
        <w:rPr>
          <w:rFonts w:ascii="Arial" w:hAnsi="Arial"/>
          <w:sz w:val="21"/>
          <w:szCs w:val="21"/>
        </w:rPr>
        <w:t>, EU portfolio is not particularly relevant for Serbia</w:t>
      </w:r>
      <w:r w:rsidR="003C08F3" w:rsidRPr="004967DC">
        <w:rPr>
          <w:rFonts w:ascii="Arial" w:hAnsi="Arial"/>
          <w:sz w:val="21"/>
          <w:szCs w:val="21"/>
        </w:rPr>
        <w:t xml:space="preserve">. Out of four primary indicators, two </w:t>
      </w:r>
      <w:r w:rsidR="00990F25" w:rsidRPr="004967DC">
        <w:rPr>
          <w:rFonts w:ascii="Arial" w:hAnsi="Arial"/>
          <w:sz w:val="21"/>
          <w:szCs w:val="21"/>
        </w:rPr>
        <w:t xml:space="preserve">rely on Eurostat-LFS, which is not comparable with LFS </w:t>
      </w:r>
      <w:r w:rsidR="00885429" w:rsidRPr="004967DC">
        <w:rPr>
          <w:rFonts w:ascii="Arial" w:hAnsi="Arial"/>
          <w:sz w:val="21"/>
          <w:szCs w:val="21"/>
        </w:rPr>
        <w:t xml:space="preserve">in </w:t>
      </w:r>
      <w:r w:rsidR="00990F25" w:rsidRPr="004967DC">
        <w:rPr>
          <w:rFonts w:ascii="Arial" w:hAnsi="Arial"/>
          <w:sz w:val="21"/>
          <w:szCs w:val="21"/>
        </w:rPr>
        <w:t>Serbia</w:t>
      </w:r>
      <w:r w:rsidR="0023466F" w:rsidRPr="004967DC">
        <w:rPr>
          <w:rStyle w:val="FootnoteReference"/>
          <w:rFonts w:ascii="Arial" w:hAnsi="Arial"/>
          <w:sz w:val="21"/>
          <w:szCs w:val="21"/>
        </w:rPr>
        <w:footnoteReference w:id="19"/>
      </w:r>
      <w:r w:rsidR="0023466F" w:rsidRPr="004967DC">
        <w:rPr>
          <w:rFonts w:ascii="Arial" w:hAnsi="Arial"/>
          <w:sz w:val="21"/>
          <w:szCs w:val="21"/>
        </w:rPr>
        <w:t>.</w:t>
      </w:r>
      <w:r w:rsidR="00881253" w:rsidRPr="004967DC">
        <w:rPr>
          <w:rFonts w:ascii="Arial" w:hAnsi="Arial"/>
          <w:sz w:val="21"/>
          <w:szCs w:val="21"/>
        </w:rPr>
        <w:t xml:space="preserve"> In addition, </w:t>
      </w:r>
      <w:r w:rsidR="00990F25" w:rsidRPr="004967DC">
        <w:rPr>
          <w:rFonts w:ascii="Arial" w:hAnsi="Arial"/>
          <w:sz w:val="21"/>
          <w:szCs w:val="21"/>
        </w:rPr>
        <w:t xml:space="preserve">due to </w:t>
      </w:r>
      <w:r w:rsidR="00FA39DA" w:rsidRPr="004967DC">
        <w:rPr>
          <w:rFonts w:ascii="Arial" w:hAnsi="Arial"/>
          <w:sz w:val="21"/>
          <w:szCs w:val="21"/>
        </w:rPr>
        <w:t xml:space="preserve">a </w:t>
      </w:r>
      <w:r w:rsidR="00990F25" w:rsidRPr="004967DC">
        <w:rPr>
          <w:rFonts w:ascii="Arial" w:hAnsi="Arial"/>
          <w:sz w:val="21"/>
          <w:szCs w:val="21"/>
        </w:rPr>
        <w:t>high degree of grey economy in Serbia</w:t>
      </w:r>
      <w:r w:rsidR="00FA39DA" w:rsidRPr="004967DC">
        <w:rPr>
          <w:rFonts w:ascii="Arial" w:hAnsi="Arial"/>
          <w:sz w:val="21"/>
          <w:szCs w:val="21"/>
        </w:rPr>
        <w:t>,</w:t>
      </w:r>
      <w:r w:rsidR="00881253" w:rsidRPr="004967DC">
        <w:rPr>
          <w:rFonts w:ascii="Arial" w:hAnsi="Arial"/>
          <w:sz w:val="21"/>
          <w:szCs w:val="21"/>
        </w:rPr>
        <w:t xml:space="preserve"> LFS employment is not </w:t>
      </w:r>
      <w:r w:rsidR="003C08F3" w:rsidRPr="004967DC">
        <w:rPr>
          <w:rFonts w:ascii="Arial" w:hAnsi="Arial"/>
          <w:sz w:val="21"/>
          <w:szCs w:val="21"/>
        </w:rPr>
        <w:t>crucia</w:t>
      </w:r>
      <w:r w:rsidR="00FA39DA" w:rsidRPr="004967DC">
        <w:rPr>
          <w:rFonts w:ascii="Arial" w:hAnsi="Arial"/>
          <w:sz w:val="21"/>
          <w:szCs w:val="21"/>
        </w:rPr>
        <w:t xml:space="preserve">l </w:t>
      </w:r>
      <w:r w:rsidR="00881253" w:rsidRPr="004967DC">
        <w:rPr>
          <w:rFonts w:ascii="Arial" w:hAnsi="Arial"/>
          <w:sz w:val="21"/>
          <w:szCs w:val="21"/>
        </w:rPr>
        <w:t xml:space="preserve">for pension system finances, at least </w:t>
      </w:r>
      <w:r w:rsidR="003C08F3" w:rsidRPr="004967DC">
        <w:rPr>
          <w:rFonts w:ascii="Arial" w:hAnsi="Arial"/>
          <w:sz w:val="21"/>
          <w:szCs w:val="21"/>
        </w:rPr>
        <w:t xml:space="preserve">not </w:t>
      </w:r>
      <w:r w:rsidR="00881253" w:rsidRPr="004967DC">
        <w:rPr>
          <w:rFonts w:ascii="Arial" w:hAnsi="Arial"/>
          <w:sz w:val="21"/>
          <w:szCs w:val="21"/>
        </w:rPr>
        <w:t>in short</w:t>
      </w:r>
      <w:r w:rsidR="003C08F3" w:rsidRPr="004967DC">
        <w:rPr>
          <w:rFonts w:ascii="Arial" w:hAnsi="Arial"/>
          <w:sz w:val="21"/>
          <w:szCs w:val="21"/>
        </w:rPr>
        <w:t xml:space="preserve"> and medium run</w:t>
      </w:r>
      <w:r w:rsidR="00881253" w:rsidRPr="004967DC">
        <w:rPr>
          <w:rFonts w:ascii="Arial" w:hAnsi="Arial"/>
          <w:sz w:val="21"/>
          <w:szCs w:val="21"/>
        </w:rPr>
        <w:t>. Furthermore, indicator such as duration of working</w:t>
      </w:r>
      <w:r w:rsidR="000E2562" w:rsidRPr="004967DC">
        <w:rPr>
          <w:rFonts w:ascii="Arial" w:hAnsi="Arial"/>
          <w:sz w:val="21"/>
          <w:szCs w:val="21"/>
        </w:rPr>
        <w:t xml:space="preserve"> life, which is primary indicator in EU pension </w:t>
      </w:r>
      <w:r w:rsidR="00FA39DA" w:rsidRPr="004967DC">
        <w:rPr>
          <w:rFonts w:ascii="Arial" w:hAnsi="Arial"/>
          <w:sz w:val="21"/>
          <w:szCs w:val="21"/>
        </w:rPr>
        <w:t>portfolio</w:t>
      </w:r>
      <w:r w:rsidR="000E2562" w:rsidRPr="004967DC">
        <w:rPr>
          <w:rFonts w:ascii="Arial" w:hAnsi="Arial"/>
          <w:sz w:val="21"/>
          <w:szCs w:val="21"/>
        </w:rPr>
        <w:t xml:space="preserve"> and the only EU-SDI indicator relevant for pension policy, </w:t>
      </w:r>
      <w:r w:rsidR="00FA39DA" w:rsidRPr="004967DC">
        <w:rPr>
          <w:rFonts w:ascii="Arial" w:hAnsi="Arial"/>
          <w:sz w:val="21"/>
          <w:szCs w:val="21"/>
        </w:rPr>
        <w:t xml:space="preserve">is </w:t>
      </w:r>
      <w:r w:rsidR="0023466F" w:rsidRPr="004967DC">
        <w:rPr>
          <w:rFonts w:ascii="Arial" w:hAnsi="Arial"/>
          <w:sz w:val="21"/>
          <w:szCs w:val="21"/>
        </w:rPr>
        <w:t>not informative enough as it can also include gray economy</w:t>
      </w:r>
      <w:r w:rsidR="00885429" w:rsidRPr="004967DC">
        <w:rPr>
          <w:rFonts w:ascii="Arial" w:hAnsi="Arial"/>
          <w:sz w:val="21"/>
          <w:szCs w:val="21"/>
        </w:rPr>
        <w:t>.</w:t>
      </w:r>
    </w:p>
    <w:p w14:paraId="1F73A5D1" w14:textId="77777777" w:rsidR="000E628E" w:rsidRPr="004967DC" w:rsidRDefault="00FA39DA" w:rsidP="004967DC">
      <w:pPr>
        <w:spacing w:after="240" w:line="360" w:lineRule="auto"/>
        <w:jc w:val="both"/>
        <w:rPr>
          <w:rFonts w:ascii="Arial" w:hAnsi="Arial"/>
          <w:sz w:val="21"/>
          <w:szCs w:val="21"/>
        </w:rPr>
      </w:pPr>
      <w:r w:rsidRPr="004967DC">
        <w:rPr>
          <w:rFonts w:ascii="Arial" w:hAnsi="Arial"/>
          <w:sz w:val="21"/>
          <w:szCs w:val="21"/>
        </w:rPr>
        <w:t xml:space="preserve">On the other side, indicators such as deficit of pension system </w:t>
      </w:r>
      <w:r w:rsidR="00885429" w:rsidRPr="004967DC">
        <w:rPr>
          <w:rFonts w:ascii="Arial" w:hAnsi="Arial"/>
          <w:sz w:val="21"/>
          <w:szCs w:val="21"/>
        </w:rPr>
        <w:t>are</w:t>
      </w:r>
      <w:r w:rsidRPr="004967DC">
        <w:rPr>
          <w:rFonts w:ascii="Arial" w:hAnsi="Arial"/>
          <w:sz w:val="21"/>
          <w:szCs w:val="21"/>
        </w:rPr>
        <w:t xml:space="preserve"> wrongly the main indicator</w:t>
      </w:r>
      <w:r w:rsidR="00885429" w:rsidRPr="004967DC">
        <w:rPr>
          <w:rFonts w:ascii="Arial" w:hAnsi="Arial"/>
          <w:sz w:val="21"/>
          <w:szCs w:val="21"/>
        </w:rPr>
        <w:t>s</w:t>
      </w:r>
      <w:r w:rsidRPr="004967DC">
        <w:rPr>
          <w:rFonts w:ascii="Arial" w:hAnsi="Arial"/>
          <w:sz w:val="21"/>
          <w:szCs w:val="21"/>
        </w:rPr>
        <w:t xml:space="preserve"> of Serbian pension system in public</w:t>
      </w:r>
      <w:r w:rsidR="001A5536" w:rsidRPr="004967DC">
        <w:rPr>
          <w:rFonts w:ascii="Arial" w:hAnsi="Arial"/>
          <w:sz w:val="21"/>
          <w:szCs w:val="21"/>
        </w:rPr>
        <w:t xml:space="preserve"> view</w:t>
      </w:r>
      <w:r w:rsidRPr="004967DC">
        <w:rPr>
          <w:rFonts w:ascii="Arial" w:hAnsi="Arial"/>
          <w:sz w:val="21"/>
          <w:szCs w:val="21"/>
        </w:rPr>
        <w:t>. Although there are a lot of arguments why this in</w:t>
      </w:r>
      <w:r w:rsidR="0055280A" w:rsidRPr="004967DC">
        <w:rPr>
          <w:rFonts w:ascii="Arial" w:hAnsi="Arial"/>
          <w:sz w:val="21"/>
          <w:szCs w:val="21"/>
        </w:rPr>
        <w:t xml:space="preserve">dicator is </w:t>
      </w:r>
      <w:r w:rsidR="0055280A" w:rsidRPr="004967DC">
        <w:rPr>
          <w:rFonts w:ascii="Arial" w:hAnsi="Arial"/>
          <w:sz w:val="21"/>
          <w:szCs w:val="21"/>
        </w:rPr>
        <w:lastRenderedPageBreak/>
        <w:t>not adequate</w:t>
      </w:r>
      <w:r w:rsidR="00885429" w:rsidRPr="004967DC">
        <w:rPr>
          <w:rStyle w:val="FootnoteReference"/>
          <w:rFonts w:ascii="Arial" w:hAnsi="Arial"/>
          <w:sz w:val="21"/>
          <w:szCs w:val="21"/>
        </w:rPr>
        <w:footnoteReference w:id="20"/>
      </w:r>
      <w:r w:rsidR="0055280A" w:rsidRPr="004967DC">
        <w:rPr>
          <w:rFonts w:ascii="Arial" w:hAnsi="Arial"/>
          <w:sz w:val="21"/>
          <w:szCs w:val="21"/>
        </w:rPr>
        <w:t>, still is</w:t>
      </w:r>
      <w:r w:rsidR="001A5536" w:rsidRPr="004967DC">
        <w:rPr>
          <w:rFonts w:ascii="Arial" w:hAnsi="Arial"/>
          <w:sz w:val="21"/>
          <w:szCs w:val="21"/>
        </w:rPr>
        <w:t xml:space="preserve"> informative to some extent and it is</w:t>
      </w:r>
      <w:r w:rsidR="0055280A" w:rsidRPr="004967DC">
        <w:rPr>
          <w:rFonts w:ascii="Arial" w:hAnsi="Arial"/>
          <w:sz w:val="21"/>
          <w:szCs w:val="21"/>
        </w:rPr>
        <w:t xml:space="preserve"> better to include it </w:t>
      </w:r>
      <w:r w:rsidR="001A5536" w:rsidRPr="004967DC">
        <w:rPr>
          <w:rFonts w:ascii="Arial" w:hAnsi="Arial"/>
          <w:sz w:val="21"/>
          <w:szCs w:val="21"/>
        </w:rPr>
        <w:t xml:space="preserve">in the indicator list </w:t>
      </w:r>
      <w:r w:rsidR="0055280A" w:rsidRPr="004967DC">
        <w:rPr>
          <w:rFonts w:ascii="Arial" w:hAnsi="Arial"/>
          <w:sz w:val="21"/>
          <w:szCs w:val="21"/>
        </w:rPr>
        <w:t xml:space="preserve">with </w:t>
      </w:r>
      <w:r w:rsidR="001A5536" w:rsidRPr="004967DC">
        <w:rPr>
          <w:rFonts w:ascii="Arial" w:hAnsi="Arial"/>
          <w:sz w:val="21"/>
          <w:szCs w:val="21"/>
        </w:rPr>
        <w:t xml:space="preserve">the </w:t>
      </w:r>
      <w:r w:rsidR="0055280A" w:rsidRPr="004967DC">
        <w:rPr>
          <w:rFonts w:ascii="Arial" w:hAnsi="Arial"/>
          <w:sz w:val="21"/>
          <w:szCs w:val="21"/>
        </w:rPr>
        <w:t xml:space="preserve">appropriate definition then to leave it out </w:t>
      </w:r>
      <w:r w:rsidR="001A5536" w:rsidRPr="004967DC">
        <w:rPr>
          <w:rFonts w:ascii="Arial" w:hAnsi="Arial"/>
          <w:sz w:val="21"/>
          <w:szCs w:val="21"/>
        </w:rPr>
        <w:t xml:space="preserve">as </w:t>
      </w:r>
      <w:r w:rsidR="00665F5E" w:rsidRPr="004967DC">
        <w:rPr>
          <w:rFonts w:ascii="Arial" w:hAnsi="Arial"/>
          <w:sz w:val="21"/>
          <w:szCs w:val="21"/>
        </w:rPr>
        <w:t>it is and have misinterpretation (transfers to</w:t>
      </w:r>
      <w:r w:rsidR="001A5536" w:rsidRPr="004967DC">
        <w:rPr>
          <w:rFonts w:ascii="Arial" w:hAnsi="Arial"/>
          <w:sz w:val="21"/>
          <w:szCs w:val="21"/>
        </w:rPr>
        <w:t xml:space="preserve"> PIO fund, which include</w:t>
      </w:r>
      <w:r w:rsidR="00665F5E" w:rsidRPr="004967DC">
        <w:rPr>
          <w:rFonts w:ascii="Arial" w:hAnsi="Arial"/>
          <w:sz w:val="21"/>
          <w:szCs w:val="21"/>
        </w:rPr>
        <w:t xml:space="preserve"> other </w:t>
      </w:r>
      <w:r w:rsidR="001A5536" w:rsidRPr="004967DC">
        <w:rPr>
          <w:rFonts w:ascii="Arial" w:hAnsi="Arial"/>
          <w:sz w:val="21"/>
          <w:szCs w:val="21"/>
        </w:rPr>
        <w:t xml:space="preserve">expenditures </w:t>
      </w:r>
      <w:r w:rsidR="00665F5E" w:rsidRPr="004967DC">
        <w:rPr>
          <w:rFonts w:ascii="Arial" w:hAnsi="Arial"/>
          <w:sz w:val="21"/>
          <w:szCs w:val="21"/>
        </w:rPr>
        <w:t>and revenues from budget</w:t>
      </w:r>
      <w:r w:rsidR="00634BA3" w:rsidRPr="004967DC">
        <w:rPr>
          <w:rFonts w:ascii="Arial" w:hAnsi="Arial"/>
          <w:sz w:val="21"/>
          <w:szCs w:val="21"/>
        </w:rPr>
        <w:t>,</w:t>
      </w:r>
      <w:r w:rsidR="001A5536" w:rsidRPr="004967DC">
        <w:rPr>
          <w:rFonts w:ascii="Arial" w:hAnsi="Arial"/>
          <w:sz w:val="21"/>
          <w:szCs w:val="21"/>
        </w:rPr>
        <w:t xml:space="preserve"> </w:t>
      </w:r>
      <w:r w:rsidR="00665F5E" w:rsidRPr="004967DC">
        <w:rPr>
          <w:rFonts w:ascii="Arial" w:hAnsi="Arial"/>
          <w:sz w:val="21"/>
          <w:szCs w:val="21"/>
        </w:rPr>
        <w:t>is interpreted as pension system deficit</w:t>
      </w:r>
      <w:r w:rsidR="001A5536" w:rsidRPr="004967DC">
        <w:rPr>
          <w:rFonts w:ascii="Arial" w:hAnsi="Arial"/>
          <w:sz w:val="21"/>
          <w:szCs w:val="21"/>
        </w:rPr>
        <w:t xml:space="preserve">). </w:t>
      </w:r>
    </w:p>
    <w:p w14:paraId="32ACFC06" w14:textId="77777777" w:rsidR="00B35CD3" w:rsidRPr="004967DC" w:rsidRDefault="00B71CB3" w:rsidP="00462118">
      <w:pPr>
        <w:pStyle w:val="NormalWeb"/>
        <w:spacing w:beforeLines="0" w:afterLines="0" w:line="360" w:lineRule="auto"/>
        <w:jc w:val="both"/>
        <w:rPr>
          <w:rFonts w:ascii="Arial" w:hAnsi="Arial"/>
          <w:sz w:val="21"/>
          <w:szCs w:val="21"/>
        </w:rPr>
      </w:pPr>
      <w:r w:rsidRPr="004967DC">
        <w:rPr>
          <w:rFonts w:ascii="Arial" w:hAnsi="Arial"/>
          <w:iCs/>
          <w:sz w:val="21"/>
          <w:szCs w:val="21"/>
        </w:rPr>
        <w:t>When it comes to indicators</w:t>
      </w:r>
      <w:r w:rsidR="00F43544" w:rsidRPr="004967DC">
        <w:rPr>
          <w:rFonts w:ascii="Arial" w:hAnsi="Arial"/>
          <w:iCs/>
          <w:sz w:val="21"/>
          <w:szCs w:val="21"/>
        </w:rPr>
        <w:t xml:space="preserve"> </w:t>
      </w:r>
      <w:r w:rsidR="0054738F" w:rsidRPr="004967DC">
        <w:rPr>
          <w:rFonts w:ascii="Arial" w:hAnsi="Arial"/>
          <w:iCs/>
          <w:sz w:val="21"/>
          <w:szCs w:val="21"/>
        </w:rPr>
        <w:t>for the</w:t>
      </w:r>
      <w:r w:rsidR="00F43544" w:rsidRPr="004967DC">
        <w:rPr>
          <w:rFonts w:ascii="Arial" w:hAnsi="Arial"/>
          <w:iCs/>
          <w:sz w:val="21"/>
          <w:szCs w:val="21"/>
        </w:rPr>
        <w:t xml:space="preserve"> third objective – </w:t>
      </w:r>
      <w:r w:rsidR="00F43544" w:rsidRPr="004967DC">
        <w:rPr>
          <w:rFonts w:ascii="Arial" w:hAnsi="Arial"/>
          <w:b/>
          <w:iCs/>
          <w:sz w:val="21"/>
          <w:szCs w:val="21"/>
        </w:rPr>
        <w:t>modernized pensions</w:t>
      </w:r>
      <w:r w:rsidR="00F43544" w:rsidRPr="004967DC">
        <w:rPr>
          <w:rFonts w:ascii="Arial" w:hAnsi="Arial"/>
          <w:iCs/>
          <w:sz w:val="21"/>
          <w:szCs w:val="21"/>
        </w:rPr>
        <w:t xml:space="preserve">, </w:t>
      </w:r>
      <w:r w:rsidRPr="004967DC">
        <w:rPr>
          <w:rFonts w:ascii="Arial" w:hAnsi="Arial"/>
          <w:iCs/>
          <w:sz w:val="21"/>
          <w:szCs w:val="21"/>
        </w:rPr>
        <w:t xml:space="preserve">they </w:t>
      </w:r>
      <w:r w:rsidR="0087014C" w:rsidRPr="004967DC">
        <w:rPr>
          <w:rFonts w:ascii="Arial" w:hAnsi="Arial"/>
          <w:iCs/>
          <w:sz w:val="21"/>
          <w:szCs w:val="21"/>
        </w:rPr>
        <w:t xml:space="preserve">are solely focused on </w:t>
      </w:r>
      <w:r w:rsidR="009C61DD" w:rsidRPr="004967DC">
        <w:rPr>
          <w:rFonts w:ascii="Arial" w:hAnsi="Arial"/>
          <w:iCs/>
          <w:sz w:val="21"/>
          <w:szCs w:val="21"/>
        </w:rPr>
        <w:t>gender</w:t>
      </w:r>
      <w:r w:rsidR="0087014C" w:rsidRPr="004967DC">
        <w:rPr>
          <w:rFonts w:ascii="Arial" w:hAnsi="Arial"/>
          <w:iCs/>
          <w:sz w:val="21"/>
          <w:szCs w:val="21"/>
        </w:rPr>
        <w:t xml:space="preserve"> inequality, although </w:t>
      </w:r>
      <w:r w:rsidR="00AF02D3" w:rsidRPr="004967DC">
        <w:rPr>
          <w:rFonts w:ascii="Arial" w:hAnsi="Arial"/>
          <w:iCs/>
          <w:sz w:val="21"/>
          <w:szCs w:val="21"/>
        </w:rPr>
        <w:t xml:space="preserve">the </w:t>
      </w:r>
      <w:r w:rsidR="0087014C" w:rsidRPr="004967DC">
        <w:rPr>
          <w:rFonts w:ascii="Arial" w:hAnsi="Arial"/>
          <w:iCs/>
          <w:sz w:val="21"/>
          <w:szCs w:val="21"/>
        </w:rPr>
        <w:t xml:space="preserve">definition </w:t>
      </w:r>
      <w:r w:rsidR="009C61DD" w:rsidRPr="004967DC">
        <w:rPr>
          <w:rFonts w:ascii="Arial" w:hAnsi="Arial"/>
          <w:iCs/>
          <w:sz w:val="21"/>
          <w:szCs w:val="21"/>
        </w:rPr>
        <w:t xml:space="preserve">of </w:t>
      </w:r>
      <w:r w:rsidR="0087014C" w:rsidRPr="004967DC">
        <w:rPr>
          <w:rFonts w:ascii="Arial" w:hAnsi="Arial"/>
          <w:iCs/>
          <w:sz w:val="21"/>
          <w:szCs w:val="21"/>
        </w:rPr>
        <w:t xml:space="preserve">this goal includes other issues </w:t>
      </w:r>
      <w:r w:rsidRPr="004967DC">
        <w:rPr>
          <w:rFonts w:ascii="Arial" w:hAnsi="Arial"/>
          <w:iCs/>
          <w:sz w:val="21"/>
          <w:szCs w:val="21"/>
        </w:rPr>
        <w:t xml:space="preserve">as well, such as </w:t>
      </w:r>
      <w:r w:rsidR="0087014C" w:rsidRPr="004967DC">
        <w:rPr>
          <w:rFonts w:ascii="Arial" w:hAnsi="Arial"/>
          <w:iCs/>
          <w:sz w:val="21"/>
          <w:szCs w:val="21"/>
        </w:rPr>
        <w:t>transparency</w:t>
      </w:r>
      <w:r w:rsidRPr="004967DC">
        <w:rPr>
          <w:rFonts w:ascii="Arial" w:hAnsi="Arial"/>
          <w:iCs/>
          <w:sz w:val="21"/>
          <w:szCs w:val="21"/>
        </w:rPr>
        <w:t xml:space="preserve">, </w:t>
      </w:r>
      <w:r w:rsidR="0087014C" w:rsidRPr="004967DC">
        <w:rPr>
          <w:rFonts w:ascii="Arial" w:hAnsi="Arial"/>
          <w:iCs/>
          <w:sz w:val="21"/>
          <w:szCs w:val="21"/>
        </w:rPr>
        <w:t>adequate information on pension system</w:t>
      </w:r>
      <w:r w:rsidRPr="004967DC">
        <w:rPr>
          <w:rFonts w:ascii="Arial" w:hAnsi="Arial"/>
          <w:iCs/>
          <w:sz w:val="21"/>
          <w:szCs w:val="21"/>
        </w:rPr>
        <w:t>,</w:t>
      </w:r>
      <w:r w:rsidR="0087014C" w:rsidRPr="004967DC">
        <w:rPr>
          <w:rFonts w:ascii="Arial" w:hAnsi="Arial"/>
          <w:iCs/>
          <w:sz w:val="21"/>
          <w:szCs w:val="21"/>
        </w:rPr>
        <w:t xml:space="preserve"> flexibility (well adapted to the requirements of modern societies</w:t>
      </w:r>
      <w:r w:rsidR="009C61DD" w:rsidRPr="004967DC">
        <w:rPr>
          <w:rFonts w:ascii="Arial" w:hAnsi="Arial"/>
          <w:iCs/>
          <w:sz w:val="21"/>
          <w:szCs w:val="21"/>
        </w:rPr>
        <w:t xml:space="preserve">). </w:t>
      </w:r>
      <w:r w:rsidR="00800EB2" w:rsidRPr="004967DC">
        <w:rPr>
          <w:rFonts w:ascii="Arial" w:hAnsi="Arial"/>
          <w:iCs/>
          <w:sz w:val="21"/>
          <w:szCs w:val="21"/>
        </w:rPr>
        <w:t xml:space="preserve">EU gender differences in pension entitlements result from the “disadvantaged position </w:t>
      </w:r>
      <w:r w:rsidR="00345811" w:rsidRPr="004967DC">
        <w:rPr>
          <w:rFonts w:ascii="Arial" w:hAnsi="Arial"/>
          <w:iCs/>
          <w:sz w:val="21"/>
          <w:szCs w:val="21"/>
        </w:rPr>
        <w:t>of w</w:t>
      </w:r>
      <w:r w:rsidR="00800EB2" w:rsidRPr="004967DC">
        <w:rPr>
          <w:rFonts w:ascii="Arial" w:hAnsi="Arial"/>
          <w:iCs/>
          <w:sz w:val="21"/>
          <w:szCs w:val="21"/>
        </w:rPr>
        <w:t xml:space="preserve">omen in the </w:t>
      </w:r>
      <w:r w:rsidR="00345811" w:rsidRPr="004967DC">
        <w:rPr>
          <w:rFonts w:ascii="Arial" w:hAnsi="Arial"/>
          <w:iCs/>
          <w:sz w:val="21"/>
          <w:szCs w:val="21"/>
        </w:rPr>
        <w:t>labor</w:t>
      </w:r>
      <w:r w:rsidR="00800EB2" w:rsidRPr="004967DC">
        <w:rPr>
          <w:rFonts w:ascii="Arial" w:hAnsi="Arial"/>
          <w:iCs/>
          <w:sz w:val="21"/>
          <w:szCs w:val="21"/>
        </w:rPr>
        <w:t xml:space="preserve"> market as well as from the design of pension </w:t>
      </w:r>
      <w:r w:rsidR="00800EB2" w:rsidRPr="00D84F49">
        <w:rPr>
          <w:rFonts w:ascii="Arial" w:hAnsi="Arial"/>
          <w:iCs/>
          <w:sz w:val="21"/>
          <w:szCs w:val="21"/>
        </w:rPr>
        <w:t>systems”</w:t>
      </w:r>
      <w:r w:rsidR="00D84F49" w:rsidRPr="00D84F49">
        <w:rPr>
          <w:rFonts w:ascii="Arial" w:hAnsi="Arial"/>
          <w:iCs/>
          <w:sz w:val="21"/>
          <w:szCs w:val="21"/>
        </w:rPr>
        <w:t xml:space="preserve"> </w:t>
      </w:r>
      <w:r w:rsidR="00D84F49" w:rsidRPr="00D84F49">
        <w:rPr>
          <w:rFonts w:ascii="Arial" w:hAnsi="Arial"/>
          <w:iCs/>
          <w:sz w:val="21"/>
          <w:szCs w:val="22"/>
        </w:rPr>
        <w:t>(Lodovici et.al, 2016</w:t>
      </w:r>
      <w:r w:rsidR="00D84F49" w:rsidRPr="00D84F49">
        <w:rPr>
          <w:rFonts w:ascii="Arial" w:hAnsi="Arial"/>
          <w:iCs/>
          <w:sz w:val="21"/>
          <w:szCs w:val="21"/>
        </w:rPr>
        <w:t>)</w:t>
      </w:r>
      <w:r w:rsidR="0012235A" w:rsidRPr="00D84F49">
        <w:rPr>
          <w:rFonts w:ascii="Arial" w:hAnsi="Arial"/>
          <w:iCs/>
          <w:sz w:val="21"/>
          <w:szCs w:val="21"/>
        </w:rPr>
        <w:t>.</w:t>
      </w:r>
      <w:r w:rsidR="00800EB2" w:rsidRPr="00D84F49">
        <w:rPr>
          <w:rFonts w:ascii="Arial" w:hAnsi="Arial"/>
          <w:iCs/>
          <w:sz w:val="21"/>
          <w:szCs w:val="21"/>
        </w:rPr>
        <w:t xml:space="preserve"> However, in Serbia only</w:t>
      </w:r>
      <w:r w:rsidR="00C07C75" w:rsidRPr="00D84F49">
        <w:rPr>
          <w:rFonts w:ascii="Arial" w:hAnsi="Arial"/>
          <w:iCs/>
          <w:sz w:val="21"/>
          <w:szCs w:val="21"/>
        </w:rPr>
        <w:t xml:space="preserve"> the first part of this statement is true.</w:t>
      </w:r>
      <w:r w:rsidR="00C07C75" w:rsidRPr="004967DC">
        <w:rPr>
          <w:rFonts w:ascii="Arial" w:hAnsi="Arial"/>
          <w:iCs/>
          <w:sz w:val="21"/>
          <w:szCs w:val="21"/>
        </w:rPr>
        <w:t xml:space="preserve"> When it comes to design, </w:t>
      </w:r>
      <w:r w:rsidRPr="004967DC">
        <w:rPr>
          <w:rFonts w:ascii="Arial" w:hAnsi="Arial"/>
          <w:iCs/>
          <w:sz w:val="21"/>
          <w:szCs w:val="21"/>
        </w:rPr>
        <w:t>design</w:t>
      </w:r>
      <w:r w:rsidR="00C07C75" w:rsidRPr="004967DC">
        <w:rPr>
          <w:rFonts w:ascii="Arial" w:hAnsi="Arial"/>
          <w:iCs/>
          <w:sz w:val="21"/>
          <w:szCs w:val="21"/>
        </w:rPr>
        <w:t xml:space="preserve"> was made to smooth this</w:t>
      </w:r>
      <w:r w:rsidR="0054738F" w:rsidRPr="004967DC">
        <w:rPr>
          <w:rFonts w:ascii="Arial" w:hAnsi="Arial"/>
          <w:iCs/>
          <w:sz w:val="21"/>
          <w:szCs w:val="21"/>
        </w:rPr>
        <w:t xml:space="preserve"> gap with 15% that was added to female</w:t>
      </w:r>
      <w:r w:rsidR="00AF02D3" w:rsidRPr="004967DC">
        <w:rPr>
          <w:rFonts w:ascii="Arial" w:hAnsi="Arial"/>
          <w:iCs/>
          <w:sz w:val="21"/>
          <w:szCs w:val="21"/>
        </w:rPr>
        <w:t xml:space="preserve"> </w:t>
      </w:r>
      <w:r w:rsidR="00C07C75" w:rsidRPr="004967DC">
        <w:rPr>
          <w:rFonts w:ascii="Arial" w:hAnsi="Arial"/>
          <w:iCs/>
          <w:sz w:val="21"/>
          <w:szCs w:val="21"/>
        </w:rPr>
        <w:t>pension</w:t>
      </w:r>
      <w:r w:rsidR="0054738F" w:rsidRPr="004967DC">
        <w:rPr>
          <w:rFonts w:ascii="Arial" w:hAnsi="Arial"/>
          <w:iCs/>
          <w:sz w:val="21"/>
          <w:szCs w:val="21"/>
        </w:rPr>
        <w:t xml:space="preserve">. In addition, periods of child care are taken into account for pension entitlement. This is way gender gap in Serbia has been lower than gender pension gap in EU – less than 20% </w:t>
      </w:r>
      <w:r w:rsidR="0054738F" w:rsidRPr="00D84F49">
        <w:rPr>
          <w:rFonts w:ascii="Arial" w:hAnsi="Arial"/>
          <w:iCs/>
          <w:sz w:val="21"/>
          <w:szCs w:val="21"/>
        </w:rPr>
        <w:t>in comparison to 40% in EU</w:t>
      </w:r>
      <w:r w:rsidR="00D84F49" w:rsidRPr="00D84F49">
        <w:rPr>
          <w:rFonts w:ascii="Arial" w:hAnsi="Arial"/>
          <w:iCs/>
          <w:sz w:val="21"/>
          <w:szCs w:val="21"/>
        </w:rPr>
        <w:t xml:space="preserve"> (</w:t>
      </w:r>
      <w:r w:rsidR="00D84F49" w:rsidRPr="00D84F49">
        <w:rPr>
          <w:rFonts w:ascii="Arial" w:hAnsi="Arial" w:cs="Arial"/>
          <w:color w:val="1A1A1A"/>
          <w:sz w:val="21"/>
          <w:szCs w:val="18"/>
        </w:rPr>
        <w:t>Rakić and Chiappe, 2008)</w:t>
      </w:r>
      <w:r w:rsidR="009B7244" w:rsidRPr="00D84F49">
        <w:rPr>
          <w:rFonts w:ascii="Arial" w:hAnsi="Arial"/>
          <w:iCs/>
          <w:sz w:val="21"/>
          <w:szCs w:val="21"/>
        </w:rPr>
        <w:t>. As the increase in pension formula has been</w:t>
      </w:r>
      <w:r w:rsidR="009B7244" w:rsidRPr="004967DC">
        <w:rPr>
          <w:rFonts w:ascii="Arial" w:hAnsi="Arial"/>
          <w:iCs/>
          <w:sz w:val="21"/>
          <w:szCs w:val="21"/>
        </w:rPr>
        <w:t xml:space="preserve"> reducing up to 6% in 2021 and it is expected to be completely eliminated. Hence the modernization of pension formula in Serbia will not reduce gender </w:t>
      </w:r>
      <w:r w:rsidR="00792503" w:rsidRPr="004967DC">
        <w:rPr>
          <w:rFonts w:ascii="Arial" w:hAnsi="Arial"/>
          <w:iCs/>
          <w:sz w:val="21"/>
          <w:szCs w:val="21"/>
        </w:rPr>
        <w:t>gap;</w:t>
      </w:r>
      <w:r w:rsidR="009B7244" w:rsidRPr="004967DC">
        <w:rPr>
          <w:rFonts w:ascii="Arial" w:hAnsi="Arial"/>
          <w:iCs/>
          <w:sz w:val="21"/>
          <w:szCs w:val="21"/>
        </w:rPr>
        <w:t xml:space="preserve"> it is most likely going to be neutral due to increase in retirement age. Anyway, modernization as the title of a group of indicators dealing with gender gap is not appropriate in Serbia. </w:t>
      </w:r>
    </w:p>
    <w:p w14:paraId="314D3564" w14:textId="77777777" w:rsidR="00314F54" w:rsidRPr="004967DC" w:rsidRDefault="00314F54" w:rsidP="00445B34">
      <w:pPr>
        <w:spacing w:after="240" w:line="360" w:lineRule="auto"/>
        <w:jc w:val="both"/>
        <w:rPr>
          <w:rFonts w:ascii="Arial" w:hAnsi="Arial"/>
          <w:sz w:val="21"/>
          <w:szCs w:val="21"/>
        </w:rPr>
      </w:pPr>
      <w:r w:rsidRPr="004967DC">
        <w:rPr>
          <w:rFonts w:ascii="Arial" w:hAnsi="Arial"/>
          <w:sz w:val="21"/>
          <w:szCs w:val="21"/>
        </w:rPr>
        <w:t xml:space="preserve">All analyzed pension sets of indicators (EU, </w:t>
      </w:r>
      <w:r w:rsidR="00792503" w:rsidRPr="004967DC">
        <w:rPr>
          <w:rFonts w:ascii="Arial" w:hAnsi="Arial"/>
          <w:sz w:val="21"/>
          <w:szCs w:val="21"/>
        </w:rPr>
        <w:t xml:space="preserve">World </w:t>
      </w:r>
      <w:r w:rsidRPr="004967DC">
        <w:rPr>
          <w:rFonts w:ascii="Arial" w:hAnsi="Arial"/>
          <w:sz w:val="21"/>
          <w:szCs w:val="21"/>
        </w:rPr>
        <w:t>B</w:t>
      </w:r>
      <w:r w:rsidR="00792503" w:rsidRPr="004967DC">
        <w:rPr>
          <w:rFonts w:ascii="Arial" w:hAnsi="Arial"/>
          <w:sz w:val="21"/>
          <w:szCs w:val="21"/>
        </w:rPr>
        <w:t>ank</w:t>
      </w:r>
      <w:r w:rsidRPr="004967DC">
        <w:rPr>
          <w:rFonts w:ascii="Arial" w:hAnsi="Arial"/>
          <w:sz w:val="21"/>
          <w:szCs w:val="21"/>
        </w:rPr>
        <w:t xml:space="preserve">, OCED) have a group of </w:t>
      </w:r>
      <w:r w:rsidRPr="004967DC">
        <w:rPr>
          <w:rFonts w:ascii="Arial" w:hAnsi="Arial"/>
          <w:b/>
          <w:sz w:val="21"/>
          <w:szCs w:val="21"/>
        </w:rPr>
        <w:t>contextual information/indicators</w:t>
      </w:r>
      <w:r w:rsidRPr="004967DC">
        <w:rPr>
          <w:rFonts w:ascii="Arial" w:hAnsi="Arial"/>
          <w:sz w:val="21"/>
          <w:szCs w:val="21"/>
        </w:rPr>
        <w:t>, typically demographic and employment. In case of EU indicators</w:t>
      </w:r>
      <w:r w:rsidR="00792503" w:rsidRPr="004967DC">
        <w:rPr>
          <w:rFonts w:ascii="Arial" w:hAnsi="Arial"/>
          <w:sz w:val="21"/>
          <w:szCs w:val="21"/>
        </w:rPr>
        <w:t>,</w:t>
      </w:r>
      <w:r w:rsidRPr="004967DC">
        <w:rPr>
          <w:rFonts w:ascii="Arial" w:hAnsi="Arial"/>
          <w:sz w:val="21"/>
          <w:szCs w:val="21"/>
        </w:rPr>
        <w:t xml:space="preserve"> they are clustered around the group of indicators for which they are informative, while </w:t>
      </w:r>
      <w:r w:rsidR="00792503" w:rsidRPr="004967DC">
        <w:rPr>
          <w:rFonts w:ascii="Arial" w:hAnsi="Arial"/>
          <w:sz w:val="21"/>
          <w:szCs w:val="21"/>
        </w:rPr>
        <w:t xml:space="preserve">World Bank </w:t>
      </w:r>
      <w:r w:rsidRPr="004967DC">
        <w:rPr>
          <w:rFonts w:ascii="Arial" w:hAnsi="Arial"/>
          <w:sz w:val="21"/>
          <w:szCs w:val="21"/>
        </w:rPr>
        <w:t>and OECD have one sub-set of indicators with all context information for various aspects of pensions system. Second approach is perhaps better since in the first one there may be some duplication/repetition of indicators. When it comes to EU context information</w:t>
      </w:r>
      <w:r w:rsidR="00792503" w:rsidRPr="004967DC">
        <w:rPr>
          <w:rFonts w:ascii="Arial" w:hAnsi="Arial"/>
          <w:sz w:val="21"/>
          <w:szCs w:val="21"/>
        </w:rPr>
        <w:t>,</w:t>
      </w:r>
      <w:r w:rsidRPr="004967DC">
        <w:rPr>
          <w:rFonts w:ascii="Arial" w:hAnsi="Arial"/>
          <w:sz w:val="21"/>
          <w:szCs w:val="21"/>
        </w:rPr>
        <w:t xml:space="preserve"> in some cases the</w:t>
      </w:r>
      <w:r w:rsidRPr="004967DC">
        <w:rPr>
          <w:rFonts w:ascii="Arial" w:hAnsi="Arial"/>
          <w:iCs/>
          <w:sz w:val="21"/>
          <w:szCs w:val="21"/>
        </w:rPr>
        <w:t xml:space="preserve"> same indicator – employment rate – is regarded as context information for overarching indicators, but is also primary sustainability indicator. Or, </w:t>
      </w:r>
      <w:r w:rsidRPr="004967DC">
        <w:rPr>
          <w:rFonts w:ascii="Arial" w:hAnsi="Arial"/>
          <w:sz w:val="21"/>
          <w:szCs w:val="21"/>
        </w:rPr>
        <w:t xml:space="preserve">indicator </w:t>
      </w:r>
      <w:r w:rsidR="00792503" w:rsidRPr="004967DC">
        <w:rPr>
          <w:rFonts w:ascii="Arial" w:hAnsi="Arial"/>
          <w:b/>
          <w:iCs/>
          <w:sz w:val="21"/>
          <w:szCs w:val="21"/>
        </w:rPr>
        <w:t xml:space="preserve">contribution </w:t>
      </w:r>
      <w:r w:rsidRPr="004967DC">
        <w:rPr>
          <w:rFonts w:ascii="Arial" w:hAnsi="Arial"/>
          <w:b/>
          <w:iCs/>
          <w:sz w:val="21"/>
          <w:szCs w:val="21"/>
        </w:rPr>
        <w:t xml:space="preserve">to public and private pension schemes (% of GDP) </w:t>
      </w:r>
      <w:r w:rsidRPr="004967DC">
        <w:rPr>
          <w:rFonts w:ascii="Arial" w:hAnsi="Arial"/>
          <w:iCs/>
          <w:sz w:val="21"/>
          <w:szCs w:val="21"/>
        </w:rPr>
        <w:t xml:space="preserve">– is context information and it can be argued that it is an indicator of financing and sustainability, as it is in OECD pension indicators set. </w:t>
      </w:r>
    </w:p>
    <w:p w14:paraId="7A06148B" w14:textId="77777777" w:rsidR="00920088" w:rsidRPr="004967DC" w:rsidRDefault="00BE1A34" w:rsidP="00445B34">
      <w:pPr>
        <w:spacing w:after="240" w:line="360" w:lineRule="auto"/>
        <w:jc w:val="both"/>
        <w:rPr>
          <w:rFonts w:ascii="Arial" w:hAnsi="Arial"/>
          <w:sz w:val="21"/>
          <w:szCs w:val="21"/>
        </w:rPr>
      </w:pPr>
      <w:r w:rsidRPr="004967DC">
        <w:rPr>
          <w:rFonts w:ascii="Arial" w:hAnsi="Arial"/>
          <w:sz w:val="21"/>
          <w:szCs w:val="21"/>
        </w:rPr>
        <w:t xml:space="preserve">Finally, the choice of </w:t>
      </w:r>
      <w:r w:rsidRPr="004967DC">
        <w:rPr>
          <w:rFonts w:ascii="Arial" w:hAnsi="Arial"/>
          <w:b/>
          <w:sz w:val="21"/>
          <w:szCs w:val="21"/>
        </w:rPr>
        <w:t>overarching indicators</w:t>
      </w:r>
      <w:r w:rsidRPr="004967DC">
        <w:rPr>
          <w:rFonts w:ascii="Arial" w:hAnsi="Arial"/>
          <w:b/>
          <w:i/>
          <w:sz w:val="21"/>
          <w:szCs w:val="21"/>
        </w:rPr>
        <w:t xml:space="preserve"> </w:t>
      </w:r>
      <w:r w:rsidRPr="004967DC">
        <w:rPr>
          <w:rFonts w:ascii="Arial" w:hAnsi="Arial"/>
          <w:sz w:val="21"/>
          <w:szCs w:val="21"/>
        </w:rPr>
        <w:t>should reflect overarching objective</w:t>
      </w:r>
      <w:r w:rsidR="00602B1F" w:rsidRPr="004967DC">
        <w:rPr>
          <w:rFonts w:ascii="Arial" w:hAnsi="Arial"/>
          <w:sz w:val="21"/>
          <w:szCs w:val="21"/>
        </w:rPr>
        <w:t>s, which</w:t>
      </w:r>
      <w:r w:rsidRPr="004967DC">
        <w:rPr>
          <w:rFonts w:ascii="Arial" w:hAnsi="Arial"/>
          <w:sz w:val="21"/>
          <w:szCs w:val="21"/>
        </w:rPr>
        <w:t xml:space="preserve"> a</w:t>
      </w:r>
      <w:r w:rsidR="00602B1F" w:rsidRPr="004967DC">
        <w:rPr>
          <w:rFonts w:ascii="Arial" w:hAnsi="Arial"/>
          <w:sz w:val="21"/>
          <w:szCs w:val="21"/>
        </w:rPr>
        <w:t>ccording to Marlier</w:t>
      </w:r>
      <w:r w:rsidR="009D5FC3" w:rsidRPr="004967DC">
        <w:rPr>
          <w:rFonts w:ascii="Arial" w:hAnsi="Arial"/>
          <w:sz w:val="21"/>
          <w:szCs w:val="21"/>
        </w:rPr>
        <w:t xml:space="preserve"> et al.</w:t>
      </w:r>
      <w:r w:rsidR="00BD2378">
        <w:rPr>
          <w:rFonts w:ascii="Arial" w:hAnsi="Arial"/>
          <w:sz w:val="21"/>
          <w:szCs w:val="21"/>
        </w:rPr>
        <w:t xml:space="preserve"> (2009) </w:t>
      </w:r>
      <w:r w:rsidRPr="004967DC">
        <w:rPr>
          <w:rFonts w:ascii="Arial" w:hAnsi="Arial"/>
          <w:sz w:val="21"/>
          <w:szCs w:val="21"/>
        </w:rPr>
        <w:t xml:space="preserve">address horizontal issues that cut across three </w:t>
      </w:r>
      <w:r w:rsidR="00602B1F" w:rsidRPr="004967DC">
        <w:rPr>
          <w:rFonts w:ascii="Arial" w:hAnsi="Arial"/>
          <w:sz w:val="21"/>
          <w:szCs w:val="21"/>
        </w:rPr>
        <w:t xml:space="preserve">policy </w:t>
      </w:r>
      <w:r w:rsidRPr="004967DC">
        <w:rPr>
          <w:rFonts w:ascii="Arial" w:hAnsi="Arial"/>
          <w:sz w:val="21"/>
          <w:szCs w:val="21"/>
        </w:rPr>
        <w:t>strands.</w:t>
      </w:r>
      <w:r w:rsidR="00602B1F" w:rsidRPr="004967DC">
        <w:rPr>
          <w:rFonts w:ascii="Arial" w:hAnsi="Arial"/>
          <w:sz w:val="21"/>
          <w:szCs w:val="21"/>
        </w:rPr>
        <w:t xml:space="preserve"> They provide linkage across the three social policy strands as well as between the EU social, economic and employment strategies</w:t>
      </w:r>
      <w:r w:rsidR="00980285" w:rsidRPr="004967DC">
        <w:rPr>
          <w:rFonts w:ascii="Arial" w:hAnsi="Arial"/>
          <w:sz w:val="21"/>
          <w:szCs w:val="21"/>
        </w:rPr>
        <w:t>.</w:t>
      </w:r>
    </w:p>
    <w:p w14:paraId="564F02D1" w14:textId="77777777" w:rsidR="00CE2A68" w:rsidRPr="004967DC" w:rsidRDefault="00920088" w:rsidP="004967DC">
      <w:pPr>
        <w:spacing w:after="240" w:line="360" w:lineRule="auto"/>
        <w:jc w:val="both"/>
        <w:rPr>
          <w:rFonts w:ascii="Arial" w:hAnsi="Arial"/>
          <w:sz w:val="21"/>
          <w:szCs w:val="21"/>
        </w:rPr>
      </w:pPr>
      <w:r w:rsidRPr="004967DC">
        <w:rPr>
          <w:rFonts w:ascii="Arial" w:hAnsi="Arial"/>
          <w:sz w:val="21"/>
          <w:szCs w:val="21"/>
        </w:rPr>
        <w:t>The portfolio should reflect fully the overarching objectives, including dimensions that are “overarching” (</w:t>
      </w:r>
      <w:r w:rsidR="009D5FC3" w:rsidRPr="004967DC">
        <w:rPr>
          <w:rFonts w:ascii="Arial" w:hAnsi="Arial"/>
          <w:sz w:val="21"/>
          <w:szCs w:val="21"/>
        </w:rPr>
        <w:t xml:space="preserve">social protection </w:t>
      </w:r>
      <w:r w:rsidRPr="004967DC">
        <w:rPr>
          <w:rFonts w:ascii="Arial" w:hAnsi="Arial"/>
          <w:sz w:val="21"/>
          <w:szCs w:val="21"/>
        </w:rPr>
        <w:t xml:space="preserve">expenditures, </w:t>
      </w:r>
      <w:r w:rsidR="009D5FC3" w:rsidRPr="004967DC">
        <w:rPr>
          <w:rFonts w:ascii="Arial" w:hAnsi="Arial"/>
          <w:sz w:val="21"/>
          <w:szCs w:val="21"/>
        </w:rPr>
        <w:t xml:space="preserve">labor market </w:t>
      </w:r>
      <w:r w:rsidRPr="004967DC">
        <w:rPr>
          <w:rFonts w:ascii="Arial" w:hAnsi="Arial"/>
          <w:sz w:val="21"/>
          <w:szCs w:val="21"/>
        </w:rPr>
        <w:t xml:space="preserve">participation rates) and not specific to a </w:t>
      </w:r>
      <w:r w:rsidRPr="004967DC">
        <w:rPr>
          <w:rFonts w:ascii="Arial" w:hAnsi="Arial"/>
          <w:sz w:val="21"/>
          <w:szCs w:val="21"/>
        </w:rPr>
        <w:lastRenderedPageBreak/>
        <w:t>strand (social inclusion, pensions or health) in particular.</w:t>
      </w:r>
      <w:r w:rsidR="009068E4" w:rsidRPr="004967DC">
        <w:rPr>
          <w:rFonts w:ascii="Arial" w:hAnsi="Arial"/>
          <w:sz w:val="21"/>
          <w:szCs w:val="21"/>
        </w:rPr>
        <w:t xml:space="preserve"> </w:t>
      </w:r>
      <w:r w:rsidRPr="004967DC">
        <w:rPr>
          <w:rFonts w:ascii="Arial" w:hAnsi="Arial"/>
          <w:sz w:val="21"/>
          <w:szCs w:val="21"/>
        </w:rPr>
        <w:t>The portfolio should include indicators reflecting the link between the main policy areas and ultimate social cohesion outcomes, this could be achieved through an adequate combination of indicators reflecting social outcomes (e.g. at-risk-poverty rates, other income and living conditions indicators, unemployment rates, educational attainment etc.) and indicators reflecting the scale and nature of social policy interventions (e.g. social protection expenditures etc.).</w:t>
      </w:r>
    </w:p>
    <w:p w14:paraId="302C028A" w14:textId="77777777" w:rsidR="009903CC" w:rsidRPr="006A4CE9" w:rsidRDefault="009903CC" w:rsidP="005753CF">
      <w:pPr>
        <w:spacing w:line="264" w:lineRule="auto"/>
        <w:rPr>
          <w:rFonts w:ascii="Cambria" w:hAnsi="Cambria"/>
        </w:rPr>
      </w:pPr>
    </w:p>
    <w:p w14:paraId="236A3037" w14:textId="77777777" w:rsidR="009903CC" w:rsidRPr="00224EA0" w:rsidRDefault="001D3954" w:rsidP="00224EA0">
      <w:pPr>
        <w:pStyle w:val="Heading1"/>
        <w:numPr>
          <w:ilvl w:val="0"/>
          <w:numId w:val="5"/>
        </w:numPr>
        <w:spacing w:before="0" w:after="240" w:line="360" w:lineRule="auto"/>
        <w:ind w:left="425" w:hanging="357"/>
        <w:rPr>
          <w:rFonts w:ascii="Arial" w:hAnsi="Arial"/>
          <w:color w:val="4F81BD" w:themeColor="accent1"/>
          <w:sz w:val="24"/>
          <w:szCs w:val="24"/>
        </w:rPr>
      </w:pPr>
      <w:r>
        <w:br w:type="page"/>
      </w:r>
      <w:bookmarkStart w:id="10" w:name="_Toc493760334"/>
      <w:r w:rsidR="00C338C1" w:rsidRPr="00224EA0">
        <w:rPr>
          <w:rFonts w:ascii="Arial" w:hAnsi="Arial"/>
          <w:color w:val="4F81BD" w:themeColor="accent1"/>
          <w:sz w:val="24"/>
          <w:szCs w:val="24"/>
        </w:rPr>
        <w:lastRenderedPageBreak/>
        <w:t>PENSION PORTFOLIO OF INDICATORS IN SERBIA</w:t>
      </w:r>
      <w:bookmarkEnd w:id="10"/>
      <w:r w:rsidR="00C338C1" w:rsidRPr="00224EA0">
        <w:rPr>
          <w:rFonts w:ascii="Arial" w:hAnsi="Arial"/>
          <w:color w:val="4F81BD" w:themeColor="accent1"/>
          <w:sz w:val="24"/>
          <w:szCs w:val="24"/>
        </w:rPr>
        <w:t xml:space="preserve"> </w:t>
      </w:r>
    </w:p>
    <w:p w14:paraId="3BC87DC8" w14:textId="77777777" w:rsidR="00CC33DF" w:rsidRPr="002037B4" w:rsidRDefault="00CC33DF" w:rsidP="00594A59">
      <w:pPr>
        <w:pStyle w:val="ListParagraph"/>
        <w:spacing w:line="264" w:lineRule="auto"/>
        <w:ind w:left="0"/>
        <w:jc w:val="both"/>
        <w:rPr>
          <w:rFonts w:ascii="Calibri" w:hAnsi="Calibri"/>
          <w:b/>
        </w:rPr>
      </w:pPr>
    </w:p>
    <w:p w14:paraId="158E264B" w14:textId="77777777" w:rsidR="009405EE" w:rsidRPr="006B5D6F" w:rsidRDefault="00CC33DF" w:rsidP="006B5D6F">
      <w:pPr>
        <w:spacing w:after="240" w:line="360" w:lineRule="auto"/>
        <w:jc w:val="both"/>
        <w:rPr>
          <w:rFonts w:ascii="Arial" w:hAnsi="Arial"/>
          <w:sz w:val="21"/>
          <w:szCs w:val="21"/>
        </w:rPr>
      </w:pPr>
      <w:r w:rsidRPr="006B5D6F">
        <w:rPr>
          <w:rFonts w:ascii="Arial" w:hAnsi="Arial"/>
          <w:sz w:val="21"/>
          <w:szCs w:val="21"/>
        </w:rPr>
        <w:t xml:space="preserve">The proposed list of indicators for Serbia is a combination of various frameworks discussed in </w:t>
      </w:r>
      <w:r w:rsidR="009405EE" w:rsidRPr="006B5D6F">
        <w:rPr>
          <w:rFonts w:ascii="Arial" w:hAnsi="Arial"/>
          <w:sz w:val="21"/>
          <w:szCs w:val="21"/>
        </w:rPr>
        <w:t xml:space="preserve">the previous sections. </w:t>
      </w:r>
      <w:r w:rsidRPr="006B5D6F">
        <w:rPr>
          <w:rFonts w:ascii="Arial" w:hAnsi="Arial"/>
          <w:sz w:val="21"/>
          <w:szCs w:val="21"/>
        </w:rPr>
        <w:t xml:space="preserve">EU </w:t>
      </w:r>
      <w:r w:rsidR="00F752AE" w:rsidRPr="006B5D6F">
        <w:rPr>
          <w:rFonts w:ascii="Arial" w:hAnsi="Arial"/>
          <w:sz w:val="21"/>
          <w:szCs w:val="21"/>
        </w:rPr>
        <w:t xml:space="preserve">social indicators </w:t>
      </w:r>
      <w:r w:rsidRPr="006B5D6F">
        <w:rPr>
          <w:rFonts w:ascii="Arial" w:hAnsi="Arial"/>
          <w:sz w:val="21"/>
          <w:szCs w:val="21"/>
        </w:rPr>
        <w:t>pension portfolio</w:t>
      </w:r>
      <w:r w:rsidR="009405EE" w:rsidRPr="006B5D6F">
        <w:rPr>
          <w:rFonts w:ascii="Arial" w:hAnsi="Arial"/>
          <w:sz w:val="21"/>
          <w:szCs w:val="21"/>
        </w:rPr>
        <w:t xml:space="preserve"> </w:t>
      </w:r>
      <w:r w:rsidR="00F752AE" w:rsidRPr="006B5D6F">
        <w:rPr>
          <w:rFonts w:ascii="Arial" w:hAnsi="Arial"/>
          <w:sz w:val="21"/>
          <w:szCs w:val="21"/>
        </w:rPr>
        <w:t>is</w:t>
      </w:r>
      <w:r w:rsidRPr="006B5D6F">
        <w:rPr>
          <w:rFonts w:ascii="Arial" w:hAnsi="Arial"/>
          <w:sz w:val="21"/>
          <w:szCs w:val="21"/>
        </w:rPr>
        <w:t xml:space="preserve"> a starting point </w:t>
      </w:r>
      <w:r w:rsidR="009405EE" w:rsidRPr="006B5D6F">
        <w:rPr>
          <w:rFonts w:ascii="Arial" w:hAnsi="Arial"/>
          <w:sz w:val="21"/>
          <w:szCs w:val="21"/>
        </w:rPr>
        <w:t xml:space="preserve">amended with country-specific indicators, for which source is typically PIO fund i.e. administrative data. </w:t>
      </w:r>
    </w:p>
    <w:p w14:paraId="095FCD69" w14:textId="77777777" w:rsidR="003D1324" w:rsidRPr="006B5D6F" w:rsidRDefault="003D1324" w:rsidP="006B5D6F">
      <w:pPr>
        <w:spacing w:after="240" w:line="360" w:lineRule="auto"/>
        <w:jc w:val="both"/>
        <w:rPr>
          <w:rFonts w:ascii="Arial" w:hAnsi="Arial"/>
          <w:sz w:val="21"/>
          <w:szCs w:val="21"/>
        </w:rPr>
      </w:pPr>
      <w:r w:rsidRPr="006B5D6F">
        <w:rPr>
          <w:rFonts w:ascii="Arial" w:hAnsi="Arial"/>
          <w:sz w:val="21"/>
          <w:szCs w:val="21"/>
        </w:rPr>
        <w:t>D</w:t>
      </w:r>
      <w:r w:rsidR="00D12969" w:rsidRPr="006B5D6F">
        <w:rPr>
          <w:rFonts w:ascii="Arial" w:hAnsi="Arial"/>
          <w:sz w:val="21"/>
          <w:szCs w:val="21"/>
        </w:rPr>
        <w:t xml:space="preserve">ataset of pension indicators for Serbia includes </w:t>
      </w:r>
      <w:r w:rsidR="00AB2DAE" w:rsidRPr="006B5D6F">
        <w:rPr>
          <w:rFonts w:ascii="Arial" w:hAnsi="Arial"/>
          <w:b/>
          <w:sz w:val="21"/>
          <w:szCs w:val="21"/>
        </w:rPr>
        <w:t xml:space="preserve">overarching indicators </w:t>
      </w:r>
      <w:r w:rsidR="00F752AE" w:rsidRPr="006B5D6F">
        <w:rPr>
          <w:rFonts w:ascii="Arial" w:hAnsi="Arial"/>
          <w:sz w:val="21"/>
          <w:szCs w:val="21"/>
        </w:rPr>
        <w:t xml:space="preserve">as EU social indicators. </w:t>
      </w:r>
    </w:p>
    <w:p w14:paraId="3B57F788" w14:textId="77777777" w:rsidR="00917DB2" w:rsidRPr="006B5D6F" w:rsidRDefault="003D1324" w:rsidP="006B5D6F">
      <w:pPr>
        <w:spacing w:after="240" w:line="360" w:lineRule="auto"/>
        <w:jc w:val="both"/>
        <w:rPr>
          <w:rFonts w:ascii="Arial" w:hAnsi="Arial"/>
          <w:sz w:val="21"/>
          <w:szCs w:val="21"/>
        </w:rPr>
      </w:pPr>
      <w:r w:rsidRPr="006B5D6F">
        <w:rPr>
          <w:rFonts w:ascii="Arial" w:hAnsi="Arial"/>
          <w:sz w:val="21"/>
          <w:szCs w:val="21"/>
        </w:rPr>
        <w:t>T</w:t>
      </w:r>
      <w:r w:rsidR="00D12969" w:rsidRPr="006B5D6F">
        <w:rPr>
          <w:rFonts w:ascii="Arial" w:hAnsi="Arial"/>
          <w:sz w:val="21"/>
          <w:szCs w:val="21"/>
        </w:rPr>
        <w:t xml:space="preserve">here is a set of </w:t>
      </w:r>
      <w:r w:rsidR="00AB2DAE" w:rsidRPr="006B5D6F">
        <w:rPr>
          <w:rFonts w:ascii="Arial" w:hAnsi="Arial"/>
          <w:b/>
          <w:sz w:val="21"/>
          <w:szCs w:val="21"/>
        </w:rPr>
        <w:t>context information</w:t>
      </w:r>
      <w:r w:rsidR="002037B4" w:rsidRPr="006B5D6F">
        <w:rPr>
          <w:rFonts w:ascii="Arial" w:hAnsi="Arial"/>
          <w:sz w:val="21"/>
          <w:szCs w:val="21"/>
        </w:rPr>
        <w:t>, which groups together all contextual information u</w:t>
      </w:r>
      <w:r w:rsidRPr="006B5D6F">
        <w:rPr>
          <w:rFonts w:ascii="Arial" w:hAnsi="Arial"/>
          <w:sz w:val="21"/>
          <w:szCs w:val="21"/>
        </w:rPr>
        <w:t>nlik</w:t>
      </w:r>
      <w:r w:rsidR="002037B4" w:rsidRPr="006B5D6F">
        <w:rPr>
          <w:rFonts w:ascii="Arial" w:hAnsi="Arial"/>
          <w:sz w:val="21"/>
          <w:szCs w:val="21"/>
        </w:rPr>
        <w:t>e the EU social indicators list</w:t>
      </w:r>
      <w:r w:rsidR="00D12969" w:rsidRPr="006B5D6F">
        <w:rPr>
          <w:rFonts w:ascii="Arial" w:hAnsi="Arial"/>
          <w:sz w:val="21"/>
          <w:szCs w:val="21"/>
        </w:rPr>
        <w:t xml:space="preserve"> </w:t>
      </w:r>
      <w:r w:rsidR="002037B4" w:rsidRPr="006B5D6F">
        <w:rPr>
          <w:rFonts w:ascii="Arial" w:hAnsi="Arial"/>
          <w:sz w:val="21"/>
          <w:szCs w:val="21"/>
        </w:rPr>
        <w:t xml:space="preserve">where </w:t>
      </w:r>
      <w:r w:rsidR="00D12969" w:rsidRPr="006B5D6F">
        <w:rPr>
          <w:rFonts w:ascii="Arial" w:hAnsi="Arial"/>
          <w:sz w:val="21"/>
          <w:szCs w:val="21"/>
        </w:rPr>
        <w:t>it is not divided according to dimension (</w:t>
      </w:r>
      <w:r w:rsidR="002037B4" w:rsidRPr="006B5D6F">
        <w:rPr>
          <w:rFonts w:ascii="Arial" w:hAnsi="Arial"/>
          <w:sz w:val="21"/>
          <w:szCs w:val="21"/>
        </w:rPr>
        <w:t>overarching</w:t>
      </w:r>
      <w:r w:rsidR="00D12969" w:rsidRPr="006B5D6F">
        <w:rPr>
          <w:rFonts w:ascii="Arial" w:hAnsi="Arial"/>
          <w:sz w:val="21"/>
          <w:szCs w:val="21"/>
        </w:rPr>
        <w:t>, adequacy, sustainability</w:t>
      </w:r>
      <w:r w:rsidR="002037B4" w:rsidRPr="006B5D6F">
        <w:rPr>
          <w:rFonts w:ascii="Arial" w:hAnsi="Arial"/>
          <w:sz w:val="21"/>
          <w:szCs w:val="21"/>
        </w:rPr>
        <w:t xml:space="preserve"> etc)</w:t>
      </w:r>
      <w:r w:rsidR="00D12969" w:rsidRPr="006B5D6F">
        <w:rPr>
          <w:rFonts w:ascii="Arial" w:hAnsi="Arial"/>
          <w:sz w:val="21"/>
          <w:szCs w:val="21"/>
        </w:rPr>
        <w:t>.</w:t>
      </w:r>
      <w:r w:rsidR="002037B4" w:rsidRPr="006B5D6F">
        <w:rPr>
          <w:rFonts w:ascii="Arial" w:hAnsi="Arial"/>
          <w:sz w:val="21"/>
          <w:szCs w:val="21"/>
        </w:rPr>
        <w:t xml:space="preserve"> This approach avoids overlapping of information/indicators since one indicator may be relevant for a number of </w:t>
      </w:r>
      <w:r w:rsidR="009068E4" w:rsidRPr="006B5D6F">
        <w:rPr>
          <w:rFonts w:ascii="Arial" w:hAnsi="Arial"/>
          <w:sz w:val="21"/>
          <w:szCs w:val="21"/>
        </w:rPr>
        <w:t>dimensions</w:t>
      </w:r>
      <w:r w:rsidR="002037B4" w:rsidRPr="006B5D6F">
        <w:rPr>
          <w:rFonts w:ascii="Arial" w:hAnsi="Arial"/>
          <w:sz w:val="21"/>
          <w:szCs w:val="21"/>
        </w:rPr>
        <w:t>.</w:t>
      </w:r>
      <w:r w:rsidR="00D12969" w:rsidRPr="006B5D6F">
        <w:rPr>
          <w:rFonts w:ascii="Arial" w:hAnsi="Arial"/>
          <w:sz w:val="21"/>
          <w:szCs w:val="21"/>
        </w:rPr>
        <w:t xml:space="preserve"> </w:t>
      </w:r>
    </w:p>
    <w:p w14:paraId="38BFF3B3" w14:textId="77777777" w:rsidR="00B71883" w:rsidRPr="006B5D6F" w:rsidRDefault="00F752AE" w:rsidP="006B5D6F">
      <w:pPr>
        <w:spacing w:after="240" w:line="360" w:lineRule="auto"/>
        <w:jc w:val="both"/>
        <w:rPr>
          <w:rFonts w:ascii="Arial" w:hAnsi="Arial"/>
          <w:sz w:val="21"/>
          <w:szCs w:val="21"/>
        </w:rPr>
      </w:pPr>
      <w:r w:rsidRPr="006B5D6F">
        <w:rPr>
          <w:rFonts w:ascii="Arial" w:hAnsi="Arial"/>
          <w:sz w:val="21"/>
          <w:szCs w:val="21"/>
        </w:rPr>
        <w:t>Following</w:t>
      </w:r>
      <w:r w:rsidR="00917DB2" w:rsidRPr="006B5D6F">
        <w:rPr>
          <w:rFonts w:ascii="Arial" w:hAnsi="Arial"/>
          <w:sz w:val="21"/>
          <w:szCs w:val="21"/>
        </w:rPr>
        <w:t xml:space="preserve"> is a group </w:t>
      </w:r>
      <w:r w:rsidRPr="006B5D6F">
        <w:rPr>
          <w:rFonts w:ascii="Arial" w:hAnsi="Arial"/>
          <w:sz w:val="21"/>
          <w:szCs w:val="21"/>
        </w:rPr>
        <w:t xml:space="preserve">of information and indicators </w:t>
      </w:r>
      <w:r w:rsidR="00917DB2" w:rsidRPr="006B5D6F">
        <w:rPr>
          <w:rFonts w:ascii="Arial" w:hAnsi="Arial"/>
          <w:sz w:val="21"/>
          <w:szCs w:val="21"/>
        </w:rPr>
        <w:t xml:space="preserve">dubbed </w:t>
      </w:r>
      <w:r w:rsidR="00AB2DAE" w:rsidRPr="006B5D6F">
        <w:rPr>
          <w:rFonts w:ascii="Arial" w:hAnsi="Arial"/>
          <w:b/>
          <w:sz w:val="21"/>
          <w:szCs w:val="21"/>
        </w:rPr>
        <w:t>design information/indicators</w:t>
      </w:r>
      <w:r w:rsidR="00AB2DAE" w:rsidRPr="006B5D6F">
        <w:rPr>
          <w:rFonts w:ascii="Arial" w:hAnsi="Arial"/>
          <w:sz w:val="21"/>
          <w:szCs w:val="21"/>
        </w:rPr>
        <w:t>,</w:t>
      </w:r>
      <w:r w:rsidRPr="006B5D6F">
        <w:rPr>
          <w:rFonts w:ascii="Arial" w:hAnsi="Arial"/>
          <w:b/>
          <w:sz w:val="21"/>
          <w:szCs w:val="21"/>
        </w:rPr>
        <w:t xml:space="preserve"> </w:t>
      </w:r>
      <w:r w:rsidRPr="006B5D6F">
        <w:rPr>
          <w:rFonts w:ascii="Arial" w:hAnsi="Arial"/>
          <w:sz w:val="21"/>
          <w:szCs w:val="21"/>
        </w:rPr>
        <w:t>modeled on the W</w:t>
      </w:r>
      <w:r w:rsidR="00AB2DAE" w:rsidRPr="006B5D6F">
        <w:rPr>
          <w:rFonts w:ascii="Arial" w:hAnsi="Arial"/>
          <w:sz w:val="21"/>
          <w:szCs w:val="21"/>
        </w:rPr>
        <w:t xml:space="preserve">orld </w:t>
      </w:r>
      <w:r w:rsidRPr="006B5D6F">
        <w:rPr>
          <w:rFonts w:ascii="Arial" w:hAnsi="Arial"/>
          <w:sz w:val="21"/>
          <w:szCs w:val="21"/>
        </w:rPr>
        <w:t>B</w:t>
      </w:r>
      <w:r w:rsidR="00AB2DAE" w:rsidRPr="006B5D6F">
        <w:rPr>
          <w:rFonts w:ascii="Arial" w:hAnsi="Arial"/>
          <w:sz w:val="21"/>
          <w:szCs w:val="21"/>
        </w:rPr>
        <w:t>ank</w:t>
      </w:r>
      <w:r w:rsidRPr="006B5D6F">
        <w:rPr>
          <w:rFonts w:ascii="Arial" w:hAnsi="Arial"/>
          <w:sz w:val="21"/>
          <w:szCs w:val="21"/>
        </w:rPr>
        <w:t xml:space="preserve"> and OECD datasets.</w:t>
      </w:r>
      <w:r w:rsidRPr="006B5D6F">
        <w:rPr>
          <w:rFonts w:ascii="Arial" w:hAnsi="Arial"/>
          <w:b/>
          <w:i/>
          <w:sz w:val="21"/>
          <w:szCs w:val="21"/>
        </w:rPr>
        <w:t xml:space="preserve"> </w:t>
      </w:r>
      <w:r w:rsidR="00C46AC5" w:rsidRPr="006B5D6F">
        <w:rPr>
          <w:rFonts w:ascii="Arial" w:hAnsi="Arial"/>
          <w:sz w:val="21"/>
          <w:szCs w:val="21"/>
        </w:rPr>
        <w:t xml:space="preserve">This group includes all the information and a few indicators that depict the </w:t>
      </w:r>
      <w:r w:rsidR="009068E4" w:rsidRPr="006B5D6F">
        <w:rPr>
          <w:rFonts w:ascii="Arial" w:hAnsi="Arial"/>
          <w:sz w:val="21"/>
          <w:szCs w:val="21"/>
        </w:rPr>
        <w:t>design</w:t>
      </w:r>
      <w:r w:rsidR="00C46AC5" w:rsidRPr="006B5D6F">
        <w:rPr>
          <w:rFonts w:ascii="Arial" w:hAnsi="Arial"/>
          <w:sz w:val="21"/>
          <w:szCs w:val="21"/>
        </w:rPr>
        <w:t xml:space="preserve"> of pension system in Serbia. </w:t>
      </w:r>
    </w:p>
    <w:p w14:paraId="36F4E4F5" w14:textId="77777777" w:rsidR="00344FED" w:rsidRPr="006B5D6F" w:rsidRDefault="00594A59" w:rsidP="006B5D6F">
      <w:pPr>
        <w:spacing w:after="240" w:line="360" w:lineRule="auto"/>
        <w:jc w:val="both"/>
        <w:rPr>
          <w:rFonts w:ascii="Arial" w:hAnsi="Arial"/>
          <w:sz w:val="21"/>
          <w:szCs w:val="21"/>
        </w:rPr>
      </w:pPr>
      <w:r w:rsidRPr="006B5D6F">
        <w:rPr>
          <w:rFonts w:ascii="Arial" w:hAnsi="Arial"/>
          <w:b/>
          <w:sz w:val="21"/>
          <w:szCs w:val="21"/>
        </w:rPr>
        <w:t xml:space="preserve">Actual </w:t>
      </w:r>
      <w:r w:rsidRPr="006B5D6F">
        <w:rPr>
          <w:rFonts w:ascii="Arial" w:hAnsi="Arial"/>
          <w:sz w:val="21"/>
          <w:szCs w:val="21"/>
        </w:rPr>
        <w:t>or</w:t>
      </w:r>
      <w:r w:rsidRPr="006B5D6F">
        <w:rPr>
          <w:rFonts w:ascii="Arial" w:hAnsi="Arial"/>
          <w:b/>
          <w:sz w:val="21"/>
          <w:szCs w:val="21"/>
        </w:rPr>
        <w:t xml:space="preserve"> performance indicators</w:t>
      </w:r>
      <w:r w:rsidRPr="006B5D6F">
        <w:rPr>
          <w:rFonts w:ascii="Arial" w:hAnsi="Arial"/>
          <w:b/>
          <w:i/>
          <w:sz w:val="21"/>
          <w:szCs w:val="21"/>
        </w:rPr>
        <w:t xml:space="preserve"> </w:t>
      </w:r>
      <w:r w:rsidRPr="006B5D6F">
        <w:rPr>
          <w:rFonts w:ascii="Arial" w:hAnsi="Arial"/>
          <w:sz w:val="21"/>
          <w:szCs w:val="21"/>
        </w:rPr>
        <w:t xml:space="preserve">are </w:t>
      </w:r>
      <w:r w:rsidR="005A17DC" w:rsidRPr="006B5D6F">
        <w:rPr>
          <w:rFonts w:ascii="Arial" w:hAnsi="Arial"/>
          <w:sz w:val="21"/>
          <w:szCs w:val="21"/>
        </w:rPr>
        <w:t xml:space="preserve">grouped </w:t>
      </w:r>
      <w:r w:rsidR="00C46AC5" w:rsidRPr="006B5D6F">
        <w:rPr>
          <w:rFonts w:ascii="Arial" w:hAnsi="Arial"/>
          <w:sz w:val="21"/>
          <w:szCs w:val="21"/>
        </w:rPr>
        <w:t>in a similar manner as in other datasets</w:t>
      </w:r>
      <w:r w:rsidRPr="006B5D6F">
        <w:rPr>
          <w:rFonts w:ascii="Arial" w:hAnsi="Arial"/>
          <w:sz w:val="21"/>
          <w:szCs w:val="21"/>
        </w:rPr>
        <w:t xml:space="preserve"> </w:t>
      </w:r>
      <w:r w:rsidR="00AB2DAE" w:rsidRPr="006B5D6F">
        <w:rPr>
          <w:rFonts w:ascii="Arial" w:hAnsi="Arial"/>
          <w:sz w:val="21"/>
          <w:szCs w:val="21"/>
        </w:rPr>
        <w:t xml:space="preserve">– </w:t>
      </w:r>
      <w:r w:rsidR="00C46AC5" w:rsidRPr="006B5D6F">
        <w:rPr>
          <w:rFonts w:ascii="Arial" w:hAnsi="Arial"/>
          <w:sz w:val="21"/>
          <w:szCs w:val="21"/>
        </w:rPr>
        <w:t xml:space="preserve">adequacy and </w:t>
      </w:r>
      <w:r w:rsidR="00AB2DAE" w:rsidRPr="006B5D6F">
        <w:rPr>
          <w:rFonts w:ascii="Arial" w:hAnsi="Arial"/>
          <w:sz w:val="21"/>
          <w:szCs w:val="21"/>
        </w:rPr>
        <w:t>sustainability</w:t>
      </w:r>
      <w:r w:rsidR="00C46AC5" w:rsidRPr="006B5D6F">
        <w:rPr>
          <w:rFonts w:ascii="Arial" w:hAnsi="Arial"/>
          <w:sz w:val="21"/>
          <w:szCs w:val="21"/>
        </w:rPr>
        <w:t>/</w:t>
      </w:r>
      <w:r w:rsidR="00AB2DAE" w:rsidRPr="006B5D6F">
        <w:rPr>
          <w:rFonts w:ascii="Arial" w:hAnsi="Arial"/>
          <w:sz w:val="21"/>
          <w:szCs w:val="21"/>
        </w:rPr>
        <w:t xml:space="preserve">finances. </w:t>
      </w:r>
      <w:r w:rsidR="00C46AC5" w:rsidRPr="006B5D6F">
        <w:rPr>
          <w:rFonts w:ascii="Arial" w:hAnsi="Arial"/>
          <w:sz w:val="21"/>
          <w:szCs w:val="21"/>
        </w:rPr>
        <w:t xml:space="preserve">There is also </w:t>
      </w:r>
      <w:r w:rsidR="00AB2DAE" w:rsidRPr="006B5D6F">
        <w:rPr>
          <w:rFonts w:ascii="Arial" w:hAnsi="Arial"/>
          <w:sz w:val="21"/>
          <w:szCs w:val="21"/>
        </w:rPr>
        <w:t xml:space="preserve">a </w:t>
      </w:r>
      <w:r w:rsidR="00C46AC5" w:rsidRPr="006B5D6F">
        <w:rPr>
          <w:rFonts w:ascii="Arial" w:hAnsi="Arial"/>
          <w:sz w:val="21"/>
          <w:szCs w:val="21"/>
        </w:rPr>
        <w:t>group of indicators dealing with number of pensioners and coverage. Group of indicators on adequacy is divided into the group analyzing adequacy of elderly income, which implicitly includes pension system generosity and coverage, and group of indicators focusing solely</w:t>
      </w:r>
      <w:r w:rsidR="00AB2DAE" w:rsidRPr="006B5D6F">
        <w:rPr>
          <w:rFonts w:ascii="Arial" w:hAnsi="Arial"/>
          <w:sz w:val="21"/>
          <w:szCs w:val="21"/>
        </w:rPr>
        <w:t xml:space="preserve"> on pension system generosity. </w:t>
      </w:r>
      <w:r w:rsidR="00C46AC5" w:rsidRPr="006B5D6F">
        <w:rPr>
          <w:rFonts w:ascii="Arial" w:hAnsi="Arial"/>
          <w:sz w:val="21"/>
          <w:szCs w:val="21"/>
        </w:rPr>
        <w:t xml:space="preserve">These indicators are further divided into those measuring poverty reduction/preventions, those measuring relative income and income replacement, and those dealing with income inequalities, </w:t>
      </w:r>
      <w:r w:rsidR="00AB2DAE" w:rsidRPr="006B5D6F">
        <w:rPr>
          <w:rFonts w:ascii="Arial" w:hAnsi="Arial"/>
          <w:sz w:val="21"/>
          <w:szCs w:val="21"/>
        </w:rPr>
        <w:t xml:space="preserve">and </w:t>
      </w:r>
      <w:r w:rsidR="00C46AC5" w:rsidRPr="006B5D6F">
        <w:rPr>
          <w:rFonts w:ascii="Arial" w:hAnsi="Arial"/>
          <w:sz w:val="21"/>
          <w:szCs w:val="21"/>
        </w:rPr>
        <w:t xml:space="preserve">gender inequalities in particular. </w:t>
      </w:r>
      <w:r w:rsidR="00344FED" w:rsidRPr="006B5D6F">
        <w:rPr>
          <w:rFonts w:ascii="Arial" w:hAnsi="Arial"/>
          <w:sz w:val="21"/>
          <w:szCs w:val="21"/>
        </w:rPr>
        <w:t xml:space="preserve">All of performance indicators can be primary or secondary. </w:t>
      </w:r>
    </w:p>
    <w:p w14:paraId="6C00570E" w14:textId="77777777" w:rsidR="00230690" w:rsidRPr="006B5D6F" w:rsidRDefault="00344FED" w:rsidP="006B5D6F">
      <w:pPr>
        <w:spacing w:after="240" w:line="360" w:lineRule="auto"/>
        <w:jc w:val="both"/>
        <w:rPr>
          <w:rFonts w:ascii="Arial" w:hAnsi="Arial"/>
          <w:sz w:val="21"/>
          <w:szCs w:val="21"/>
        </w:rPr>
      </w:pPr>
      <w:r w:rsidRPr="006B5D6F">
        <w:rPr>
          <w:rFonts w:ascii="Arial" w:hAnsi="Arial"/>
          <w:sz w:val="21"/>
          <w:szCs w:val="21"/>
        </w:rPr>
        <w:t>Performance indicator basically consist</w:t>
      </w:r>
      <w:r w:rsidR="00AB2DAE" w:rsidRPr="006B5D6F">
        <w:rPr>
          <w:rFonts w:ascii="Arial" w:hAnsi="Arial"/>
          <w:sz w:val="21"/>
          <w:szCs w:val="21"/>
        </w:rPr>
        <w:t>s</w:t>
      </w:r>
      <w:r w:rsidRPr="006B5D6F">
        <w:rPr>
          <w:rFonts w:ascii="Arial" w:hAnsi="Arial"/>
          <w:sz w:val="21"/>
          <w:szCs w:val="21"/>
        </w:rPr>
        <w:t xml:space="preserve"> of EU indicators and country specific indicators. </w:t>
      </w:r>
      <w:r w:rsidR="00CC33DF" w:rsidRPr="006B5D6F">
        <w:rPr>
          <w:rFonts w:ascii="Arial" w:hAnsi="Arial"/>
          <w:sz w:val="21"/>
          <w:szCs w:val="21"/>
        </w:rPr>
        <w:t>Source</w:t>
      </w:r>
      <w:r w:rsidRPr="006B5D6F">
        <w:rPr>
          <w:rFonts w:ascii="Arial" w:hAnsi="Arial"/>
          <w:sz w:val="21"/>
          <w:szCs w:val="21"/>
        </w:rPr>
        <w:t xml:space="preserve"> of data</w:t>
      </w:r>
      <w:r w:rsidR="00CC33DF" w:rsidRPr="006B5D6F">
        <w:rPr>
          <w:rFonts w:ascii="Arial" w:hAnsi="Arial"/>
          <w:sz w:val="21"/>
          <w:szCs w:val="21"/>
        </w:rPr>
        <w:t xml:space="preserve"> for </w:t>
      </w:r>
      <w:r w:rsidRPr="006B5D6F">
        <w:rPr>
          <w:rFonts w:ascii="Arial" w:hAnsi="Arial"/>
          <w:sz w:val="21"/>
          <w:szCs w:val="21"/>
        </w:rPr>
        <w:t>EU indicators is</w:t>
      </w:r>
      <w:r w:rsidR="00C46AC5" w:rsidRPr="006B5D6F">
        <w:rPr>
          <w:rFonts w:ascii="Arial" w:hAnsi="Arial"/>
          <w:sz w:val="21"/>
          <w:szCs w:val="21"/>
        </w:rPr>
        <w:t xml:space="preserve"> </w:t>
      </w:r>
      <w:r w:rsidR="00CC33DF" w:rsidRPr="006B5D6F">
        <w:rPr>
          <w:rFonts w:ascii="Arial" w:hAnsi="Arial"/>
          <w:sz w:val="21"/>
          <w:szCs w:val="21"/>
        </w:rPr>
        <w:t>EU-SILC</w:t>
      </w:r>
      <w:r w:rsidRPr="006B5D6F">
        <w:rPr>
          <w:rFonts w:ascii="Arial" w:hAnsi="Arial"/>
          <w:sz w:val="21"/>
          <w:szCs w:val="21"/>
        </w:rPr>
        <w:t xml:space="preserve"> and a</w:t>
      </w:r>
      <w:r w:rsidR="00CC33DF" w:rsidRPr="006B5D6F">
        <w:rPr>
          <w:rFonts w:ascii="Arial" w:hAnsi="Arial"/>
          <w:sz w:val="21"/>
          <w:szCs w:val="21"/>
        </w:rPr>
        <w:t xml:space="preserve">ll of the indicators are available at </w:t>
      </w:r>
      <w:r w:rsidR="00AB2DAE" w:rsidRPr="006B5D6F">
        <w:rPr>
          <w:rFonts w:ascii="Arial" w:hAnsi="Arial"/>
          <w:sz w:val="21"/>
          <w:szCs w:val="21"/>
        </w:rPr>
        <w:t xml:space="preserve">Eurostat </w:t>
      </w:r>
      <w:r w:rsidR="00CC33DF" w:rsidRPr="006B5D6F">
        <w:rPr>
          <w:rFonts w:ascii="Arial" w:hAnsi="Arial"/>
          <w:sz w:val="21"/>
          <w:szCs w:val="21"/>
        </w:rPr>
        <w:t xml:space="preserve">since 2013. </w:t>
      </w:r>
      <w:r w:rsidR="00230690" w:rsidRPr="006B5D6F">
        <w:rPr>
          <w:rFonts w:ascii="Arial" w:hAnsi="Arial"/>
          <w:sz w:val="21"/>
          <w:szCs w:val="21"/>
        </w:rPr>
        <w:t xml:space="preserve">Main sources for </w:t>
      </w:r>
      <w:r w:rsidRPr="006B5D6F">
        <w:rPr>
          <w:rFonts w:ascii="Arial" w:hAnsi="Arial"/>
          <w:sz w:val="21"/>
          <w:szCs w:val="21"/>
        </w:rPr>
        <w:t>country-specific indicators</w:t>
      </w:r>
      <w:r w:rsidR="00230690" w:rsidRPr="006B5D6F">
        <w:rPr>
          <w:rFonts w:ascii="Arial" w:hAnsi="Arial"/>
          <w:sz w:val="21"/>
          <w:szCs w:val="21"/>
        </w:rPr>
        <w:t xml:space="preserve"> are admin</w:t>
      </w:r>
      <w:r w:rsidRPr="006B5D6F">
        <w:rPr>
          <w:rFonts w:ascii="Arial" w:hAnsi="Arial"/>
          <w:sz w:val="21"/>
          <w:szCs w:val="21"/>
        </w:rPr>
        <w:t xml:space="preserve">istrative data from PIO fond, often published in PIO </w:t>
      </w:r>
      <w:r w:rsidR="00AB2DAE" w:rsidRPr="006B5D6F">
        <w:rPr>
          <w:rFonts w:ascii="Arial" w:hAnsi="Arial"/>
          <w:sz w:val="21"/>
          <w:szCs w:val="21"/>
        </w:rPr>
        <w:t xml:space="preserve">Fund Bulletin </w:t>
      </w:r>
      <w:r w:rsidRPr="006B5D6F">
        <w:rPr>
          <w:rFonts w:ascii="Arial" w:hAnsi="Arial"/>
          <w:sz w:val="21"/>
          <w:szCs w:val="21"/>
        </w:rPr>
        <w:t xml:space="preserve">but in many cases additional processing and calculations are needed. </w:t>
      </w:r>
    </w:p>
    <w:p w14:paraId="64189BEF" w14:textId="77777777" w:rsidR="009F036E" w:rsidRPr="006B5D6F" w:rsidRDefault="00C929B6" w:rsidP="006B5D6F">
      <w:pPr>
        <w:pStyle w:val="ListParagraph"/>
        <w:spacing w:after="240" w:line="360" w:lineRule="auto"/>
        <w:ind w:left="0"/>
        <w:contextualSpacing w:val="0"/>
        <w:jc w:val="both"/>
        <w:rPr>
          <w:rFonts w:ascii="Arial" w:hAnsi="Arial"/>
          <w:sz w:val="21"/>
          <w:szCs w:val="21"/>
        </w:rPr>
      </w:pPr>
      <w:r w:rsidRPr="006B5D6F">
        <w:rPr>
          <w:rFonts w:ascii="Arial" w:hAnsi="Arial"/>
          <w:sz w:val="21"/>
          <w:szCs w:val="21"/>
        </w:rPr>
        <w:t>T</w:t>
      </w:r>
      <w:r w:rsidR="00344FED" w:rsidRPr="006B5D6F">
        <w:rPr>
          <w:rFonts w:ascii="Arial" w:hAnsi="Arial"/>
          <w:sz w:val="21"/>
          <w:szCs w:val="21"/>
        </w:rPr>
        <w:t xml:space="preserve">here is </w:t>
      </w:r>
      <w:r w:rsidRPr="006B5D6F">
        <w:rPr>
          <w:rFonts w:ascii="Arial" w:hAnsi="Arial"/>
          <w:sz w:val="21"/>
          <w:szCs w:val="21"/>
        </w:rPr>
        <w:t xml:space="preserve">also </w:t>
      </w:r>
      <w:r w:rsidR="00344FED" w:rsidRPr="006B5D6F">
        <w:rPr>
          <w:rFonts w:ascii="Arial" w:hAnsi="Arial"/>
          <w:sz w:val="21"/>
          <w:szCs w:val="21"/>
        </w:rPr>
        <w:t xml:space="preserve">a group of indicators dubbed </w:t>
      </w:r>
      <w:r w:rsidR="00D31208" w:rsidRPr="006B5D6F">
        <w:rPr>
          <w:rFonts w:ascii="Arial" w:hAnsi="Arial"/>
          <w:b/>
          <w:sz w:val="21"/>
          <w:szCs w:val="21"/>
        </w:rPr>
        <w:t xml:space="preserve">other </w:t>
      </w:r>
      <w:r w:rsidR="0050340E" w:rsidRPr="006B5D6F">
        <w:rPr>
          <w:rFonts w:ascii="Arial" w:hAnsi="Arial"/>
          <w:b/>
          <w:sz w:val="21"/>
          <w:szCs w:val="21"/>
        </w:rPr>
        <w:t>indicators</w:t>
      </w:r>
      <w:r w:rsidR="00344FED" w:rsidRPr="006B5D6F">
        <w:rPr>
          <w:rFonts w:ascii="Arial" w:hAnsi="Arial"/>
          <w:b/>
          <w:i/>
          <w:sz w:val="21"/>
          <w:szCs w:val="21"/>
        </w:rPr>
        <w:t xml:space="preserve">. </w:t>
      </w:r>
      <w:r w:rsidR="00AB6970" w:rsidRPr="006B5D6F">
        <w:rPr>
          <w:rFonts w:ascii="Arial" w:hAnsi="Arial"/>
          <w:sz w:val="21"/>
          <w:szCs w:val="21"/>
        </w:rPr>
        <w:t>The</w:t>
      </w:r>
      <w:r w:rsidR="00344FED" w:rsidRPr="006B5D6F">
        <w:rPr>
          <w:rFonts w:ascii="Arial" w:hAnsi="Arial"/>
          <w:sz w:val="21"/>
          <w:szCs w:val="21"/>
        </w:rPr>
        <w:t>se</w:t>
      </w:r>
      <w:r w:rsidR="00AB6970" w:rsidRPr="006B5D6F">
        <w:rPr>
          <w:rFonts w:ascii="Arial" w:hAnsi="Arial"/>
          <w:sz w:val="21"/>
          <w:szCs w:val="21"/>
        </w:rPr>
        <w:t xml:space="preserve"> </w:t>
      </w:r>
      <w:r w:rsidR="00F24227" w:rsidRPr="006B5D6F">
        <w:rPr>
          <w:rFonts w:ascii="Arial" w:hAnsi="Arial"/>
          <w:sz w:val="21"/>
          <w:szCs w:val="21"/>
        </w:rPr>
        <w:t>are a</w:t>
      </w:r>
      <w:r w:rsidR="00AB6970" w:rsidRPr="006B5D6F">
        <w:rPr>
          <w:rFonts w:ascii="Arial" w:hAnsi="Arial"/>
          <w:sz w:val="21"/>
          <w:szCs w:val="21"/>
        </w:rPr>
        <w:t xml:space="preserve"> few </w:t>
      </w:r>
      <w:r w:rsidR="00344FED" w:rsidRPr="006B5D6F">
        <w:rPr>
          <w:rFonts w:ascii="Arial" w:hAnsi="Arial"/>
          <w:sz w:val="21"/>
          <w:szCs w:val="21"/>
        </w:rPr>
        <w:t xml:space="preserve">EU </w:t>
      </w:r>
      <w:r w:rsidR="00AB6970" w:rsidRPr="006B5D6F">
        <w:rPr>
          <w:rFonts w:ascii="Arial" w:hAnsi="Arial"/>
          <w:sz w:val="21"/>
          <w:szCs w:val="21"/>
        </w:rPr>
        <w:t xml:space="preserve">indicators that are left </w:t>
      </w:r>
      <w:r w:rsidR="00344FED" w:rsidRPr="006B5D6F">
        <w:rPr>
          <w:rFonts w:ascii="Arial" w:hAnsi="Arial"/>
          <w:sz w:val="21"/>
          <w:szCs w:val="21"/>
        </w:rPr>
        <w:t>out</w:t>
      </w:r>
      <w:r w:rsidR="00AB6970" w:rsidRPr="006B5D6F">
        <w:rPr>
          <w:rFonts w:ascii="Arial" w:hAnsi="Arial"/>
          <w:sz w:val="21"/>
          <w:szCs w:val="21"/>
        </w:rPr>
        <w:t xml:space="preserve"> as they are not really applicable for the Serbian circumstances. </w:t>
      </w:r>
      <w:r w:rsidR="006F52FE" w:rsidRPr="006B5D6F">
        <w:rPr>
          <w:rFonts w:ascii="Arial" w:hAnsi="Arial"/>
          <w:sz w:val="21"/>
          <w:szCs w:val="21"/>
        </w:rPr>
        <w:t xml:space="preserve">For example, change in TRR, although </w:t>
      </w:r>
      <w:r w:rsidR="00AB2DAE" w:rsidRPr="006B5D6F">
        <w:rPr>
          <w:rFonts w:ascii="Arial" w:hAnsi="Arial"/>
          <w:sz w:val="21"/>
          <w:szCs w:val="21"/>
        </w:rPr>
        <w:t xml:space="preserve">being a </w:t>
      </w:r>
      <w:r w:rsidR="006F52FE" w:rsidRPr="006B5D6F">
        <w:rPr>
          <w:rFonts w:ascii="Arial" w:hAnsi="Arial"/>
          <w:sz w:val="21"/>
          <w:szCs w:val="21"/>
        </w:rPr>
        <w:t xml:space="preserve">primary EU indicator, has not taken into the core list of indicators due to uncertainty and lack of vision when it comes to general point indexation. </w:t>
      </w:r>
      <w:r w:rsidRPr="006B5D6F">
        <w:rPr>
          <w:rFonts w:ascii="Arial" w:hAnsi="Arial"/>
          <w:sz w:val="21"/>
          <w:szCs w:val="21"/>
        </w:rPr>
        <w:t xml:space="preserve">Same situation is with the indicator Projection of pension expenditure and its decomposition. </w:t>
      </w:r>
      <w:r w:rsidR="006F52FE" w:rsidRPr="006B5D6F">
        <w:rPr>
          <w:rFonts w:ascii="Arial" w:hAnsi="Arial"/>
          <w:sz w:val="21"/>
          <w:szCs w:val="21"/>
        </w:rPr>
        <w:t>Employment</w:t>
      </w:r>
      <w:r w:rsidR="00344FED" w:rsidRPr="006B5D6F">
        <w:rPr>
          <w:rFonts w:ascii="Arial" w:hAnsi="Arial"/>
          <w:sz w:val="21"/>
          <w:szCs w:val="21"/>
        </w:rPr>
        <w:t xml:space="preserve"> rate (LFS source)</w:t>
      </w:r>
      <w:r w:rsidR="00AB2DAE" w:rsidRPr="006B5D6F">
        <w:rPr>
          <w:rFonts w:ascii="Arial" w:hAnsi="Arial"/>
          <w:sz w:val="21"/>
          <w:szCs w:val="21"/>
        </w:rPr>
        <w:t>,</w:t>
      </w:r>
      <w:r w:rsidR="00344FED" w:rsidRPr="006B5D6F">
        <w:rPr>
          <w:rFonts w:ascii="Arial" w:hAnsi="Arial"/>
          <w:sz w:val="21"/>
          <w:szCs w:val="21"/>
        </w:rPr>
        <w:t xml:space="preserve"> although primary indicator in EU and naturally important indicator of sustainability, is not as relevant </w:t>
      </w:r>
      <w:r w:rsidR="00AB2DAE" w:rsidRPr="006B5D6F">
        <w:rPr>
          <w:rFonts w:ascii="Arial" w:hAnsi="Arial"/>
          <w:sz w:val="21"/>
          <w:szCs w:val="21"/>
        </w:rPr>
        <w:t xml:space="preserve">in Serbian context </w:t>
      </w:r>
      <w:r w:rsidR="00344FED" w:rsidRPr="006B5D6F">
        <w:rPr>
          <w:rFonts w:ascii="Arial" w:hAnsi="Arial"/>
          <w:sz w:val="21"/>
          <w:szCs w:val="21"/>
        </w:rPr>
        <w:t>due to two factors– grey economy and underreporting, as well as agricultural worker that are not r</w:t>
      </w:r>
      <w:r w:rsidR="00AB2DAE" w:rsidRPr="006B5D6F">
        <w:rPr>
          <w:rFonts w:ascii="Arial" w:hAnsi="Arial"/>
          <w:sz w:val="21"/>
          <w:szCs w:val="21"/>
        </w:rPr>
        <w:t xml:space="preserve">egularly paying contributions. </w:t>
      </w:r>
      <w:r w:rsidR="00344FED" w:rsidRPr="006B5D6F">
        <w:rPr>
          <w:rFonts w:ascii="Arial" w:hAnsi="Arial"/>
          <w:sz w:val="21"/>
          <w:szCs w:val="21"/>
        </w:rPr>
        <w:t xml:space="preserve">Hence, it is more a indicator of potential number </w:t>
      </w:r>
      <w:r w:rsidR="00344FED" w:rsidRPr="006B5D6F">
        <w:rPr>
          <w:rFonts w:ascii="Arial" w:hAnsi="Arial"/>
          <w:sz w:val="21"/>
          <w:szCs w:val="21"/>
        </w:rPr>
        <w:lastRenderedPageBreak/>
        <w:t>of contributors under changes of some circumstances (tax policy, administration etc.). Therefore, this indicator is not considered as a primary (nor secondary) indicator of financial sustainability, but is left in the group of context information</w:t>
      </w:r>
      <w:r w:rsidRPr="006B5D6F">
        <w:rPr>
          <w:rFonts w:ascii="Arial" w:hAnsi="Arial"/>
          <w:sz w:val="21"/>
          <w:szCs w:val="21"/>
        </w:rPr>
        <w:t xml:space="preserve"> and in the group of other indicators</w:t>
      </w:r>
      <w:r w:rsidR="00344FED" w:rsidRPr="006B5D6F">
        <w:rPr>
          <w:rFonts w:ascii="Arial" w:hAnsi="Arial"/>
          <w:sz w:val="21"/>
          <w:szCs w:val="21"/>
        </w:rPr>
        <w:t xml:space="preserve">. </w:t>
      </w:r>
      <w:r w:rsidRPr="006B5D6F">
        <w:rPr>
          <w:rFonts w:ascii="Arial" w:hAnsi="Arial"/>
          <w:sz w:val="21"/>
          <w:szCs w:val="21"/>
        </w:rPr>
        <w:t>So</w:t>
      </w:r>
      <w:r w:rsidR="0051209F" w:rsidRPr="006B5D6F">
        <w:rPr>
          <w:rFonts w:ascii="Arial" w:hAnsi="Arial"/>
          <w:sz w:val="21"/>
          <w:szCs w:val="21"/>
        </w:rPr>
        <w:t>,</w:t>
      </w:r>
      <w:r w:rsidRPr="006B5D6F">
        <w:rPr>
          <w:rFonts w:ascii="Arial" w:hAnsi="Arial"/>
          <w:sz w:val="21"/>
          <w:szCs w:val="21"/>
        </w:rPr>
        <w:t xml:space="preserve"> the idea was to not to completely leave out EU indicators, but to show which of those are not adequate for circumstances</w:t>
      </w:r>
      <w:r w:rsidR="0051209F" w:rsidRPr="006B5D6F">
        <w:rPr>
          <w:rFonts w:ascii="Arial" w:hAnsi="Arial"/>
          <w:sz w:val="21"/>
          <w:szCs w:val="21"/>
        </w:rPr>
        <w:t xml:space="preserve"> in Serbia</w:t>
      </w:r>
      <w:r w:rsidRPr="006B5D6F">
        <w:rPr>
          <w:rFonts w:ascii="Arial" w:hAnsi="Arial"/>
          <w:sz w:val="21"/>
          <w:szCs w:val="21"/>
        </w:rPr>
        <w:t xml:space="preserve">. </w:t>
      </w:r>
    </w:p>
    <w:p w14:paraId="1F2316BD" w14:textId="77777777" w:rsidR="00230690" w:rsidRPr="006B5D6F" w:rsidRDefault="00344FED" w:rsidP="006B5D6F">
      <w:pPr>
        <w:pStyle w:val="ListParagraph"/>
        <w:spacing w:after="240" w:line="360" w:lineRule="auto"/>
        <w:ind w:left="0"/>
        <w:contextualSpacing w:val="0"/>
        <w:jc w:val="both"/>
        <w:rPr>
          <w:rFonts w:ascii="Arial" w:hAnsi="Arial"/>
          <w:sz w:val="21"/>
          <w:szCs w:val="21"/>
        </w:rPr>
      </w:pPr>
      <w:r w:rsidRPr="006B5D6F">
        <w:rPr>
          <w:rFonts w:ascii="Arial" w:hAnsi="Arial"/>
          <w:sz w:val="21"/>
          <w:szCs w:val="21"/>
        </w:rPr>
        <w:t xml:space="preserve">Finally, </w:t>
      </w:r>
      <w:r w:rsidR="00CE7032" w:rsidRPr="006B5D6F">
        <w:rPr>
          <w:rFonts w:ascii="Arial" w:hAnsi="Arial"/>
          <w:sz w:val="21"/>
          <w:szCs w:val="21"/>
        </w:rPr>
        <w:t xml:space="preserve">private pensions </w:t>
      </w:r>
      <w:r w:rsidRPr="006B5D6F">
        <w:rPr>
          <w:rFonts w:ascii="Arial" w:hAnsi="Arial"/>
          <w:sz w:val="21"/>
          <w:szCs w:val="21"/>
        </w:rPr>
        <w:t xml:space="preserve">should </w:t>
      </w:r>
      <w:r w:rsidR="00CE7032" w:rsidRPr="006B5D6F">
        <w:rPr>
          <w:rFonts w:ascii="Arial" w:hAnsi="Arial"/>
          <w:sz w:val="21"/>
          <w:szCs w:val="21"/>
        </w:rPr>
        <w:t xml:space="preserve">be </w:t>
      </w:r>
      <w:r w:rsidRPr="006B5D6F">
        <w:rPr>
          <w:rFonts w:ascii="Arial" w:hAnsi="Arial"/>
          <w:sz w:val="21"/>
          <w:szCs w:val="21"/>
        </w:rPr>
        <w:t>mention</w:t>
      </w:r>
      <w:r w:rsidR="00CE7032" w:rsidRPr="006B5D6F">
        <w:rPr>
          <w:rFonts w:ascii="Arial" w:hAnsi="Arial"/>
          <w:sz w:val="21"/>
          <w:szCs w:val="21"/>
        </w:rPr>
        <w:t>ed,</w:t>
      </w:r>
      <w:r w:rsidRPr="006B5D6F">
        <w:rPr>
          <w:rFonts w:ascii="Arial" w:hAnsi="Arial"/>
          <w:sz w:val="21"/>
          <w:szCs w:val="21"/>
        </w:rPr>
        <w:t xml:space="preserve"> for which </w:t>
      </w:r>
      <w:r w:rsidR="00230690" w:rsidRPr="006B5D6F">
        <w:rPr>
          <w:rFonts w:ascii="Arial" w:hAnsi="Arial"/>
          <w:sz w:val="21"/>
          <w:szCs w:val="21"/>
        </w:rPr>
        <w:t>legislative framework exist</w:t>
      </w:r>
      <w:r w:rsidR="00CE7032" w:rsidRPr="006B5D6F">
        <w:rPr>
          <w:rFonts w:ascii="Arial" w:hAnsi="Arial"/>
          <w:sz w:val="21"/>
          <w:szCs w:val="21"/>
        </w:rPr>
        <w:t>s</w:t>
      </w:r>
      <w:r w:rsidR="00230690" w:rsidRPr="006B5D6F">
        <w:rPr>
          <w:rFonts w:ascii="Arial" w:hAnsi="Arial"/>
          <w:sz w:val="21"/>
          <w:szCs w:val="21"/>
        </w:rPr>
        <w:t xml:space="preserve"> </w:t>
      </w:r>
      <w:r w:rsidR="00CE7032" w:rsidRPr="006B5D6F">
        <w:rPr>
          <w:rFonts w:ascii="Arial" w:hAnsi="Arial"/>
          <w:sz w:val="21"/>
          <w:szCs w:val="21"/>
        </w:rPr>
        <w:t xml:space="preserve">in Serbia </w:t>
      </w:r>
      <w:r w:rsidR="00230690" w:rsidRPr="006B5D6F">
        <w:rPr>
          <w:rFonts w:ascii="Arial" w:hAnsi="Arial"/>
          <w:sz w:val="21"/>
          <w:szCs w:val="21"/>
        </w:rPr>
        <w:t>sin</w:t>
      </w:r>
      <w:r w:rsidR="009068E4" w:rsidRPr="006B5D6F">
        <w:rPr>
          <w:rFonts w:ascii="Arial" w:hAnsi="Arial"/>
          <w:sz w:val="21"/>
          <w:szCs w:val="21"/>
        </w:rPr>
        <w:t>c</w:t>
      </w:r>
      <w:r w:rsidR="00230690" w:rsidRPr="006B5D6F">
        <w:rPr>
          <w:rFonts w:ascii="Arial" w:hAnsi="Arial"/>
          <w:sz w:val="21"/>
          <w:szCs w:val="21"/>
        </w:rPr>
        <w:t xml:space="preserve">e 2005. However, </w:t>
      </w:r>
      <w:r w:rsidR="00C929B6" w:rsidRPr="006B5D6F">
        <w:rPr>
          <w:rFonts w:ascii="Arial" w:hAnsi="Arial"/>
          <w:sz w:val="21"/>
          <w:szCs w:val="21"/>
        </w:rPr>
        <w:t xml:space="preserve">since </w:t>
      </w:r>
      <w:r w:rsidR="00230690" w:rsidRPr="006B5D6F">
        <w:rPr>
          <w:rFonts w:ascii="Arial" w:hAnsi="Arial"/>
          <w:sz w:val="21"/>
          <w:szCs w:val="21"/>
        </w:rPr>
        <w:t>this sector is negligible</w:t>
      </w:r>
      <w:r w:rsidR="00CE7032" w:rsidRPr="006B5D6F">
        <w:rPr>
          <w:rFonts w:ascii="Arial" w:hAnsi="Arial"/>
          <w:sz w:val="21"/>
          <w:szCs w:val="21"/>
        </w:rPr>
        <w:t>,</w:t>
      </w:r>
      <w:r w:rsidR="00C929B6" w:rsidRPr="006B5D6F">
        <w:rPr>
          <w:rFonts w:ascii="Arial" w:hAnsi="Arial"/>
          <w:sz w:val="21"/>
          <w:szCs w:val="21"/>
        </w:rPr>
        <w:t xml:space="preserve"> </w:t>
      </w:r>
      <w:r w:rsidR="00230690" w:rsidRPr="006B5D6F">
        <w:rPr>
          <w:rFonts w:ascii="Arial" w:hAnsi="Arial"/>
          <w:sz w:val="21"/>
          <w:szCs w:val="21"/>
        </w:rPr>
        <w:t xml:space="preserve">inclusion of the indicators measuring private pensions </w:t>
      </w:r>
      <w:r w:rsidR="009068E4" w:rsidRPr="006B5D6F">
        <w:rPr>
          <w:rFonts w:ascii="Arial" w:hAnsi="Arial"/>
          <w:sz w:val="21"/>
          <w:szCs w:val="21"/>
        </w:rPr>
        <w:t xml:space="preserve">is not included. </w:t>
      </w:r>
    </w:p>
    <w:p w14:paraId="202C0E41" w14:textId="77777777" w:rsidR="00007396" w:rsidRPr="006B5D6F" w:rsidRDefault="0099383F" w:rsidP="006B5D6F">
      <w:pPr>
        <w:pStyle w:val="ListParagraph"/>
        <w:spacing w:after="240" w:line="360" w:lineRule="auto"/>
        <w:ind w:left="0"/>
        <w:jc w:val="both"/>
        <w:rPr>
          <w:rFonts w:ascii="Arial" w:hAnsi="Arial"/>
          <w:sz w:val="21"/>
          <w:szCs w:val="21"/>
        </w:rPr>
      </w:pPr>
      <w:r w:rsidRPr="006B5D6F">
        <w:rPr>
          <w:rFonts w:ascii="Arial" w:hAnsi="Arial"/>
          <w:sz w:val="21"/>
          <w:szCs w:val="21"/>
        </w:rPr>
        <w:t xml:space="preserve">Proposed indicators </w:t>
      </w:r>
      <w:r w:rsidR="00F12C64" w:rsidRPr="006B5D6F">
        <w:rPr>
          <w:rFonts w:ascii="Arial" w:hAnsi="Arial"/>
          <w:sz w:val="21"/>
          <w:szCs w:val="21"/>
        </w:rPr>
        <w:t xml:space="preserve">are sorted in </w:t>
      </w:r>
      <w:r w:rsidR="00CE7032" w:rsidRPr="006B5D6F">
        <w:rPr>
          <w:rFonts w:ascii="Arial" w:hAnsi="Arial"/>
          <w:sz w:val="21"/>
          <w:szCs w:val="21"/>
        </w:rPr>
        <w:t xml:space="preserve">the </w:t>
      </w:r>
      <w:r w:rsidRPr="006B5D6F">
        <w:rPr>
          <w:rFonts w:ascii="Arial" w:hAnsi="Arial"/>
          <w:sz w:val="21"/>
          <w:szCs w:val="21"/>
        </w:rPr>
        <w:t>following</w:t>
      </w:r>
      <w:r w:rsidR="00F12C64" w:rsidRPr="006B5D6F">
        <w:rPr>
          <w:rFonts w:ascii="Arial" w:hAnsi="Arial"/>
          <w:sz w:val="21"/>
          <w:szCs w:val="21"/>
        </w:rPr>
        <w:t xml:space="preserve"> groups</w:t>
      </w:r>
      <w:r w:rsidRPr="006B5D6F">
        <w:rPr>
          <w:rFonts w:ascii="Arial" w:hAnsi="Arial"/>
          <w:sz w:val="21"/>
          <w:szCs w:val="21"/>
        </w:rPr>
        <w:t>:</w:t>
      </w:r>
      <w:r w:rsidR="00D22E12" w:rsidRPr="006B5D6F">
        <w:rPr>
          <w:rFonts w:ascii="Arial" w:hAnsi="Arial"/>
          <w:sz w:val="21"/>
          <w:szCs w:val="21"/>
        </w:rPr>
        <w:t xml:space="preserve"> </w:t>
      </w:r>
    </w:p>
    <w:p w14:paraId="552B92ED" w14:textId="77777777" w:rsidR="00EA6D57" w:rsidRPr="006B5D6F" w:rsidRDefault="00EA6D57" w:rsidP="006B5D6F">
      <w:pPr>
        <w:spacing w:after="240" w:line="360" w:lineRule="auto"/>
        <w:rPr>
          <w:rFonts w:ascii="Arial" w:hAnsi="Arial" w:cstheme="majorHAnsi"/>
          <w:b/>
          <w:sz w:val="21"/>
          <w:szCs w:val="21"/>
        </w:rPr>
      </w:pPr>
      <w:r w:rsidRPr="006B5D6F">
        <w:rPr>
          <w:rFonts w:ascii="Arial" w:hAnsi="Arial" w:cstheme="majorHAnsi"/>
          <w:b/>
          <w:sz w:val="21"/>
          <w:szCs w:val="21"/>
        </w:rPr>
        <w:t>I</w:t>
      </w:r>
      <w:r w:rsidR="00237D2B" w:rsidRPr="006B5D6F">
        <w:rPr>
          <w:rFonts w:ascii="Arial" w:hAnsi="Arial" w:cstheme="majorHAnsi"/>
          <w:b/>
          <w:sz w:val="21"/>
          <w:szCs w:val="21"/>
        </w:rPr>
        <w:t xml:space="preserve"> – </w:t>
      </w:r>
      <w:r w:rsidRPr="006B5D6F">
        <w:rPr>
          <w:rFonts w:ascii="Arial" w:hAnsi="Arial" w:cstheme="majorHAnsi"/>
          <w:b/>
          <w:sz w:val="21"/>
          <w:szCs w:val="21"/>
        </w:rPr>
        <w:t>Overarching indicators</w:t>
      </w:r>
    </w:p>
    <w:p w14:paraId="03B07A99" w14:textId="77777777" w:rsidR="00EA6D57" w:rsidRPr="006B5D6F" w:rsidRDefault="00EA6D57" w:rsidP="006B5D6F">
      <w:pPr>
        <w:spacing w:after="240" w:line="360" w:lineRule="auto"/>
        <w:rPr>
          <w:rFonts w:ascii="Arial" w:hAnsi="Arial" w:cstheme="majorHAnsi"/>
          <w:b/>
          <w:sz w:val="21"/>
          <w:szCs w:val="21"/>
        </w:rPr>
      </w:pPr>
      <w:r w:rsidRPr="006B5D6F">
        <w:rPr>
          <w:rFonts w:ascii="Arial" w:hAnsi="Arial" w:cstheme="majorHAnsi"/>
          <w:b/>
          <w:sz w:val="21"/>
          <w:szCs w:val="21"/>
        </w:rPr>
        <w:t>II</w:t>
      </w:r>
      <w:r w:rsidR="00237D2B" w:rsidRPr="006B5D6F">
        <w:rPr>
          <w:rFonts w:ascii="Arial" w:hAnsi="Arial" w:cstheme="majorHAnsi"/>
          <w:b/>
          <w:sz w:val="21"/>
          <w:szCs w:val="21"/>
        </w:rPr>
        <w:t xml:space="preserve"> – </w:t>
      </w:r>
      <w:r w:rsidRPr="006B5D6F">
        <w:rPr>
          <w:rFonts w:ascii="Arial" w:hAnsi="Arial" w:cstheme="majorHAnsi"/>
          <w:b/>
          <w:sz w:val="21"/>
          <w:szCs w:val="21"/>
        </w:rPr>
        <w:t>Context information</w:t>
      </w:r>
    </w:p>
    <w:p w14:paraId="245BF3A9" w14:textId="77777777" w:rsidR="00EA6D57" w:rsidRPr="006B5D6F" w:rsidRDefault="009C2F4F" w:rsidP="006B5D6F">
      <w:pPr>
        <w:spacing w:after="240" w:line="360" w:lineRule="auto"/>
        <w:rPr>
          <w:rFonts w:ascii="Arial" w:hAnsi="Arial" w:cstheme="majorHAnsi"/>
          <w:b/>
          <w:sz w:val="21"/>
          <w:szCs w:val="21"/>
        </w:rPr>
      </w:pPr>
      <w:r w:rsidRPr="006B5D6F">
        <w:rPr>
          <w:rFonts w:ascii="Arial" w:hAnsi="Arial" w:cstheme="majorHAnsi"/>
          <w:b/>
          <w:sz w:val="21"/>
          <w:szCs w:val="21"/>
        </w:rPr>
        <w:t>III</w:t>
      </w:r>
      <w:r w:rsidR="00237D2B" w:rsidRPr="006B5D6F">
        <w:rPr>
          <w:rFonts w:ascii="Arial" w:hAnsi="Arial" w:cstheme="majorHAnsi"/>
          <w:b/>
          <w:sz w:val="21"/>
          <w:szCs w:val="21"/>
        </w:rPr>
        <w:t xml:space="preserve"> – </w:t>
      </w:r>
      <w:r w:rsidRPr="006B5D6F">
        <w:rPr>
          <w:rFonts w:ascii="Arial" w:hAnsi="Arial" w:cstheme="majorHAnsi"/>
          <w:b/>
          <w:sz w:val="21"/>
          <w:szCs w:val="21"/>
        </w:rPr>
        <w:t>Design information/indicators</w:t>
      </w:r>
    </w:p>
    <w:p w14:paraId="769F5715" w14:textId="77777777" w:rsidR="00EA6D57" w:rsidRPr="006B5D6F" w:rsidRDefault="00EA6D57" w:rsidP="006B5D6F">
      <w:pPr>
        <w:spacing w:after="240" w:line="360" w:lineRule="auto"/>
        <w:rPr>
          <w:rFonts w:ascii="Arial" w:hAnsi="Arial" w:cstheme="majorHAnsi"/>
          <w:b/>
          <w:sz w:val="21"/>
          <w:szCs w:val="21"/>
        </w:rPr>
      </w:pPr>
      <w:r w:rsidRPr="006B5D6F">
        <w:rPr>
          <w:rFonts w:ascii="Arial" w:hAnsi="Arial" w:cstheme="majorHAnsi"/>
          <w:b/>
          <w:sz w:val="21"/>
          <w:szCs w:val="21"/>
        </w:rPr>
        <w:t>IV</w:t>
      </w:r>
      <w:r w:rsidR="00237D2B" w:rsidRPr="006B5D6F">
        <w:rPr>
          <w:rFonts w:ascii="Arial" w:hAnsi="Arial" w:cstheme="majorHAnsi"/>
          <w:b/>
          <w:sz w:val="21"/>
          <w:szCs w:val="21"/>
        </w:rPr>
        <w:t xml:space="preserve"> – </w:t>
      </w:r>
      <w:r w:rsidRPr="006B5D6F">
        <w:rPr>
          <w:rFonts w:ascii="Arial" w:hAnsi="Arial" w:cstheme="majorHAnsi"/>
          <w:b/>
          <w:sz w:val="21"/>
          <w:szCs w:val="21"/>
        </w:rPr>
        <w:t>Performance</w:t>
      </w:r>
      <w:r w:rsidR="001635B1" w:rsidRPr="006B5D6F">
        <w:rPr>
          <w:rFonts w:ascii="Arial" w:hAnsi="Arial" w:cstheme="majorHAnsi"/>
          <w:b/>
          <w:sz w:val="21"/>
          <w:szCs w:val="21"/>
        </w:rPr>
        <w:t>/outcome</w:t>
      </w:r>
      <w:r w:rsidRPr="006B5D6F">
        <w:rPr>
          <w:rFonts w:ascii="Arial" w:hAnsi="Arial" w:cstheme="majorHAnsi"/>
          <w:b/>
          <w:sz w:val="21"/>
          <w:szCs w:val="21"/>
        </w:rPr>
        <w:t xml:space="preserve"> indicators</w:t>
      </w:r>
    </w:p>
    <w:p w14:paraId="59DCC5C6" w14:textId="77777777" w:rsidR="00802E76" w:rsidRPr="006B5D6F" w:rsidRDefault="00F12C64" w:rsidP="006B5D6F">
      <w:pPr>
        <w:spacing w:after="240" w:line="360" w:lineRule="auto"/>
        <w:ind w:firstLine="284"/>
        <w:rPr>
          <w:rFonts w:ascii="Arial" w:hAnsi="Arial" w:cstheme="majorHAnsi"/>
          <w:sz w:val="21"/>
          <w:szCs w:val="21"/>
        </w:rPr>
      </w:pPr>
      <w:r w:rsidRPr="006B5D6F">
        <w:rPr>
          <w:rFonts w:ascii="Arial" w:hAnsi="Arial" w:cstheme="majorHAnsi"/>
          <w:sz w:val="21"/>
          <w:szCs w:val="21"/>
        </w:rPr>
        <w:t>IVa</w:t>
      </w:r>
      <w:r w:rsidR="00237D2B" w:rsidRPr="006B5D6F">
        <w:rPr>
          <w:rFonts w:ascii="Arial" w:hAnsi="Arial" w:cstheme="majorHAnsi"/>
          <w:sz w:val="21"/>
          <w:szCs w:val="21"/>
        </w:rPr>
        <w:t xml:space="preserve"> –</w:t>
      </w:r>
      <w:r w:rsidR="00237D2B" w:rsidRPr="006B5D6F">
        <w:rPr>
          <w:rFonts w:ascii="Arial" w:hAnsi="Arial" w:cstheme="majorHAnsi"/>
          <w:b/>
          <w:sz w:val="21"/>
          <w:szCs w:val="21"/>
        </w:rPr>
        <w:t xml:space="preserve"> </w:t>
      </w:r>
      <w:r w:rsidR="00802E76" w:rsidRPr="006B5D6F">
        <w:rPr>
          <w:rFonts w:ascii="Arial" w:hAnsi="Arial" w:cstheme="majorHAnsi"/>
          <w:sz w:val="21"/>
          <w:szCs w:val="21"/>
        </w:rPr>
        <w:t>Number of pensioners and coverage</w:t>
      </w:r>
    </w:p>
    <w:p w14:paraId="059C3498" w14:textId="77777777" w:rsidR="00CF35C9" w:rsidRPr="006B5D6F" w:rsidRDefault="00F12C64" w:rsidP="006B5D6F">
      <w:pPr>
        <w:spacing w:after="240" w:line="360" w:lineRule="auto"/>
        <w:ind w:firstLine="284"/>
        <w:rPr>
          <w:rFonts w:ascii="Arial" w:hAnsi="Arial" w:cstheme="majorHAnsi"/>
          <w:sz w:val="21"/>
          <w:szCs w:val="21"/>
        </w:rPr>
      </w:pPr>
      <w:r w:rsidRPr="006B5D6F">
        <w:rPr>
          <w:rFonts w:ascii="Arial" w:hAnsi="Arial" w:cstheme="majorHAnsi"/>
          <w:sz w:val="21"/>
          <w:szCs w:val="21"/>
        </w:rPr>
        <w:t>IVb</w:t>
      </w:r>
      <w:r w:rsidR="00237D2B" w:rsidRPr="006B5D6F">
        <w:rPr>
          <w:rFonts w:ascii="Arial" w:hAnsi="Arial" w:cstheme="majorHAnsi"/>
          <w:sz w:val="21"/>
          <w:szCs w:val="21"/>
        </w:rPr>
        <w:t xml:space="preserve"> – </w:t>
      </w:r>
      <w:r w:rsidR="00CF35C9" w:rsidRPr="006B5D6F">
        <w:rPr>
          <w:rFonts w:ascii="Arial" w:hAnsi="Arial" w:cstheme="majorHAnsi"/>
          <w:sz w:val="21"/>
          <w:szCs w:val="21"/>
        </w:rPr>
        <w:t>Adequacy</w:t>
      </w:r>
    </w:p>
    <w:p w14:paraId="549A61C4" w14:textId="77777777" w:rsidR="00EA6D57" w:rsidRPr="006B5D6F" w:rsidRDefault="00CF35C9" w:rsidP="006B5D6F">
      <w:pPr>
        <w:pStyle w:val="ListParagraph"/>
        <w:numPr>
          <w:ilvl w:val="0"/>
          <w:numId w:val="2"/>
        </w:numPr>
        <w:spacing w:after="240" w:line="360" w:lineRule="auto"/>
        <w:ind w:left="851" w:hanging="283"/>
        <w:rPr>
          <w:rFonts w:ascii="Arial" w:hAnsi="Arial"/>
          <w:i/>
          <w:sz w:val="21"/>
          <w:szCs w:val="21"/>
        </w:rPr>
      </w:pPr>
      <w:r w:rsidRPr="006B5D6F">
        <w:rPr>
          <w:rFonts w:ascii="Arial" w:hAnsi="Arial"/>
          <w:i/>
          <w:sz w:val="21"/>
          <w:szCs w:val="21"/>
        </w:rPr>
        <w:t xml:space="preserve">Elderly adequacy </w:t>
      </w:r>
    </w:p>
    <w:p w14:paraId="41A57F09" w14:textId="77777777" w:rsidR="00F26890" w:rsidRPr="006B5D6F" w:rsidRDefault="00F26890" w:rsidP="006B5D6F">
      <w:pPr>
        <w:pStyle w:val="ListParagraph"/>
        <w:numPr>
          <w:ilvl w:val="0"/>
          <w:numId w:val="3"/>
        </w:numPr>
        <w:spacing w:after="240" w:line="360" w:lineRule="auto"/>
        <w:ind w:left="1134"/>
        <w:rPr>
          <w:rFonts w:ascii="Arial" w:hAnsi="Arial"/>
          <w:sz w:val="21"/>
          <w:szCs w:val="21"/>
        </w:rPr>
      </w:pPr>
      <w:r w:rsidRPr="006B5D6F">
        <w:rPr>
          <w:rFonts w:ascii="Arial" w:hAnsi="Arial"/>
          <w:sz w:val="21"/>
          <w:szCs w:val="21"/>
        </w:rPr>
        <w:t xml:space="preserve">Poverty reduction/prevention </w:t>
      </w:r>
    </w:p>
    <w:p w14:paraId="05074627" w14:textId="77777777" w:rsidR="008C7FA7" w:rsidRPr="006B5D6F" w:rsidRDefault="00F26890" w:rsidP="006B5D6F">
      <w:pPr>
        <w:pStyle w:val="ListParagraph"/>
        <w:numPr>
          <w:ilvl w:val="0"/>
          <w:numId w:val="3"/>
        </w:numPr>
        <w:spacing w:after="240" w:line="360" w:lineRule="auto"/>
        <w:ind w:left="1134"/>
        <w:rPr>
          <w:rFonts w:ascii="Arial" w:hAnsi="Arial"/>
          <w:sz w:val="21"/>
          <w:szCs w:val="21"/>
        </w:rPr>
      </w:pPr>
      <w:r w:rsidRPr="006B5D6F">
        <w:rPr>
          <w:rFonts w:ascii="Arial" w:hAnsi="Arial" w:cs="Times New Roman"/>
          <w:sz w:val="21"/>
          <w:szCs w:val="21"/>
          <w:lang w:val="hr-HR"/>
        </w:rPr>
        <w:t>Relative li</w:t>
      </w:r>
      <w:r w:rsidR="00841ECF" w:rsidRPr="006B5D6F">
        <w:rPr>
          <w:rFonts w:ascii="Arial" w:hAnsi="Arial" w:cs="Times New Roman"/>
          <w:sz w:val="21"/>
          <w:szCs w:val="21"/>
          <w:lang w:val="hr-HR"/>
        </w:rPr>
        <w:t>ving standard</w:t>
      </w:r>
    </w:p>
    <w:p w14:paraId="031AFD65" w14:textId="77777777" w:rsidR="00841ECF" w:rsidRPr="006B5D6F" w:rsidRDefault="008618DE" w:rsidP="006B5D6F">
      <w:pPr>
        <w:pStyle w:val="ListParagraph"/>
        <w:numPr>
          <w:ilvl w:val="0"/>
          <w:numId w:val="3"/>
        </w:numPr>
        <w:spacing w:after="240" w:line="360" w:lineRule="auto"/>
        <w:ind w:left="1134"/>
        <w:rPr>
          <w:rFonts w:ascii="Arial" w:hAnsi="Arial"/>
          <w:sz w:val="21"/>
          <w:szCs w:val="21"/>
        </w:rPr>
      </w:pPr>
      <w:r w:rsidRPr="006B5D6F">
        <w:rPr>
          <w:rFonts w:ascii="Arial" w:hAnsi="Arial" w:cs="Times New Roman"/>
          <w:sz w:val="21"/>
          <w:szCs w:val="21"/>
          <w:lang w:val="hr-HR"/>
        </w:rPr>
        <w:t>Gender/</w:t>
      </w:r>
      <w:r w:rsidR="009B7244" w:rsidRPr="006B5D6F">
        <w:rPr>
          <w:rFonts w:ascii="Arial" w:hAnsi="Arial" w:cs="Times New Roman"/>
          <w:sz w:val="21"/>
          <w:szCs w:val="21"/>
          <w:lang w:val="hr-HR"/>
        </w:rPr>
        <w:t xml:space="preserve">Income </w:t>
      </w:r>
      <w:r w:rsidRPr="006B5D6F">
        <w:rPr>
          <w:rFonts w:ascii="Arial" w:hAnsi="Arial" w:cs="Times New Roman"/>
          <w:sz w:val="21"/>
          <w:szCs w:val="21"/>
          <w:lang w:val="hr-HR"/>
        </w:rPr>
        <w:t>Inequality</w:t>
      </w:r>
    </w:p>
    <w:p w14:paraId="3D77BA26" w14:textId="77777777" w:rsidR="00841ECF" w:rsidRPr="006B5D6F" w:rsidRDefault="00841ECF" w:rsidP="006B5D6F">
      <w:pPr>
        <w:pStyle w:val="ListParagraph"/>
        <w:numPr>
          <w:ilvl w:val="0"/>
          <w:numId w:val="2"/>
        </w:numPr>
        <w:spacing w:after="240" w:line="360" w:lineRule="auto"/>
        <w:ind w:left="851" w:hanging="284"/>
        <w:contextualSpacing w:val="0"/>
        <w:rPr>
          <w:rFonts w:ascii="Arial" w:hAnsi="Arial"/>
          <w:i/>
          <w:sz w:val="21"/>
          <w:szCs w:val="21"/>
        </w:rPr>
      </w:pPr>
      <w:r w:rsidRPr="006B5D6F">
        <w:rPr>
          <w:rFonts w:ascii="Arial" w:hAnsi="Arial"/>
          <w:i/>
          <w:sz w:val="21"/>
          <w:szCs w:val="21"/>
        </w:rPr>
        <w:t xml:space="preserve">Pension adequacy </w:t>
      </w:r>
    </w:p>
    <w:p w14:paraId="352D0EF6" w14:textId="77777777" w:rsidR="00841ECF" w:rsidRPr="006B5D6F" w:rsidRDefault="00841ECF" w:rsidP="006B5D6F">
      <w:pPr>
        <w:pStyle w:val="ListParagraph"/>
        <w:numPr>
          <w:ilvl w:val="0"/>
          <w:numId w:val="4"/>
        </w:numPr>
        <w:spacing w:after="240" w:line="360" w:lineRule="auto"/>
        <w:ind w:left="1134" w:hanging="141"/>
        <w:rPr>
          <w:rFonts w:ascii="Arial" w:hAnsi="Arial"/>
          <w:sz w:val="21"/>
          <w:szCs w:val="21"/>
        </w:rPr>
      </w:pPr>
      <w:r w:rsidRPr="006B5D6F">
        <w:rPr>
          <w:rFonts w:ascii="Arial" w:hAnsi="Arial"/>
          <w:sz w:val="21"/>
          <w:szCs w:val="21"/>
        </w:rPr>
        <w:t xml:space="preserve">Poverty reduction/prevention </w:t>
      </w:r>
    </w:p>
    <w:p w14:paraId="1CA3C4F7" w14:textId="77777777" w:rsidR="00841ECF" w:rsidRPr="006B5D6F" w:rsidRDefault="00841ECF" w:rsidP="006B5D6F">
      <w:pPr>
        <w:pStyle w:val="ListParagraph"/>
        <w:numPr>
          <w:ilvl w:val="0"/>
          <w:numId w:val="4"/>
        </w:numPr>
        <w:spacing w:after="240" w:line="360" w:lineRule="auto"/>
        <w:ind w:left="1134" w:hanging="141"/>
        <w:rPr>
          <w:rFonts w:ascii="Arial" w:hAnsi="Arial"/>
          <w:sz w:val="21"/>
          <w:szCs w:val="21"/>
        </w:rPr>
      </w:pPr>
      <w:r w:rsidRPr="006B5D6F">
        <w:rPr>
          <w:rFonts w:ascii="Arial" w:hAnsi="Arial" w:cs="Times New Roman"/>
          <w:sz w:val="21"/>
          <w:szCs w:val="21"/>
          <w:lang w:val="hr-HR"/>
        </w:rPr>
        <w:t>Income replacement/Relative living standard</w:t>
      </w:r>
    </w:p>
    <w:p w14:paraId="51C80A27" w14:textId="77777777" w:rsidR="00841ECF" w:rsidRPr="006B5D6F" w:rsidRDefault="008618DE" w:rsidP="006B5D6F">
      <w:pPr>
        <w:pStyle w:val="ListParagraph"/>
        <w:numPr>
          <w:ilvl w:val="0"/>
          <w:numId w:val="4"/>
        </w:numPr>
        <w:spacing w:after="240" w:line="360" w:lineRule="auto"/>
        <w:ind w:left="1134" w:hanging="141"/>
        <w:rPr>
          <w:rFonts w:ascii="Arial" w:hAnsi="Arial"/>
          <w:sz w:val="21"/>
          <w:szCs w:val="21"/>
        </w:rPr>
      </w:pPr>
      <w:r w:rsidRPr="006B5D6F">
        <w:rPr>
          <w:rFonts w:ascii="Arial" w:hAnsi="Arial" w:cs="Times New Roman"/>
          <w:sz w:val="21"/>
          <w:szCs w:val="21"/>
          <w:lang w:val="hr-HR"/>
        </w:rPr>
        <w:t>Gender/</w:t>
      </w:r>
      <w:r w:rsidR="009B7244" w:rsidRPr="006B5D6F">
        <w:rPr>
          <w:rFonts w:ascii="Arial" w:hAnsi="Arial" w:cs="Times New Roman"/>
          <w:sz w:val="21"/>
          <w:szCs w:val="21"/>
          <w:lang w:val="hr-HR"/>
        </w:rPr>
        <w:t xml:space="preserve">Income </w:t>
      </w:r>
      <w:r w:rsidRPr="006B5D6F">
        <w:rPr>
          <w:rFonts w:ascii="Arial" w:hAnsi="Arial" w:cs="Times New Roman"/>
          <w:sz w:val="21"/>
          <w:szCs w:val="21"/>
          <w:lang w:val="hr-HR"/>
        </w:rPr>
        <w:t>Inequality</w:t>
      </w:r>
    </w:p>
    <w:p w14:paraId="023A4C85" w14:textId="77777777" w:rsidR="0001260A" w:rsidRPr="006B5D6F" w:rsidRDefault="00F12C64" w:rsidP="006B5D6F">
      <w:pPr>
        <w:spacing w:after="240" w:line="360" w:lineRule="auto"/>
        <w:ind w:left="284"/>
        <w:rPr>
          <w:rFonts w:ascii="Arial" w:hAnsi="Arial"/>
          <w:sz w:val="21"/>
          <w:szCs w:val="21"/>
        </w:rPr>
      </w:pPr>
      <w:r w:rsidRPr="006B5D6F">
        <w:rPr>
          <w:rFonts w:ascii="Arial" w:hAnsi="Arial"/>
          <w:sz w:val="21"/>
          <w:szCs w:val="21"/>
        </w:rPr>
        <w:t>IVc</w:t>
      </w:r>
      <w:r w:rsidR="00237D2B" w:rsidRPr="006B5D6F">
        <w:rPr>
          <w:rFonts w:ascii="Arial" w:hAnsi="Arial"/>
          <w:sz w:val="21"/>
          <w:szCs w:val="21"/>
        </w:rPr>
        <w:t xml:space="preserve"> </w:t>
      </w:r>
      <w:r w:rsidR="00237D2B" w:rsidRPr="006B5D6F">
        <w:rPr>
          <w:rFonts w:ascii="Arial" w:hAnsi="Arial" w:cstheme="majorHAnsi"/>
          <w:sz w:val="21"/>
          <w:szCs w:val="21"/>
        </w:rPr>
        <w:t xml:space="preserve">– </w:t>
      </w:r>
      <w:r w:rsidR="0001260A" w:rsidRPr="006B5D6F">
        <w:rPr>
          <w:rFonts w:ascii="Arial" w:hAnsi="Arial"/>
          <w:sz w:val="21"/>
          <w:szCs w:val="21"/>
        </w:rPr>
        <w:t>Finances/Sustainability</w:t>
      </w:r>
    </w:p>
    <w:p w14:paraId="11962F56" w14:textId="77777777" w:rsidR="00EA6D57" w:rsidRPr="006B5D6F" w:rsidRDefault="0001260A" w:rsidP="006B5D6F">
      <w:pPr>
        <w:spacing w:after="240" w:line="360" w:lineRule="auto"/>
        <w:rPr>
          <w:rFonts w:ascii="Arial" w:hAnsi="Arial"/>
          <w:b/>
          <w:sz w:val="21"/>
          <w:szCs w:val="21"/>
        </w:rPr>
      </w:pPr>
      <w:r w:rsidRPr="006B5D6F">
        <w:rPr>
          <w:rFonts w:ascii="Arial" w:hAnsi="Arial"/>
          <w:b/>
          <w:sz w:val="21"/>
          <w:szCs w:val="21"/>
        </w:rPr>
        <w:t>V</w:t>
      </w:r>
      <w:r w:rsidR="00237D2B" w:rsidRPr="006B5D6F">
        <w:rPr>
          <w:rFonts w:ascii="Arial" w:hAnsi="Arial"/>
          <w:b/>
          <w:sz w:val="21"/>
          <w:szCs w:val="21"/>
        </w:rPr>
        <w:t xml:space="preserve"> </w:t>
      </w:r>
      <w:r w:rsidR="00237D2B" w:rsidRPr="006B5D6F">
        <w:rPr>
          <w:rFonts w:ascii="Arial" w:hAnsi="Arial" w:cstheme="majorHAnsi"/>
          <w:b/>
          <w:sz w:val="21"/>
          <w:szCs w:val="21"/>
        </w:rPr>
        <w:t>–</w:t>
      </w:r>
      <w:r w:rsidRPr="006B5D6F">
        <w:rPr>
          <w:rFonts w:ascii="Arial" w:hAnsi="Arial"/>
          <w:b/>
          <w:sz w:val="21"/>
          <w:szCs w:val="21"/>
        </w:rPr>
        <w:t xml:space="preserve"> Other indicators</w:t>
      </w:r>
      <w:r w:rsidR="00237D2B" w:rsidRPr="006B5D6F">
        <w:rPr>
          <w:rFonts w:ascii="Arial" w:hAnsi="Arial"/>
          <w:b/>
          <w:sz w:val="21"/>
          <w:szCs w:val="21"/>
        </w:rPr>
        <w:t>.</w:t>
      </w:r>
    </w:p>
    <w:p w14:paraId="49A29F61" w14:textId="4C47E64F" w:rsidR="007A306D" w:rsidRDefault="00007396" w:rsidP="007A306D">
      <w:pPr>
        <w:pStyle w:val="ListParagraph"/>
        <w:spacing w:after="240" w:line="360" w:lineRule="auto"/>
        <w:ind w:left="0"/>
        <w:jc w:val="both"/>
        <w:rPr>
          <w:rFonts w:ascii="Arial" w:hAnsi="Arial"/>
          <w:sz w:val="21"/>
          <w:szCs w:val="21"/>
        </w:rPr>
      </w:pPr>
      <w:r w:rsidRPr="006B5D6F">
        <w:rPr>
          <w:rFonts w:ascii="Arial" w:hAnsi="Arial"/>
          <w:sz w:val="21"/>
          <w:szCs w:val="21"/>
        </w:rPr>
        <w:t>Detailed list of indicators with data sources and comments is</w:t>
      </w:r>
      <w:r w:rsidR="003E1981">
        <w:rPr>
          <w:rFonts w:ascii="Arial" w:hAnsi="Arial"/>
          <w:sz w:val="21"/>
          <w:szCs w:val="21"/>
        </w:rPr>
        <w:t xml:space="preserve"> also</w:t>
      </w:r>
      <w:r w:rsidRPr="006B5D6F">
        <w:rPr>
          <w:rFonts w:ascii="Arial" w:hAnsi="Arial"/>
          <w:sz w:val="21"/>
          <w:szCs w:val="21"/>
        </w:rPr>
        <w:t xml:space="preserve"> provided in</w:t>
      </w:r>
      <w:r w:rsidR="009378FA" w:rsidRPr="006B5D6F">
        <w:rPr>
          <w:rFonts w:ascii="Arial" w:hAnsi="Arial"/>
          <w:sz w:val="21"/>
          <w:szCs w:val="21"/>
        </w:rPr>
        <w:t xml:space="preserve"> </w:t>
      </w:r>
      <w:r w:rsidR="009378FA" w:rsidRPr="006B5D6F">
        <w:rPr>
          <w:rFonts w:ascii="Arial" w:hAnsi="Arial"/>
          <w:i/>
          <w:sz w:val="21"/>
          <w:szCs w:val="21"/>
        </w:rPr>
        <w:t>Table</w:t>
      </w:r>
      <w:r w:rsidR="00D12E11">
        <w:rPr>
          <w:rFonts w:ascii="Arial" w:hAnsi="Arial"/>
          <w:i/>
          <w:sz w:val="21"/>
          <w:szCs w:val="21"/>
        </w:rPr>
        <w:t xml:space="preserve"> 2. P</w:t>
      </w:r>
      <w:r w:rsidR="000F4978" w:rsidRPr="006B5D6F">
        <w:rPr>
          <w:rFonts w:ascii="Arial" w:hAnsi="Arial"/>
          <w:i/>
          <w:sz w:val="21"/>
          <w:szCs w:val="21"/>
        </w:rPr>
        <w:t xml:space="preserve">ension </w:t>
      </w:r>
      <w:r w:rsidRPr="006B5D6F">
        <w:rPr>
          <w:rFonts w:ascii="Arial" w:hAnsi="Arial"/>
          <w:i/>
          <w:sz w:val="21"/>
          <w:szCs w:val="21"/>
        </w:rPr>
        <w:t>indicators</w:t>
      </w:r>
      <w:r w:rsidRPr="006B5D6F">
        <w:rPr>
          <w:rFonts w:ascii="Arial" w:hAnsi="Arial"/>
          <w:sz w:val="21"/>
          <w:szCs w:val="21"/>
        </w:rPr>
        <w:t xml:space="preserve">. First column of the </w:t>
      </w:r>
      <w:r w:rsidR="009378FA" w:rsidRPr="006B5D6F">
        <w:rPr>
          <w:rFonts w:ascii="Arial" w:hAnsi="Arial"/>
          <w:sz w:val="21"/>
          <w:szCs w:val="21"/>
        </w:rPr>
        <w:t>Table</w:t>
      </w:r>
      <w:r w:rsidRPr="006B5D6F">
        <w:rPr>
          <w:rFonts w:ascii="Arial" w:hAnsi="Arial"/>
          <w:sz w:val="21"/>
          <w:szCs w:val="21"/>
        </w:rPr>
        <w:t xml:space="preserve"> points to the type of indicator (O-overarching, C-contextual, D-design, P-primary, S-</w:t>
      </w:r>
      <w:r w:rsidR="009378FA" w:rsidRPr="006B5D6F">
        <w:rPr>
          <w:rFonts w:ascii="Arial" w:hAnsi="Arial"/>
          <w:sz w:val="21"/>
          <w:szCs w:val="21"/>
        </w:rPr>
        <w:t>secondary</w:t>
      </w:r>
      <w:r w:rsidRPr="006B5D6F">
        <w:rPr>
          <w:rFonts w:ascii="Arial" w:hAnsi="Arial"/>
          <w:sz w:val="21"/>
          <w:szCs w:val="21"/>
        </w:rPr>
        <w:t xml:space="preserve">). </w:t>
      </w:r>
      <w:r w:rsidR="002037B4" w:rsidRPr="006B5D6F">
        <w:rPr>
          <w:rFonts w:ascii="Arial" w:hAnsi="Arial"/>
          <w:sz w:val="21"/>
          <w:szCs w:val="21"/>
        </w:rPr>
        <w:t xml:space="preserve">Second column gives the name of the </w:t>
      </w:r>
      <w:r w:rsidR="002037B4" w:rsidRPr="003E1981">
        <w:rPr>
          <w:rFonts w:ascii="Arial" w:hAnsi="Arial"/>
          <w:sz w:val="21"/>
          <w:szCs w:val="21"/>
        </w:rPr>
        <w:t xml:space="preserve">indicator. Third </w:t>
      </w:r>
      <w:r w:rsidRPr="003E1981">
        <w:rPr>
          <w:rFonts w:ascii="Arial" w:hAnsi="Arial"/>
          <w:sz w:val="21"/>
          <w:szCs w:val="21"/>
        </w:rPr>
        <w:t>column explains the origin of the indicator, whether it is EU social indicator, or SPPM, or</w:t>
      </w:r>
      <w:r w:rsidRPr="006B5D6F">
        <w:rPr>
          <w:rFonts w:ascii="Arial" w:hAnsi="Arial"/>
          <w:sz w:val="21"/>
          <w:szCs w:val="21"/>
        </w:rPr>
        <w:t xml:space="preserve"> country-specific </w:t>
      </w:r>
      <w:r w:rsidRPr="006B5D6F">
        <w:rPr>
          <w:rFonts w:ascii="Arial" w:hAnsi="Arial"/>
          <w:sz w:val="21"/>
          <w:szCs w:val="21"/>
        </w:rPr>
        <w:lastRenderedPageBreak/>
        <w:t>and if so, whether the similar indicator exists in any other profound publication/dataset.</w:t>
      </w:r>
      <w:r w:rsidR="000F4978" w:rsidRPr="006B5D6F">
        <w:rPr>
          <w:rFonts w:ascii="Arial" w:hAnsi="Arial"/>
          <w:sz w:val="21"/>
          <w:szCs w:val="21"/>
        </w:rPr>
        <w:t xml:space="preserve"> </w:t>
      </w:r>
      <w:r w:rsidR="002037B4" w:rsidRPr="006B5D6F">
        <w:rPr>
          <w:rFonts w:ascii="Arial" w:hAnsi="Arial"/>
          <w:sz w:val="21"/>
          <w:szCs w:val="21"/>
        </w:rPr>
        <w:t xml:space="preserve">Fourth </w:t>
      </w:r>
      <w:r w:rsidR="000F4978" w:rsidRPr="006B5D6F">
        <w:rPr>
          <w:rFonts w:ascii="Arial" w:hAnsi="Arial"/>
          <w:sz w:val="21"/>
          <w:szCs w:val="21"/>
        </w:rPr>
        <w:t>column gives the definition of indicator. F</w:t>
      </w:r>
      <w:r w:rsidR="002037B4" w:rsidRPr="006B5D6F">
        <w:rPr>
          <w:rFonts w:ascii="Arial" w:hAnsi="Arial"/>
          <w:sz w:val="21"/>
          <w:szCs w:val="21"/>
        </w:rPr>
        <w:t>ifth</w:t>
      </w:r>
      <w:r w:rsidR="000F4978" w:rsidRPr="006B5D6F">
        <w:rPr>
          <w:rFonts w:ascii="Arial" w:hAnsi="Arial"/>
          <w:sz w:val="21"/>
          <w:szCs w:val="21"/>
        </w:rPr>
        <w:t xml:space="preserve"> column gives information on breakdowns of indicator. </w:t>
      </w:r>
      <w:r w:rsidR="002037B4" w:rsidRPr="006B5D6F">
        <w:rPr>
          <w:rFonts w:ascii="Arial" w:hAnsi="Arial"/>
          <w:sz w:val="21"/>
          <w:szCs w:val="21"/>
        </w:rPr>
        <w:t>Sixth</w:t>
      </w:r>
      <w:r w:rsidR="000F4978" w:rsidRPr="006B5D6F">
        <w:rPr>
          <w:rFonts w:ascii="Arial" w:hAnsi="Arial"/>
          <w:sz w:val="21"/>
          <w:szCs w:val="21"/>
        </w:rPr>
        <w:t xml:space="preserve"> column gives information on primary source of data for indicator </w:t>
      </w:r>
      <w:r w:rsidR="00E47B1C" w:rsidRPr="006B5D6F">
        <w:rPr>
          <w:rFonts w:ascii="Arial" w:hAnsi="Arial"/>
          <w:sz w:val="21"/>
          <w:szCs w:val="21"/>
        </w:rPr>
        <w:t>construction and the time frame for indicator reporting (most often it is a</w:t>
      </w:r>
      <w:r w:rsidR="008618DE" w:rsidRPr="006B5D6F">
        <w:rPr>
          <w:rFonts w:ascii="Arial" w:hAnsi="Arial"/>
          <w:sz w:val="21"/>
          <w:szCs w:val="21"/>
        </w:rPr>
        <w:t>nnua</w:t>
      </w:r>
      <w:r w:rsidR="00874EEE" w:rsidRPr="006B5D6F">
        <w:rPr>
          <w:rFonts w:ascii="Arial" w:hAnsi="Arial"/>
          <w:sz w:val="21"/>
          <w:szCs w:val="21"/>
        </w:rPr>
        <w:t xml:space="preserve">l and in some cases monthly; </w:t>
      </w:r>
      <w:r w:rsidR="00E47B1C" w:rsidRPr="006B5D6F">
        <w:rPr>
          <w:rFonts w:ascii="Arial" w:hAnsi="Arial"/>
          <w:sz w:val="21"/>
          <w:szCs w:val="21"/>
        </w:rPr>
        <w:t>cer</w:t>
      </w:r>
      <w:r w:rsidR="008618DE" w:rsidRPr="006B5D6F">
        <w:rPr>
          <w:rFonts w:ascii="Arial" w:hAnsi="Arial"/>
          <w:sz w:val="21"/>
          <w:szCs w:val="21"/>
        </w:rPr>
        <w:t xml:space="preserve">tain context information </w:t>
      </w:r>
      <w:r w:rsidR="00874EEE" w:rsidRPr="006B5D6F">
        <w:rPr>
          <w:rFonts w:ascii="Arial" w:hAnsi="Arial"/>
          <w:sz w:val="21"/>
          <w:szCs w:val="21"/>
        </w:rPr>
        <w:t>are not expected to change in short to medium term frame</w:t>
      </w:r>
      <w:r w:rsidR="005C002C" w:rsidRPr="006B5D6F">
        <w:rPr>
          <w:rFonts w:ascii="Arial" w:hAnsi="Arial"/>
          <w:sz w:val="21"/>
          <w:szCs w:val="21"/>
        </w:rPr>
        <w:t>, hence there is not information on time frame</w:t>
      </w:r>
      <w:r w:rsidR="00874EEE" w:rsidRPr="006B5D6F">
        <w:rPr>
          <w:rFonts w:ascii="Arial" w:hAnsi="Arial"/>
          <w:sz w:val="21"/>
          <w:szCs w:val="21"/>
        </w:rPr>
        <w:t xml:space="preserve">). </w:t>
      </w:r>
      <w:r w:rsidR="002037B4" w:rsidRPr="006B5D6F">
        <w:rPr>
          <w:rFonts w:ascii="Arial" w:hAnsi="Arial"/>
          <w:sz w:val="21"/>
          <w:szCs w:val="21"/>
        </w:rPr>
        <w:t xml:space="preserve">Final seventh column gives information on indicator availability and comments. </w:t>
      </w:r>
    </w:p>
    <w:p w14:paraId="7EC9325D" w14:textId="77777777" w:rsidR="007A306D" w:rsidRDefault="007A306D">
      <w:pPr>
        <w:rPr>
          <w:rFonts w:ascii="Arial" w:hAnsi="Arial"/>
          <w:sz w:val="21"/>
          <w:szCs w:val="21"/>
        </w:rPr>
      </w:pPr>
      <w:r>
        <w:rPr>
          <w:rFonts w:ascii="Arial" w:hAnsi="Arial"/>
          <w:sz w:val="21"/>
          <w:szCs w:val="21"/>
        </w:rPr>
        <w:br w:type="page"/>
      </w:r>
    </w:p>
    <w:p w14:paraId="191E1317" w14:textId="77777777" w:rsidR="00D12E11" w:rsidRDefault="00D12E11" w:rsidP="007A306D">
      <w:pPr>
        <w:pStyle w:val="ListParagraph"/>
        <w:spacing w:after="240" w:line="360" w:lineRule="auto"/>
        <w:ind w:left="0"/>
        <w:jc w:val="both"/>
        <w:sectPr w:rsidR="00D12E11" w:rsidSect="007A306D">
          <w:footerReference w:type="default" r:id="rId20"/>
          <w:type w:val="continuous"/>
          <w:pgSz w:w="11900" w:h="16840"/>
          <w:pgMar w:top="1411" w:right="1411" w:bottom="1699" w:left="1411" w:header="706" w:footer="706" w:gutter="0"/>
          <w:pgNumType w:start="1"/>
          <w:cols w:space="708"/>
          <w:docGrid w:linePitch="326"/>
        </w:sectPr>
      </w:pPr>
    </w:p>
    <w:p w14:paraId="59543687" w14:textId="331013B4" w:rsidR="00D12E11" w:rsidRPr="00F7050E" w:rsidRDefault="00D12E11" w:rsidP="00D12E11">
      <w:pPr>
        <w:rPr>
          <w:rFonts w:ascii="Arial" w:hAnsi="Arial" w:cs="Arial"/>
          <w:b/>
          <w:sz w:val="20"/>
          <w:szCs w:val="20"/>
        </w:rPr>
      </w:pPr>
      <w:r w:rsidRPr="00F7050E">
        <w:rPr>
          <w:rFonts w:ascii="Arial" w:hAnsi="Arial" w:cs="Arial"/>
          <w:b/>
          <w:sz w:val="20"/>
          <w:szCs w:val="20"/>
        </w:rPr>
        <w:lastRenderedPageBreak/>
        <w:t>Table</w:t>
      </w:r>
      <w:r>
        <w:rPr>
          <w:rFonts w:ascii="Arial" w:hAnsi="Arial" w:cs="Arial"/>
          <w:b/>
          <w:sz w:val="20"/>
          <w:szCs w:val="20"/>
        </w:rPr>
        <w:t xml:space="preserve"> 2. P</w:t>
      </w:r>
      <w:r w:rsidRPr="00F7050E">
        <w:rPr>
          <w:rFonts w:ascii="Arial" w:hAnsi="Arial" w:cs="Arial"/>
          <w:b/>
          <w:sz w:val="20"/>
          <w:szCs w:val="20"/>
        </w:rPr>
        <w:t xml:space="preserve">ension indicators </w:t>
      </w:r>
    </w:p>
    <w:p w14:paraId="0EBCADB7" w14:textId="77777777" w:rsidR="00D12E11" w:rsidRPr="00F7050E" w:rsidRDefault="00D12E11" w:rsidP="00D12E11">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09"/>
        <w:gridCol w:w="1772"/>
        <w:gridCol w:w="2906"/>
        <w:gridCol w:w="1630"/>
        <w:gridCol w:w="1772"/>
        <w:gridCol w:w="3009"/>
      </w:tblGrid>
      <w:tr w:rsidR="00D12E11" w:rsidRPr="00F7050E" w14:paraId="5FB14FDD" w14:textId="77777777" w:rsidTr="009B0457">
        <w:trPr>
          <w:trHeight w:val="710"/>
          <w:jc w:val="center"/>
        </w:trPr>
        <w:tc>
          <w:tcPr>
            <w:tcW w:w="14032" w:type="dxa"/>
            <w:gridSpan w:val="7"/>
            <w:tcBorders>
              <w:bottom w:val="single" w:sz="4" w:space="0" w:color="000000"/>
            </w:tcBorders>
            <w:shd w:val="clear" w:color="auto" w:fill="548DD4" w:themeFill="text2" w:themeFillTint="99"/>
            <w:vAlign w:val="center"/>
          </w:tcPr>
          <w:p w14:paraId="776102B2" w14:textId="77777777" w:rsidR="00D12E11" w:rsidRPr="00DA33FF" w:rsidRDefault="00D12E11" w:rsidP="00BC7D1B">
            <w:pPr>
              <w:jc w:val="center"/>
              <w:rPr>
                <w:rFonts w:ascii="Arial" w:hAnsi="Arial" w:cs="Arial"/>
                <w:b/>
                <w:color w:val="FFFFFF" w:themeColor="background1"/>
                <w:sz w:val="20"/>
                <w:szCs w:val="20"/>
              </w:rPr>
            </w:pPr>
            <w:r w:rsidRPr="00DA33FF">
              <w:rPr>
                <w:rFonts w:ascii="Arial" w:hAnsi="Arial" w:cs="Arial"/>
                <w:b/>
                <w:color w:val="FFFFFF" w:themeColor="background1"/>
                <w:sz w:val="20"/>
                <w:szCs w:val="20"/>
              </w:rPr>
              <w:t>PENSION INDICATORS</w:t>
            </w:r>
          </w:p>
        </w:tc>
      </w:tr>
      <w:tr w:rsidR="00D12E11" w:rsidRPr="00F7050E" w14:paraId="48413ABF" w14:textId="77777777" w:rsidTr="00DA33FF">
        <w:trPr>
          <w:trHeight w:val="510"/>
          <w:jc w:val="center"/>
        </w:trPr>
        <w:tc>
          <w:tcPr>
            <w:tcW w:w="14032" w:type="dxa"/>
            <w:gridSpan w:val="7"/>
            <w:shd w:val="clear" w:color="auto" w:fill="808080" w:themeFill="background1" w:themeFillShade="80"/>
            <w:vAlign w:val="center"/>
          </w:tcPr>
          <w:p w14:paraId="3051AC06" w14:textId="77777777" w:rsidR="00D12E11" w:rsidRPr="00DA33FF" w:rsidRDefault="00D12E11" w:rsidP="00BC7D1B">
            <w:pPr>
              <w:jc w:val="center"/>
              <w:rPr>
                <w:rFonts w:ascii="Arial" w:hAnsi="Arial" w:cs="Arial"/>
                <w:b/>
                <w:color w:val="FFFFFF" w:themeColor="background1"/>
                <w:sz w:val="20"/>
                <w:szCs w:val="20"/>
              </w:rPr>
            </w:pPr>
            <w:r w:rsidRPr="00DA33FF">
              <w:rPr>
                <w:rFonts w:ascii="Arial" w:hAnsi="Arial" w:cs="Arial"/>
                <w:b/>
                <w:color w:val="FFFFFF" w:themeColor="background1"/>
                <w:sz w:val="20"/>
                <w:szCs w:val="20"/>
              </w:rPr>
              <w:t xml:space="preserve">OVERARCHING INDICATORS </w:t>
            </w:r>
          </w:p>
        </w:tc>
      </w:tr>
      <w:tr w:rsidR="00D12E11" w:rsidRPr="00F7050E" w14:paraId="435FE8AE" w14:textId="77777777" w:rsidTr="00BC7D1B">
        <w:trPr>
          <w:trHeight w:val="454"/>
          <w:jc w:val="center"/>
        </w:trPr>
        <w:tc>
          <w:tcPr>
            <w:tcW w:w="534" w:type="dxa"/>
            <w:vAlign w:val="center"/>
          </w:tcPr>
          <w:p w14:paraId="09777FB1" w14:textId="77777777" w:rsidR="00D12E11" w:rsidRPr="00F7050E" w:rsidRDefault="00D12E11" w:rsidP="00BC7D1B">
            <w:pPr>
              <w:jc w:val="center"/>
              <w:rPr>
                <w:rFonts w:ascii="Arial" w:hAnsi="Arial" w:cs="Arial"/>
                <w:b/>
                <w:sz w:val="20"/>
                <w:szCs w:val="20"/>
              </w:rPr>
            </w:pPr>
          </w:p>
        </w:tc>
        <w:tc>
          <w:tcPr>
            <w:tcW w:w="2409" w:type="dxa"/>
            <w:vAlign w:val="center"/>
          </w:tcPr>
          <w:p w14:paraId="486A55A8"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Indicator Title</w:t>
            </w:r>
          </w:p>
          <w:p w14:paraId="3264FC40" w14:textId="77777777" w:rsidR="00D12E11" w:rsidRPr="00F7050E" w:rsidRDefault="00D12E11" w:rsidP="00BC7D1B">
            <w:pPr>
              <w:jc w:val="center"/>
              <w:rPr>
                <w:rFonts w:ascii="Arial" w:hAnsi="Arial" w:cs="Arial"/>
                <w:i/>
                <w:sz w:val="20"/>
                <w:szCs w:val="20"/>
              </w:rPr>
            </w:pPr>
            <w:r w:rsidRPr="00F7050E">
              <w:rPr>
                <w:rFonts w:ascii="Arial" w:hAnsi="Arial" w:cs="Arial"/>
                <w:b/>
                <w:i/>
                <w:sz w:val="20"/>
                <w:szCs w:val="20"/>
              </w:rPr>
              <w:t xml:space="preserve"> (Unit)</w:t>
            </w:r>
          </w:p>
        </w:tc>
        <w:tc>
          <w:tcPr>
            <w:tcW w:w="1772" w:type="dxa"/>
            <w:vAlign w:val="center"/>
          </w:tcPr>
          <w:p w14:paraId="672E0481"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Indicator</w:t>
            </w:r>
          </w:p>
          <w:p w14:paraId="6B6FC039"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Type/Origin</w:t>
            </w:r>
          </w:p>
        </w:tc>
        <w:tc>
          <w:tcPr>
            <w:tcW w:w="2906" w:type="dxa"/>
            <w:vAlign w:val="center"/>
          </w:tcPr>
          <w:p w14:paraId="392E321C"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Definitions</w:t>
            </w:r>
          </w:p>
        </w:tc>
        <w:tc>
          <w:tcPr>
            <w:tcW w:w="1630" w:type="dxa"/>
            <w:vAlign w:val="center"/>
          </w:tcPr>
          <w:p w14:paraId="3C452920"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Disaggregation</w:t>
            </w:r>
          </w:p>
        </w:tc>
        <w:tc>
          <w:tcPr>
            <w:tcW w:w="1772" w:type="dxa"/>
            <w:vAlign w:val="center"/>
          </w:tcPr>
          <w:p w14:paraId="44477901"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 xml:space="preserve">Primary Data Source </w:t>
            </w:r>
          </w:p>
          <w:p w14:paraId="04FA070A" w14:textId="77777777" w:rsidR="00D12E11" w:rsidRPr="00F7050E" w:rsidRDefault="00D12E11" w:rsidP="00BC7D1B">
            <w:pPr>
              <w:jc w:val="center"/>
              <w:rPr>
                <w:rFonts w:ascii="Arial" w:hAnsi="Arial" w:cs="Arial"/>
                <w:sz w:val="20"/>
                <w:szCs w:val="20"/>
              </w:rPr>
            </w:pPr>
            <w:r w:rsidRPr="00F7050E">
              <w:rPr>
                <w:rFonts w:ascii="Arial" w:hAnsi="Arial" w:cs="Arial"/>
                <w:b/>
                <w:i/>
                <w:sz w:val="20"/>
                <w:szCs w:val="20"/>
              </w:rPr>
              <w:t>(Time Frame)</w:t>
            </w:r>
          </w:p>
        </w:tc>
        <w:tc>
          <w:tcPr>
            <w:tcW w:w="3009" w:type="dxa"/>
            <w:vAlign w:val="center"/>
          </w:tcPr>
          <w:p w14:paraId="06ECBEC9"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 xml:space="preserve">Data Availability and Comments </w:t>
            </w:r>
          </w:p>
        </w:tc>
      </w:tr>
      <w:tr w:rsidR="00D12E11" w:rsidRPr="00F7050E" w14:paraId="4E1FDD2F" w14:textId="77777777" w:rsidTr="00BC7D1B">
        <w:trPr>
          <w:trHeight w:val="454"/>
          <w:jc w:val="center"/>
        </w:trPr>
        <w:tc>
          <w:tcPr>
            <w:tcW w:w="534" w:type="dxa"/>
            <w:vAlign w:val="center"/>
          </w:tcPr>
          <w:p w14:paraId="516E35E0"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O1</w:t>
            </w:r>
          </w:p>
        </w:tc>
        <w:tc>
          <w:tcPr>
            <w:tcW w:w="2409" w:type="dxa"/>
          </w:tcPr>
          <w:p w14:paraId="0C15A3FA" w14:textId="77777777" w:rsidR="00D12E11" w:rsidRPr="00F7050E" w:rsidRDefault="00D12E11" w:rsidP="00BC7D1B">
            <w:pPr>
              <w:rPr>
                <w:rFonts w:ascii="Arial" w:hAnsi="Arial" w:cs="Arial"/>
                <w:sz w:val="20"/>
                <w:szCs w:val="20"/>
              </w:rPr>
            </w:pPr>
          </w:p>
          <w:p w14:paraId="354059E1" w14:textId="77777777" w:rsidR="00D12E11" w:rsidRPr="00F7050E" w:rsidRDefault="00D12E11" w:rsidP="00BC7D1B">
            <w:pPr>
              <w:rPr>
                <w:rFonts w:ascii="Arial" w:hAnsi="Arial" w:cs="Arial"/>
                <w:sz w:val="20"/>
                <w:szCs w:val="20"/>
              </w:rPr>
            </w:pPr>
          </w:p>
          <w:p w14:paraId="00C4DF17" w14:textId="77777777" w:rsidR="00D12E11" w:rsidRPr="00F7050E" w:rsidRDefault="00D12E11" w:rsidP="00BC7D1B">
            <w:pPr>
              <w:rPr>
                <w:rFonts w:ascii="Arial" w:hAnsi="Arial" w:cs="Arial"/>
                <w:sz w:val="20"/>
                <w:szCs w:val="20"/>
              </w:rPr>
            </w:pPr>
          </w:p>
          <w:p w14:paraId="1BAF1A5F" w14:textId="77777777" w:rsidR="00D12E11" w:rsidRPr="00F7050E" w:rsidRDefault="00D12E11" w:rsidP="00BC7D1B">
            <w:pPr>
              <w:rPr>
                <w:rFonts w:ascii="Arial" w:hAnsi="Arial" w:cs="Arial"/>
                <w:sz w:val="20"/>
                <w:szCs w:val="20"/>
              </w:rPr>
            </w:pPr>
          </w:p>
          <w:p w14:paraId="27937E03" w14:textId="77777777" w:rsidR="00D12E11" w:rsidRPr="00F7050E" w:rsidRDefault="00D12E11" w:rsidP="00BC7D1B">
            <w:pPr>
              <w:rPr>
                <w:rFonts w:ascii="Arial" w:hAnsi="Arial" w:cs="Arial"/>
                <w:sz w:val="20"/>
                <w:szCs w:val="20"/>
              </w:rPr>
            </w:pPr>
          </w:p>
          <w:p w14:paraId="605613B7" w14:textId="77777777" w:rsidR="00D12E11" w:rsidRPr="00F7050E" w:rsidRDefault="00D12E11" w:rsidP="00BC7D1B">
            <w:pPr>
              <w:rPr>
                <w:rFonts w:ascii="Arial" w:hAnsi="Arial" w:cs="Arial"/>
                <w:b/>
                <w:sz w:val="20"/>
                <w:szCs w:val="20"/>
              </w:rPr>
            </w:pPr>
          </w:p>
          <w:p w14:paraId="613F34C6" w14:textId="77777777" w:rsidR="00D12E11" w:rsidRPr="00F7050E" w:rsidRDefault="00D12E11" w:rsidP="00BC7D1B">
            <w:pPr>
              <w:rPr>
                <w:rFonts w:ascii="Arial" w:hAnsi="Arial" w:cs="Arial"/>
                <w:sz w:val="20"/>
                <w:szCs w:val="20"/>
              </w:rPr>
            </w:pPr>
            <w:r w:rsidRPr="00F7050E">
              <w:rPr>
                <w:rFonts w:ascii="Arial" w:hAnsi="Arial" w:cs="Arial"/>
                <w:sz w:val="20"/>
                <w:szCs w:val="20"/>
              </w:rPr>
              <w:t>Risk of poverty rate of older people</w:t>
            </w:r>
          </w:p>
          <w:p w14:paraId="50D877A1" w14:textId="77777777" w:rsidR="00D12E11" w:rsidRPr="00F7050E" w:rsidRDefault="00D12E11" w:rsidP="00BC7D1B">
            <w:pPr>
              <w:rPr>
                <w:rFonts w:ascii="Arial" w:hAnsi="Arial" w:cs="Arial"/>
                <w:b/>
                <w:sz w:val="20"/>
                <w:szCs w:val="20"/>
              </w:rPr>
            </w:pPr>
          </w:p>
        </w:tc>
        <w:tc>
          <w:tcPr>
            <w:tcW w:w="1772" w:type="dxa"/>
          </w:tcPr>
          <w:p w14:paraId="1B724451" w14:textId="77777777" w:rsidR="00D12E11" w:rsidRPr="00F7050E" w:rsidRDefault="00D12E11" w:rsidP="00BC7D1B">
            <w:pPr>
              <w:rPr>
                <w:rFonts w:ascii="Arial" w:hAnsi="Arial" w:cs="Arial"/>
                <w:sz w:val="20"/>
                <w:szCs w:val="20"/>
              </w:rPr>
            </w:pPr>
          </w:p>
          <w:p w14:paraId="09B38F53" w14:textId="77777777" w:rsidR="00D12E11" w:rsidRPr="00F7050E" w:rsidRDefault="00D12E11" w:rsidP="00BC7D1B">
            <w:pPr>
              <w:rPr>
                <w:rFonts w:ascii="Arial" w:hAnsi="Arial" w:cs="Arial"/>
                <w:i/>
                <w:sz w:val="20"/>
                <w:szCs w:val="20"/>
              </w:rPr>
            </w:pPr>
          </w:p>
          <w:p w14:paraId="488E29F6" w14:textId="77777777" w:rsidR="00D12E11" w:rsidRPr="00F7050E" w:rsidRDefault="00D12E11" w:rsidP="00BC7D1B">
            <w:pPr>
              <w:rPr>
                <w:rFonts w:ascii="Arial" w:hAnsi="Arial" w:cs="Arial"/>
                <w:i/>
                <w:sz w:val="20"/>
                <w:szCs w:val="20"/>
              </w:rPr>
            </w:pPr>
          </w:p>
          <w:p w14:paraId="10EC8ECC" w14:textId="77777777" w:rsidR="00D12E11" w:rsidRPr="00F7050E" w:rsidRDefault="00D12E11" w:rsidP="00BC7D1B">
            <w:pPr>
              <w:rPr>
                <w:rFonts w:ascii="Arial" w:hAnsi="Arial" w:cs="Arial"/>
                <w:i/>
                <w:sz w:val="20"/>
                <w:szCs w:val="20"/>
              </w:rPr>
            </w:pPr>
          </w:p>
          <w:p w14:paraId="5E2EE613" w14:textId="77777777" w:rsidR="00D12E11" w:rsidRPr="00F7050E" w:rsidRDefault="00D12E11" w:rsidP="00BC7D1B">
            <w:pPr>
              <w:rPr>
                <w:rFonts w:ascii="Arial" w:hAnsi="Arial" w:cs="Arial"/>
                <w:i/>
                <w:sz w:val="20"/>
                <w:szCs w:val="20"/>
              </w:rPr>
            </w:pPr>
          </w:p>
          <w:p w14:paraId="483D490F" w14:textId="77777777" w:rsidR="00D12E11" w:rsidRPr="00F7050E" w:rsidRDefault="00D12E11" w:rsidP="00BC7D1B">
            <w:pPr>
              <w:rPr>
                <w:rFonts w:ascii="Arial" w:hAnsi="Arial" w:cs="Arial"/>
                <w:i/>
                <w:sz w:val="20"/>
                <w:szCs w:val="20"/>
              </w:rPr>
            </w:pPr>
            <w:r w:rsidRPr="00F7050E">
              <w:rPr>
                <w:rFonts w:ascii="Arial" w:hAnsi="Arial" w:cs="Arial"/>
                <w:i/>
                <w:sz w:val="20"/>
                <w:szCs w:val="20"/>
              </w:rPr>
              <w:t>Adequate Pensions - Primary EU indicator</w:t>
            </w:r>
          </w:p>
          <w:p w14:paraId="72289C56" w14:textId="77777777" w:rsidR="00D12E11" w:rsidRPr="00F7050E" w:rsidRDefault="00D12E11" w:rsidP="00BC7D1B">
            <w:pPr>
              <w:rPr>
                <w:rFonts w:ascii="Arial" w:hAnsi="Arial" w:cs="Arial"/>
                <w:sz w:val="20"/>
                <w:szCs w:val="20"/>
              </w:rPr>
            </w:pPr>
          </w:p>
          <w:p w14:paraId="1B0291EB" w14:textId="77777777" w:rsidR="00D12E11" w:rsidRPr="00F7050E" w:rsidRDefault="00D12E11" w:rsidP="00BC7D1B">
            <w:pPr>
              <w:jc w:val="center"/>
              <w:rPr>
                <w:rFonts w:ascii="Arial" w:hAnsi="Arial" w:cs="Arial"/>
                <w:b/>
                <w:sz w:val="20"/>
                <w:szCs w:val="20"/>
              </w:rPr>
            </w:pPr>
          </w:p>
        </w:tc>
        <w:tc>
          <w:tcPr>
            <w:tcW w:w="2906" w:type="dxa"/>
          </w:tcPr>
          <w:p w14:paraId="4CA4B5D1"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p>
          <w:p w14:paraId="65DFFDC6"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p>
          <w:p w14:paraId="5D176F84"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p>
          <w:p w14:paraId="671E0BF1"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p>
          <w:p w14:paraId="06BD1976"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r w:rsidRPr="00F7050E">
              <w:rPr>
                <w:rFonts w:ascii="Arial" w:hAnsi="Arial" w:cs="Arial"/>
                <w:sz w:val="20"/>
                <w:szCs w:val="20"/>
                <w:lang w:val="en-GB"/>
              </w:rPr>
              <w:t>Risk of poverty (at the 60% threshold of equivalised disposable income) for people aged 65+</w:t>
            </w:r>
          </w:p>
          <w:p w14:paraId="1F866F7A" w14:textId="77777777" w:rsidR="00D12E11" w:rsidRPr="00F7050E" w:rsidRDefault="00D12E11" w:rsidP="00BC7D1B">
            <w:pPr>
              <w:rPr>
                <w:rFonts w:ascii="Arial" w:hAnsi="Arial" w:cs="Arial"/>
                <w:b/>
                <w:sz w:val="20"/>
                <w:szCs w:val="20"/>
              </w:rPr>
            </w:pPr>
            <w:r w:rsidRPr="00F7050E">
              <w:rPr>
                <w:rFonts w:ascii="Arial" w:hAnsi="Arial" w:cs="Arial"/>
                <w:sz w:val="20"/>
                <w:szCs w:val="20"/>
              </w:rPr>
              <w:t xml:space="preserve">Complemented by composition of income </w:t>
            </w:r>
          </w:p>
        </w:tc>
        <w:tc>
          <w:tcPr>
            <w:tcW w:w="1630" w:type="dxa"/>
          </w:tcPr>
          <w:p w14:paraId="036F6A39" w14:textId="77777777" w:rsidR="00D12E11" w:rsidRPr="00F7050E" w:rsidRDefault="00D12E11" w:rsidP="00BC7D1B">
            <w:pPr>
              <w:rPr>
                <w:rFonts w:ascii="Arial" w:hAnsi="Arial" w:cs="Arial"/>
                <w:sz w:val="20"/>
                <w:szCs w:val="20"/>
              </w:rPr>
            </w:pPr>
          </w:p>
          <w:p w14:paraId="644ACA72" w14:textId="77777777" w:rsidR="00D12E11" w:rsidRPr="00F7050E" w:rsidRDefault="00D12E11" w:rsidP="00BC7D1B">
            <w:pPr>
              <w:rPr>
                <w:rFonts w:ascii="Arial" w:hAnsi="Arial" w:cs="Arial"/>
                <w:sz w:val="20"/>
                <w:szCs w:val="20"/>
              </w:rPr>
            </w:pPr>
          </w:p>
          <w:p w14:paraId="24456B08" w14:textId="77777777" w:rsidR="00D12E11" w:rsidRPr="00F7050E" w:rsidRDefault="00D12E11" w:rsidP="00BC7D1B">
            <w:pPr>
              <w:rPr>
                <w:rFonts w:ascii="Arial" w:hAnsi="Arial" w:cs="Arial"/>
                <w:sz w:val="20"/>
                <w:szCs w:val="20"/>
              </w:rPr>
            </w:pPr>
          </w:p>
          <w:p w14:paraId="1627CFCD" w14:textId="77777777" w:rsidR="00D12E11" w:rsidRPr="00F7050E" w:rsidRDefault="00D12E11" w:rsidP="00BC7D1B">
            <w:pPr>
              <w:rPr>
                <w:rFonts w:ascii="Arial" w:hAnsi="Arial" w:cs="Arial"/>
                <w:sz w:val="20"/>
                <w:szCs w:val="20"/>
              </w:rPr>
            </w:pPr>
          </w:p>
          <w:p w14:paraId="105BA04D" w14:textId="77777777" w:rsidR="00D12E11" w:rsidRPr="00F7050E" w:rsidRDefault="00D12E11" w:rsidP="00BC7D1B">
            <w:pPr>
              <w:rPr>
                <w:rFonts w:ascii="Arial" w:hAnsi="Arial" w:cs="Arial"/>
                <w:b/>
                <w:sz w:val="20"/>
                <w:szCs w:val="20"/>
              </w:rPr>
            </w:pPr>
            <w:r w:rsidRPr="00F7050E">
              <w:rPr>
                <w:rFonts w:ascii="Arial" w:hAnsi="Arial" w:cs="Arial"/>
                <w:sz w:val="20"/>
                <w:szCs w:val="20"/>
              </w:rPr>
              <w:t>By sex</w:t>
            </w:r>
          </w:p>
        </w:tc>
        <w:tc>
          <w:tcPr>
            <w:tcW w:w="1772" w:type="dxa"/>
          </w:tcPr>
          <w:p w14:paraId="26215FA0" w14:textId="77777777" w:rsidR="00D12E11" w:rsidRPr="00F7050E" w:rsidRDefault="00D12E11" w:rsidP="00BC7D1B">
            <w:pPr>
              <w:pStyle w:val="Default"/>
              <w:rPr>
                <w:rFonts w:ascii="Arial" w:hAnsi="Arial" w:cs="Arial"/>
                <w:sz w:val="20"/>
                <w:szCs w:val="20"/>
                <w:lang w:val="en-GB"/>
              </w:rPr>
            </w:pPr>
          </w:p>
          <w:p w14:paraId="695E32B2" w14:textId="77777777" w:rsidR="00D12E11" w:rsidRPr="00F7050E" w:rsidRDefault="00D12E11" w:rsidP="00BC7D1B">
            <w:pPr>
              <w:pStyle w:val="Default"/>
              <w:rPr>
                <w:rFonts w:ascii="Arial" w:hAnsi="Arial" w:cs="Arial"/>
                <w:sz w:val="20"/>
                <w:szCs w:val="20"/>
                <w:lang w:val="en-GB"/>
              </w:rPr>
            </w:pPr>
          </w:p>
          <w:p w14:paraId="5DCBD1FF" w14:textId="77777777" w:rsidR="00D12E11" w:rsidRPr="00F7050E" w:rsidRDefault="00D12E11" w:rsidP="00BC7D1B">
            <w:pPr>
              <w:pStyle w:val="Default"/>
              <w:rPr>
                <w:rFonts w:ascii="Arial" w:hAnsi="Arial" w:cs="Arial"/>
                <w:sz w:val="20"/>
                <w:szCs w:val="20"/>
                <w:lang w:val="en-GB"/>
              </w:rPr>
            </w:pPr>
          </w:p>
          <w:p w14:paraId="6F43FCB9" w14:textId="77777777" w:rsidR="00D12E11" w:rsidRPr="00F7050E" w:rsidRDefault="00D12E11" w:rsidP="00BC7D1B">
            <w:pPr>
              <w:pStyle w:val="Default"/>
              <w:rPr>
                <w:rFonts w:ascii="Arial" w:hAnsi="Arial" w:cs="Arial"/>
                <w:sz w:val="20"/>
                <w:szCs w:val="20"/>
                <w:lang w:val="en-GB"/>
              </w:rPr>
            </w:pPr>
          </w:p>
          <w:p w14:paraId="1E43444A" w14:textId="77777777" w:rsidR="00D12E11" w:rsidRPr="00F7050E" w:rsidRDefault="00D12E11" w:rsidP="00BC7D1B">
            <w:pPr>
              <w:pStyle w:val="Default"/>
              <w:rPr>
                <w:rFonts w:ascii="Arial" w:hAnsi="Arial" w:cs="Arial"/>
                <w:sz w:val="20"/>
                <w:szCs w:val="20"/>
                <w:lang w:val="en-GB"/>
              </w:rPr>
            </w:pPr>
          </w:p>
          <w:p w14:paraId="159F80C2"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231B5CF5" w14:textId="77777777" w:rsidR="00D12E11" w:rsidRPr="00F7050E" w:rsidRDefault="00D12E11" w:rsidP="00BC7D1B">
            <w:pPr>
              <w:jc w:val="center"/>
              <w:rPr>
                <w:rFonts w:ascii="Arial" w:hAnsi="Arial" w:cs="Arial"/>
                <w:b/>
                <w:sz w:val="20"/>
                <w:szCs w:val="20"/>
              </w:rPr>
            </w:pPr>
          </w:p>
        </w:tc>
        <w:tc>
          <w:tcPr>
            <w:tcW w:w="3009" w:type="dxa"/>
          </w:tcPr>
          <w:p w14:paraId="6BC9EB9B"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EUROSTAT</w:t>
            </w:r>
            <w:r w:rsidRPr="00F7050E">
              <w:rPr>
                <w:rFonts w:ascii="Arial" w:hAnsi="Arial" w:cs="Arial"/>
                <w:i/>
                <w:sz w:val="20"/>
                <w:szCs w:val="20"/>
                <w:lang w:val="en-GB"/>
              </w:rPr>
              <w:t xml:space="preserve"> data for 2013, 2014 and 2015</w:t>
            </w:r>
          </w:p>
          <w:p w14:paraId="3C6099E3" w14:textId="77777777" w:rsidR="00D12E11" w:rsidRPr="00F7050E" w:rsidRDefault="00D12E11" w:rsidP="00BC7D1B">
            <w:pPr>
              <w:pStyle w:val="Default"/>
              <w:spacing w:after="120"/>
              <w:rPr>
                <w:rFonts w:ascii="Arial" w:hAnsi="Arial" w:cs="Arial"/>
                <w:sz w:val="20"/>
                <w:szCs w:val="20"/>
                <w:lang w:val="en-GB"/>
              </w:rPr>
            </w:pPr>
            <w:r w:rsidRPr="00F7050E">
              <w:rPr>
                <w:rFonts w:ascii="Arial" w:hAnsi="Arial" w:cs="Arial"/>
                <w:sz w:val="20"/>
                <w:szCs w:val="20"/>
                <w:lang w:val="en-GB"/>
              </w:rPr>
              <w:t>For Serbia, this is a more adequate indicator than AROPE 65+ (which is a dashboard indicator), bearing in mind the subjectivity of the indicator of material deprivation (which is a AROPE component), as well as  other issues relative to this measure (see Matkovic, 2014, for details)</w:t>
            </w:r>
          </w:p>
          <w:p w14:paraId="60FC679D" w14:textId="77777777" w:rsidR="00D12E11" w:rsidRPr="00F7050E" w:rsidRDefault="00D12E11" w:rsidP="00BC7D1B">
            <w:pPr>
              <w:pStyle w:val="Default"/>
              <w:rPr>
                <w:rFonts w:ascii="Arial" w:hAnsi="Arial" w:cs="Arial"/>
                <w:b/>
                <w:sz w:val="20"/>
                <w:szCs w:val="20"/>
              </w:rPr>
            </w:pPr>
            <w:r w:rsidRPr="00F7050E">
              <w:rPr>
                <w:rFonts w:ascii="Arial" w:hAnsi="Arial" w:cs="Arial"/>
                <w:sz w:val="20"/>
                <w:szCs w:val="20"/>
                <w:lang w:val="en-GB"/>
              </w:rPr>
              <w:t>Poverty rate of 65+ provides a key indication of the capacity of pension systems to provide adequate income to older people. Should be compared with AROP of general population</w:t>
            </w:r>
          </w:p>
        </w:tc>
      </w:tr>
      <w:tr w:rsidR="00D12E11" w:rsidRPr="00F7050E" w14:paraId="368113AF" w14:textId="77777777" w:rsidTr="00BC7D1B">
        <w:trPr>
          <w:trHeight w:val="405"/>
          <w:jc w:val="center"/>
        </w:trPr>
        <w:tc>
          <w:tcPr>
            <w:tcW w:w="534" w:type="dxa"/>
          </w:tcPr>
          <w:p w14:paraId="3775242C" w14:textId="77777777" w:rsidR="00D12E11" w:rsidRPr="00F7050E" w:rsidRDefault="00D12E11" w:rsidP="00BC7D1B">
            <w:pPr>
              <w:rPr>
                <w:rFonts w:ascii="Arial" w:hAnsi="Arial" w:cs="Arial"/>
                <w:sz w:val="20"/>
                <w:szCs w:val="20"/>
              </w:rPr>
            </w:pPr>
          </w:p>
          <w:p w14:paraId="23F98C7E" w14:textId="77777777" w:rsidR="00D12E11" w:rsidRPr="00F7050E" w:rsidRDefault="00D12E11" w:rsidP="00BC7D1B">
            <w:pPr>
              <w:rPr>
                <w:rFonts w:ascii="Arial" w:hAnsi="Arial" w:cs="Arial"/>
                <w:sz w:val="20"/>
                <w:szCs w:val="20"/>
              </w:rPr>
            </w:pPr>
          </w:p>
          <w:p w14:paraId="378F95D1" w14:textId="77777777" w:rsidR="00D12E11" w:rsidRPr="00F7050E" w:rsidRDefault="00D12E11" w:rsidP="00BC7D1B">
            <w:pPr>
              <w:rPr>
                <w:rFonts w:ascii="Arial" w:hAnsi="Arial" w:cs="Arial"/>
                <w:sz w:val="20"/>
                <w:szCs w:val="20"/>
              </w:rPr>
            </w:pPr>
          </w:p>
          <w:p w14:paraId="1A7336D0" w14:textId="77777777" w:rsidR="00D12E11" w:rsidRPr="00F7050E" w:rsidRDefault="00D12E11" w:rsidP="00BC7D1B">
            <w:pPr>
              <w:rPr>
                <w:rFonts w:ascii="Arial" w:hAnsi="Arial" w:cs="Arial"/>
                <w:sz w:val="20"/>
                <w:szCs w:val="20"/>
              </w:rPr>
            </w:pPr>
            <w:r w:rsidRPr="00F7050E">
              <w:rPr>
                <w:rFonts w:ascii="Arial" w:hAnsi="Arial" w:cs="Arial"/>
                <w:sz w:val="20"/>
                <w:szCs w:val="20"/>
              </w:rPr>
              <w:t>O2</w:t>
            </w:r>
          </w:p>
        </w:tc>
        <w:tc>
          <w:tcPr>
            <w:tcW w:w="2409" w:type="dxa"/>
          </w:tcPr>
          <w:p w14:paraId="510A92C4" w14:textId="77777777" w:rsidR="00D12E11" w:rsidRPr="00F7050E" w:rsidRDefault="00D12E11" w:rsidP="00BC7D1B">
            <w:pPr>
              <w:rPr>
                <w:rFonts w:ascii="Arial" w:hAnsi="Arial" w:cs="Arial"/>
                <w:bCs/>
                <w:sz w:val="20"/>
                <w:szCs w:val="20"/>
              </w:rPr>
            </w:pPr>
            <w:r w:rsidRPr="00F7050E">
              <w:rPr>
                <w:rFonts w:ascii="Arial" w:hAnsi="Arial" w:cs="Arial"/>
                <w:bCs/>
                <w:sz w:val="20"/>
                <w:szCs w:val="20"/>
              </w:rPr>
              <w:t xml:space="preserve">Median relative income </w:t>
            </w:r>
          </w:p>
          <w:p w14:paraId="1DAD54CD" w14:textId="77777777" w:rsidR="00D12E11" w:rsidRPr="00F7050E" w:rsidRDefault="00D12E11" w:rsidP="00BC7D1B">
            <w:pPr>
              <w:rPr>
                <w:rFonts w:ascii="Arial" w:hAnsi="Arial" w:cs="Arial"/>
                <w:sz w:val="20"/>
                <w:szCs w:val="20"/>
              </w:rPr>
            </w:pPr>
            <w:r w:rsidRPr="00F7050E">
              <w:rPr>
                <w:rFonts w:ascii="Arial" w:hAnsi="Arial" w:cs="Arial"/>
                <w:bCs/>
                <w:sz w:val="20"/>
                <w:szCs w:val="20"/>
              </w:rPr>
              <w:t xml:space="preserve">     of older people</w:t>
            </w:r>
          </w:p>
        </w:tc>
        <w:tc>
          <w:tcPr>
            <w:tcW w:w="1772" w:type="dxa"/>
          </w:tcPr>
          <w:p w14:paraId="1D9B1005" w14:textId="77777777" w:rsidR="00D12E11" w:rsidRPr="00F7050E" w:rsidRDefault="00D12E11" w:rsidP="00BC7D1B">
            <w:pPr>
              <w:rPr>
                <w:rFonts w:ascii="Arial" w:hAnsi="Arial" w:cs="Arial"/>
                <w:i/>
                <w:sz w:val="20"/>
                <w:szCs w:val="20"/>
              </w:rPr>
            </w:pPr>
            <w:r w:rsidRPr="00F7050E">
              <w:rPr>
                <w:rFonts w:ascii="Arial" w:hAnsi="Arial" w:cs="Arial"/>
                <w:i/>
                <w:sz w:val="20"/>
                <w:szCs w:val="20"/>
              </w:rPr>
              <w:t>Adequate Pensions - Primary EU indicator</w:t>
            </w:r>
          </w:p>
          <w:p w14:paraId="60C25799" w14:textId="77777777" w:rsidR="00D12E11" w:rsidRPr="00F7050E" w:rsidRDefault="00D12E11" w:rsidP="00BC7D1B">
            <w:pPr>
              <w:rPr>
                <w:rFonts w:ascii="Arial" w:hAnsi="Arial" w:cs="Arial"/>
                <w:i/>
                <w:sz w:val="20"/>
                <w:szCs w:val="20"/>
              </w:rPr>
            </w:pPr>
          </w:p>
        </w:tc>
        <w:tc>
          <w:tcPr>
            <w:tcW w:w="2906" w:type="dxa"/>
          </w:tcPr>
          <w:p w14:paraId="1AA762E0" w14:textId="77777777" w:rsidR="00D12E11" w:rsidRPr="00F7050E" w:rsidRDefault="00D12E11" w:rsidP="00BC7D1B">
            <w:pPr>
              <w:rPr>
                <w:rFonts w:ascii="Arial" w:hAnsi="Arial" w:cs="Arial"/>
                <w:sz w:val="20"/>
                <w:szCs w:val="20"/>
              </w:rPr>
            </w:pPr>
            <w:r w:rsidRPr="00F7050E">
              <w:rPr>
                <w:rFonts w:ascii="Arial" w:hAnsi="Arial" w:cs="Arial"/>
                <w:sz w:val="20"/>
                <w:szCs w:val="20"/>
              </w:rPr>
              <w:t>The ratio between the median equivalised disposable income of persons aged 65 or older and the median equivalised disposable income of persons aged between 0 and 64.</w:t>
            </w:r>
          </w:p>
        </w:tc>
        <w:tc>
          <w:tcPr>
            <w:tcW w:w="1630" w:type="dxa"/>
          </w:tcPr>
          <w:p w14:paraId="2288DA22" w14:textId="77777777" w:rsidR="00D12E11" w:rsidRPr="00F7050E" w:rsidRDefault="00D12E11" w:rsidP="00BC7D1B">
            <w:pPr>
              <w:rPr>
                <w:rFonts w:ascii="Arial" w:hAnsi="Arial" w:cs="Arial"/>
                <w:sz w:val="20"/>
                <w:szCs w:val="20"/>
              </w:rPr>
            </w:pPr>
          </w:p>
          <w:p w14:paraId="77250B03" w14:textId="77777777" w:rsidR="00D12E11" w:rsidRPr="00F7050E" w:rsidRDefault="00D12E11" w:rsidP="00BC7D1B">
            <w:pPr>
              <w:rPr>
                <w:rFonts w:ascii="Arial" w:hAnsi="Arial" w:cs="Arial"/>
                <w:sz w:val="20"/>
                <w:szCs w:val="20"/>
              </w:rPr>
            </w:pPr>
            <w:r w:rsidRPr="00F7050E">
              <w:rPr>
                <w:rFonts w:ascii="Arial" w:hAnsi="Arial" w:cs="Arial"/>
                <w:sz w:val="20"/>
                <w:szCs w:val="20"/>
              </w:rPr>
              <w:t>By sex</w:t>
            </w:r>
          </w:p>
        </w:tc>
        <w:tc>
          <w:tcPr>
            <w:tcW w:w="1772" w:type="dxa"/>
          </w:tcPr>
          <w:p w14:paraId="632468ED" w14:textId="77777777" w:rsidR="00D12E11" w:rsidRPr="00F7050E" w:rsidRDefault="00D12E11" w:rsidP="00BC7D1B">
            <w:pPr>
              <w:pStyle w:val="Default"/>
              <w:rPr>
                <w:rFonts w:ascii="Arial" w:hAnsi="Arial" w:cs="Arial"/>
                <w:sz w:val="20"/>
                <w:szCs w:val="20"/>
                <w:lang w:val="en-GB"/>
              </w:rPr>
            </w:pPr>
          </w:p>
          <w:p w14:paraId="06DA293D"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sz w:val="20"/>
                <w:szCs w:val="20"/>
                <w:lang w:val="en-GB"/>
              </w:rPr>
              <w:t>SORS</w:t>
            </w:r>
            <w:r w:rsidRPr="00F7050E">
              <w:rPr>
                <w:rFonts w:ascii="Arial" w:hAnsi="Arial" w:cs="Arial"/>
                <w:color w:val="auto"/>
                <w:sz w:val="20"/>
                <w:szCs w:val="20"/>
                <w:lang w:val="en-GB"/>
              </w:rPr>
              <w:t xml:space="preserve"> (EU-SILC)</w:t>
            </w:r>
          </w:p>
          <w:p w14:paraId="7A6CB42A" w14:textId="77777777" w:rsidR="00D12E11" w:rsidRPr="00F7050E" w:rsidRDefault="00D12E11" w:rsidP="00BC7D1B">
            <w:pPr>
              <w:pStyle w:val="Default"/>
              <w:rPr>
                <w:rFonts w:ascii="Arial" w:hAnsi="Arial" w:cs="Arial"/>
                <w:color w:val="auto"/>
                <w:sz w:val="20"/>
                <w:szCs w:val="20"/>
                <w:lang w:val="en-GB"/>
              </w:rPr>
            </w:pPr>
          </w:p>
          <w:p w14:paraId="3748B980"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color w:val="auto"/>
                <w:sz w:val="20"/>
                <w:szCs w:val="20"/>
                <w:lang w:val="en-GB"/>
              </w:rPr>
              <w:t>(Annual average)</w:t>
            </w:r>
          </w:p>
          <w:p w14:paraId="7C014248" w14:textId="77777777" w:rsidR="00D12E11" w:rsidRPr="00F7050E" w:rsidRDefault="00D12E11" w:rsidP="00BC7D1B">
            <w:pPr>
              <w:pStyle w:val="Default"/>
              <w:rPr>
                <w:rFonts w:ascii="Arial" w:hAnsi="Arial" w:cs="Arial"/>
                <w:sz w:val="20"/>
                <w:szCs w:val="20"/>
              </w:rPr>
            </w:pPr>
          </w:p>
        </w:tc>
        <w:tc>
          <w:tcPr>
            <w:tcW w:w="3009" w:type="dxa"/>
          </w:tcPr>
          <w:p w14:paraId="5758BBBE" w14:textId="77777777" w:rsidR="00D12E11" w:rsidRPr="00F7050E" w:rsidRDefault="00D12E11" w:rsidP="00BC7D1B">
            <w:pPr>
              <w:pStyle w:val="Default"/>
              <w:framePr w:hSpace="180" w:wrap="around" w:vAnchor="page" w:hAnchor="margin" w:x="-459" w:y="615"/>
              <w:rPr>
                <w:rFonts w:ascii="Arial" w:hAnsi="Arial" w:cs="Arial"/>
                <w:color w:val="auto"/>
                <w:sz w:val="20"/>
                <w:szCs w:val="20"/>
                <w:lang w:val="en-GB"/>
              </w:rPr>
            </w:pPr>
          </w:p>
          <w:p w14:paraId="02273DF8" w14:textId="77777777" w:rsidR="00D12E11" w:rsidRPr="00F7050E" w:rsidRDefault="00D12E11" w:rsidP="00BC7D1B">
            <w:pPr>
              <w:pStyle w:val="Default"/>
              <w:framePr w:hSpace="180" w:wrap="around" w:vAnchor="page" w:hAnchor="margin" w:x="-459" w:y="615"/>
              <w:rPr>
                <w:rFonts w:ascii="Arial" w:hAnsi="Arial" w:cs="Arial"/>
                <w:color w:val="auto"/>
                <w:sz w:val="20"/>
                <w:szCs w:val="20"/>
                <w:lang w:val="en-GB"/>
              </w:rPr>
            </w:pPr>
            <w:r w:rsidRPr="00F7050E">
              <w:rPr>
                <w:rFonts w:ascii="Arial" w:hAnsi="Arial" w:cs="Arial"/>
                <w:color w:val="auto"/>
                <w:sz w:val="20"/>
                <w:szCs w:val="20"/>
                <w:lang w:val="en-GB"/>
              </w:rPr>
              <w:t xml:space="preserve">EUROSTAT </w:t>
            </w:r>
            <w:r w:rsidRPr="00F7050E">
              <w:rPr>
                <w:rFonts w:ascii="Arial" w:hAnsi="Arial" w:cs="Arial"/>
                <w:i/>
                <w:color w:val="auto"/>
                <w:sz w:val="20"/>
                <w:szCs w:val="20"/>
                <w:lang w:val="en-GB"/>
              </w:rPr>
              <w:t>data for 2013, 2014 and 2015</w:t>
            </w:r>
            <w:r w:rsidRPr="00F7050E">
              <w:rPr>
                <w:rFonts w:ascii="Arial" w:hAnsi="Arial" w:cs="Arial"/>
                <w:color w:val="auto"/>
                <w:sz w:val="20"/>
                <w:szCs w:val="20"/>
                <w:lang w:val="en-GB"/>
              </w:rPr>
              <w:t xml:space="preserve"> </w:t>
            </w:r>
          </w:p>
        </w:tc>
      </w:tr>
      <w:tr w:rsidR="00D12E11" w:rsidRPr="00F7050E" w14:paraId="09109E7C" w14:textId="77777777" w:rsidTr="00BC7D1B">
        <w:trPr>
          <w:trHeight w:val="263"/>
          <w:jc w:val="center"/>
        </w:trPr>
        <w:tc>
          <w:tcPr>
            <w:tcW w:w="534" w:type="dxa"/>
          </w:tcPr>
          <w:p w14:paraId="10DCEA16" w14:textId="77777777" w:rsidR="00D12E11" w:rsidRPr="00F7050E" w:rsidRDefault="00D12E11" w:rsidP="00BC7D1B">
            <w:pPr>
              <w:rPr>
                <w:rFonts w:ascii="Arial" w:hAnsi="Arial" w:cs="Arial"/>
                <w:sz w:val="20"/>
                <w:szCs w:val="20"/>
              </w:rPr>
            </w:pPr>
          </w:p>
          <w:p w14:paraId="060CF961" w14:textId="77777777" w:rsidR="00D12E11" w:rsidRPr="00F7050E" w:rsidRDefault="00D12E11" w:rsidP="00BC7D1B">
            <w:pPr>
              <w:rPr>
                <w:rFonts w:ascii="Arial" w:hAnsi="Arial" w:cs="Arial"/>
                <w:sz w:val="20"/>
                <w:szCs w:val="20"/>
              </w:rPr>
            </w:pPr>
          </w:p>
          <w:p w14:paraId="3AC7B83C" w14:textId="77777777" w:rsidR="00D12E11" w:rsidRPr="00F7050E" w:rsidRDefault="00D12E11" w:rsidP="00BC7D1B">
            <w:pPr>
              <w:rPr>
                <w:rFonts w:ascii="Arial" w:hAnsi="Arial" w:cs="Arial"/>
                <w:sz w:val="20"/>
                <w:szCs w:val="20"/>
              </w:rPr>
            </w:pPr>
          </w:p>
          <w:p w14:paraId="1AF39FE7" w14:textId="77777777" w:rsidR="00D12E11" w:rsidRPr="00F7050E" w:rsidRDefault="00D12E11" w:rsidP="00BC7D1B">
            <w:pPr>
              <w:rPr>
                <w:rFonts w:ascii="Arial" w:hAnsi="Arial" w:cs="Arial"/>
                <w:sz w:val="20"/>
                <w:szCs w:val="20"/>
              </w:rPr>
            </w:pPr>
            <w:r w:rsidRPr="00F7050E">
              <w:rPr>
                <w:rFonts w:ascii="Arial" w:hAnsi="Arial" w:cs="Arial"/>
                <w:sz w:val="20"/>
                <w:szCs w:val="20"/>
              </w:rPr>
              <w:t>O3</w:t>
            </w:r>
          </w:p>
        </w:tc>
        <w:tc>
          <w:tcPr>
            <w:tcW w:w="2409" w:type="dxa"/>
          </w:tcPr>
          <w:p w14:paraId="0F4A2D0C" w14:textId="77777777" w:rsidR="00D12E11" w:rsidRPr="00F7050E" w:rsidRDefault="00D12E11" w:rsidP="00BC7D1B">
            <w:pPr>
              <w:rPr>
                <w:rFonts w:ascii="Arial" w:hAnsi="Arial" w:cs="Arial"/>
                <w:sz w:val="20"/>
                <w:szCs w:val="20"/>
              </w:rPr>
            </w:pPr>
          </w:p>
          <w:p w14:paraId="2BAEEDD1" w14:textId="77777777" w:rsidR="00D12E11" w:rsidRPr="00F7050E" w:rsidRDefault="00D12E11" w:rsidP="00BC7D1B">
            <w:pPr>
              <w:rPr>
                <w:rFonts w:ascii="Arial" w:hAnsi="Arial" w:cs="Arial"/>
                <w:sz w:val="20"/>
                <w:szCs w:val="20"/>
              </w:rPr>
            </w:pPr>
          </w:p>
          <w:p w14:paraId="70E63733" w14:textId="77777777" w:rsidR="00D12E11" w:rsidRPr="00F7050E" w:rsidRDefault="00D12E11" w:rsidP="00BC7D1B">
            <w:pPr>
              <w:rPr>
                <w:rFonts w:ascii="Arial" w:hAnsi="Arial" w:cs="Arial"/>
                <w:sz w:val="20"/>
                <w:szCs w:val="20"/>
              </w:rPr>
            </w:pPr>
          </w:p>
          <w:p w14:paraId="4AE09C48" w14:textId="77777777" w:rsidR="00D12E11" w:rsidRPr="00F7050E" w:rsidRDefault="00D12E11" w:rsidP="00BC7D1B">
            <w:pPr>
              <w:rPr>
                <w:rFonts w:ascii="Arial" w:hAnsi="Arial" w:cs="Arial"/>
                <w:sz w:val="20"/>
                <w:szCs w:val="20"/>
              </w:rPr>
            </w:pPr>
            <w:r w:rsidRPr="00F7050E">
              <w:rPr>
                <w:rFonts w:ascii="Arial" w:hAnsi="Arial" w:cs="Arial"/>
                <w:sz w:val="20"/>
                <w:szCs w:val="20"/>
              </w:rPr>
              <w:t>Pension coverage of older people (percentage)</w:t>
            </w:r>
          </w:p>
          <w:p w14:paraId="25D860A2" w14:textId="77777777" w:rsidR="00D12E11" w:rsidRPr="00F7050E" w:rsidRDefault="00D12E11" w:rsidP="00BC7D1B">
            <w:pPr>
              <w:rPr>
                <w:rFonts w:ascii="Arial" w:hAnsi="Arial" w:cs="Arial"/>
                <w:sz w:val="20"/>
                <w:szCs w:val="20"/>
              </w:rPr>
            </w:pPr>
          </w:p>
          <w:p w14:paraId="78FFDE98" w14:textId="77777777" w:rsidR="00D12E11" w:rsidRPr="00F7050E" w:rsidRDefault="00D12E11" w:rsidP="00BC7D1B">
            <w:pPr>
              <w:rPr>
                <w:rFonts w:ascii="Arial" w:hAnsi="Arial" w:cs="Arial"/>
                <w:sz w:val="20"/>
                <w:szCs w:val="20"/>
              </w:rPr>
            </w:pPr>
          </w:p>
        </w:tc>
        <w:tc>
          <w:tcPr>
            <w:tcW w:w="1772" w:type="dxa"/>
          </w:tcPr>
          <w:p w14:paraId="0B0B72D2" w14:textId="77777777" w:rsidR="00D12E11" w:rsidRPr="00F7050E" w:rsidRDefault="00D12E11" w:rsidP="00BC7D1B">
            <w:pPr>
              <w:rPr>
                <w:rFonts w:ascii="Arial" w:hAnsi="Arial" w:cs="Arial"/>
                <w:i/>
                <w:sz w:val="20"/>
                <w:szCs w:val="20"/>
              </w:rPr>
            </w:pPr>
          </w:p>
          <w:p w14:paraId="514090AB" w14:textId="77777777" w:rsidR="00D12E11" w:rsidRPr="00F7050E" w:rsidRDefault="00D12E11" w:rsidP="00BC7D1B">
            <w:pPr>
              <w:rPr>
                <w:rFonts w:ascii="Arial" w:hAnsi="Arial" w:cs="Arial"/>
                <w:i/>
                <w:sz w:val="20"/>
                <w:szCs w:val="20"/>
              </w:rPr>
            </w:pPr>
          </w:p>
          <w:p w14:paraId="34FADAAC" w14:textId="77777777" w:rsidR="00D12E11" w:rsidRPr="00F7050E" w:rsidRDefault="00D12E11" w:rsidP="00BC7D1B">
            <w:pPr>
              <w:rPr>
                <w:rFonts w:ascii="Arial" w:hAnsi="Arial" w:cs="Arial"/>
                <w:i/>
                <w:sz w:val="20"/>
                <w:szCs w:val="20"/>
              </w:rPr>
            </w:pPr>
          </w:p>
          <w:p w14:paraId="16A3B734"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21B7FAA4" w14:textId="77777777" w:rsidR="00D12E11" w:rsidRPr="00F7050E" w:rsidRDefault="00D12E11" w:rsidP="00BC7D1B">
            <w:pPr>
              <w:rPr>
                <w:rFonts w:ascii="Arial" w:hAnsi="Arial" w:cs="Arial"/>
                <w:sz w:val="20"/>
                <w:szCs w:val="20"/>
              </w:rPr>
            </w:pPr>
          </w:p>
        </w:tc>
        <w:tc>
          <w:tcPr>
            <w:tcW w:w="2906" w:type="dxa"/>
          </w:tcPr>
          <w:p w14:paraId="2A173AA0" w14:textId="77777777" w:rsidR="00D12E11" w:rsidRPr="00F7050E" w:rsidRDefault="00D12E11" w:rsidP="00BC7D1B">
            <w:pPr>
              <w:rPr>
                <w:rFonts w:ascii="Arial" w:hAnsi="Arial" w:cs="Arial"/>
                <w:sz w:val="20"/>
                <w:szCs w:val="20"/>
              </w:rPr>
            </w:pPr>
            <w:r w:rsidRPr="00F7050E">
              <w:rPr>
                <w:rFonts w:ascii="Arial" w:hAnsi="Arial" w:cs="Arial"/>
                <w:sz w:val="20"/>
                <w:szCs w:val="20"/>
              </w:rPr>
              <w:t>Pensioners above the mandatory retirement age limit relative to the population above the mandatory retirement age limit</w:t>
            </w:r>
          </w:p>
          <w:p w14:paraId="5830C5D2" w14:textId="77777777" w:rsidR="00D12E11" w:rsidRPr="00F7050E" w:rsidRDefault="00D12E11" w:rsidP="00BC7D1B">
            <w:pPr>
              <w:rPr>
                <w:rFonts w:ascii="Arial" w:hAnsi="Arial" w:cs="Arial"/>
                <w:sz w:val="20"/>
                <w:szCs w:val="20"/>
                <w:highlight w:val="green"/>
              </w:rPr>
            </w:pPr>
          </w:p>
        </w:tc>
        <w:tc>
          <w:tcPr>
            <w:tcW w:w="1630" w:type="dxa"/>
          </w:tcPr>
          <w:p w14:paraId="6221DDE2" w14:textId="77777777" w:rsidR="00D12E11" w:rsidRPr="00F7050E" w:rsidRDefault="00D12E11" w:rsidP="00BC7D1B">
            <w:pPr>
              <w:rPr>
                <w:rFonts w:ascii="Arial" w:hAnsi="Arial" w:cs="Arial"/>
                <w:sz w:val="20"/>
                <w:szCs w:val="20"/>
              </w:rPr>
            </w:pPr>
            <w:r w:rsidRPr="00F7050E">
              <w:rPr>
                <w:rFonts w:ascii="Arial" w:hAnsi="Arial" w:cs="Arial"/>
                <w:sz w:val="20"/>
                <w:szCs w:val="20"/>
              </w:rPr>
              <w:t>By sex</w:t>
            </w:r>
          </w:p>
          <w:p w14:paraId="484A03B6" w14:textId="77777777" w:rsidR="00D12E11" w:rsidRPr="00F7050E" w:rsidRDefault="00D12E11" w:rsidP="00BC7D1B">
            <w:pPr>
              <w:rPr>
                <w:rFonts w:ascii="Arial" w:hAnsi="Arial" w:cs="Arial"/>
                <w:sz w:val="20"/>
                <w:szCs w:val="20"/>
              </w:rPr>
            </w:pPr>
          </w:p>
          <w:p w14:paraId="5A7D4A70" w14:textId="77777777" w:rsidR="00D12E11" w:rsidRPr="00F7050E" w:rsidRDefault="00D12E11" w:rsidP="00BC7D1B">
            <w:pPr>
              <w:rPr>
                <w:rFonts w:ascii="Arial" w:hAnsi="Arial" w:cs="Arial"/>
                <w:sz w:val="20"/>
                <w:szCs w:val="20"/>
              </w:rPr>
            </w:pPr>
            <w:r w:rsidRPr="00F7050E">
              <w:rPr>
                <w:rFonts w:ascii="Arial" w:hAnsi="Arial" w:cs="Arial"/>
                <w:sz w:val="20"/>
                <w:szCs w:val="20"/>
              </w:rPr>
              <w:t>For age groups 65+, 75+, 80+</w:t>
            </w:r>
          </w:p>
        </w:tc>
        <w:tc>
          <w:tcPr>
            <w:tcW w:w="1772" w:type="dxa"/>
          </w:tcPr>
          <w:p w14:paraId="139D850E"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r w:rsidRPr="00F7050E">
              <w:rPr>
                <w:rFonts w:ascii="Arial" w:hAnsi="Arial" w:cs="Arial"/>
                <w:color w:val="231F20"/>
                <w:sz w:val="20"/>
                <w:szCs w:val="20"/>
              </w:rPr>
              <w:t xml:space="preserve">Report OS-5) and </w:t>
            </w:r>
            <w:r w:rsidRPr="00F7050E">
              <w:rPr>
                <w:rFonts w:ascii="Arial" w:hAnsi="Arial" w:cs="Arial"/>
                <w:sz w:val="20"/>
                <w:szCs w:val="20"/>
              </w:rPr>
              <w:t>SORS</w:t>
            </w:r>
            <w:r w:rsidRPr="00F7050E">
              <w:rPr>
                <w:rFonts w:ascii="Arial" w:hAnsi="Arial" w:cs="Arial"/>
                <w:color w:val="231F20"/>
                <w:sz w:val="20"/>
                <w:szCs w:val="20"/>
              </w:rPr>
              <w:t xml:space="preserve"> (Demographic projections by sex and age groups). Secondary source SILC</w:t>
            </w:r>
          </w:p>
          <w:p w14:paraId="1D061FD0" w14:textId="77777777" w:rsidR="00D12E11" w:rsidRPr="00F7050E" w:rsidRDefault="00D12E11" w:rsidP="00BC7D1B">
            <w:pPr>
              <w:rPr>
                <w:rFonts w:ascii="Arial" w:hAnsi="Arial" w:cs="Arial"/>
                <w:i/>
                <w:sz w:val="20"/>
                <w:szCs w:val="20"/>
              </w:rPr>
            </w:pPr>
            <w:r w:rsidRPr="00F7050E">
              <w:rPr>
                <w:rFonts w:ascii="Arial" w:hAnsi="Arial" w:cs="Arial"/>
                <w:i/>
                <w:color w:val="231F20"/>
                <w:sz w:val="20"/>
                <w:szCs w:val="20"/>
              </w:rPr>
              <w:t>(Annually)</w:t>
            </w:r>
          </w:p>
        </w:tc>
        <w:tc>
          <w:tcPr>
            <w:tcW w:w="3009" w:type="dxa"/>
          </w:tcPr>
          <w:p w14:paraId="0EFF2B1C" w14:textId="77777777" w:rsidR="00D12E11" w:rsidRPr="00F7050E" w:rsidRDefault="00D12E11" w:rsidP="00BC7D1B">
            <w:pPr>
              <w:widowControl w:val="0"/>
              <w:autoSpaceDE w:val="0"/>
              <w:autoSpaceDN w:val="0"/>
              <w:adjustRightInd w:val="0"/>
              <w:rPr>
                <w:rFonts w:ascii="Arial" w:hAnsi="Arial" w:cs="Arial"/>
                <w:i/>
                <w:color w:val="231F20"/>
                <w:sz w:val="20"/>
                <w:szCs w:val="20"/>
              </w:rPr>
            </w:pPr>
            <w:r w:rsidRPr="00F7050E">
              <w:rPr>
                <w:rFonts w:ascii="Arial" w:hAnsi="Arial" w:cs="Arial"/>
                <w:i/>
                <w:color w:val="231F20"/>
                <w:sz w:val="20"/>
                <w:szCs w:val="20"/>
              </w:rPr>
              <w:t>Calculation needed</w:t>
            </w:r>
          </w:p>
          <w:p w14:paraId="6E257BA7" w14:textId="77777777" w:rsidR="00D12E11" w:rsidRPr="00F7050E" w:rsidRDefault="00D12E11" w:rsidP="00BC7D1B">
            <w:pPr>
              <w:widowControl w:val="0"/>
              <w:autoSpaceDE w:val="0"/>
              <w:autoSpaceDN w:val="0"/>
              <w:adjustRightInd w:val="0"/>
              <w:rPr>
                <w:rFonts w:ascii="Arial" w:hAnsi="Arial" w:cs="Arial"/>
                <w:color w:val="231F20"/>
                <w:sz w:val="20"/>
                <w:szCs w:val="20"/>
              </w:rPr>
            </w:pPr>
          </w:p>
          <w:p w14:paraId="2F05B57F" w14:textId="77777777" w:rsidR="00D12E11" w:rsidRPr="00F7050E" w:rsidRDefault="00D12E11" w:rsidP="00BC7D1B">
            <w:pPr>
              <w:widowControl w:val="0"/>
              <w:autoSpaceDE w:val="0"/>
              <w:autoSpaceDN w:val="0"/>
              <w:adjustRightInd w:val="0"/>
              <w:rPr>
                <w:rFonts w:ascii="Arial" w:hAnsi="Arial" w:cs="Arial"/>
                <w:color w:val="231F20"/>
                <w:sz w:val="20"/>
                <w:szCs w:val="20"/>
              </w:rPr>
            </w:pPr>
          </w:p>
        </w:tc>
      </w:tr>
      <w:tr w:rsidR="00D12E11" w:rsidRPr="00F7050E" w14:paraId="494CD956" w14:textId="77777777" w:rsidTr="00BC7D1B">
        <w:trPr>
          <w:jc w:val="center"/>
        </w:trPr>
        <w:tc>
          <w:tcPr>
            <w:tcW w:w="534" w:type="dxa"/>
            <w:tcBorders>
              <w:bottom w:val="single" w:sz="4" w:space="0" w:color="000000"/>
            </w:tcBorders>
          </w:tcPr>
          <w:p w14:paraId="5D9CAA40" w14:textId="77777777" w:rsidR="00D12E11" w:rsidRPr="00F7050E" w:rsidRDefault="00D12E11" w:rsidP="00BC7D1B">
            <w:pPr>
              <w:rPr>
                <w:rFonts w:ascii="Arial" w:hAnsi="Arial" w:cs="Arial"/>
                <w:sz w:val="20"/>
                <w:szCs w:val="20"/>
              </w:rPr>
            </w:pPr>
          </w:p>
          <w:p w14:paraId="5E3C43B9" w14:textId="77777777" w:rsidR="00D12E11" w:rsidRPr="00F7050E" w:rsidRDefault="00D12E11" w:rsidP="00BC7D1B">
            <w:pPr>
              <w:rPr>
                <w:rFonts w:ascii="Arial" w:hAnsi="Arial" w:cs="Arial"/>
                <w:sz w:val="20"/>
                <w:szCs w:val="20"/>
              </w:rPr>
            </w:pPr>
          </w:p>
          <w:p w14:paraId="48FEEE51" w14:textId="77777777" w:rsidR="00D12E11" w:rsidRPr="00F7050E" w:rsidRDefault="00D12E11" w:rsidP="00BC7D1B">
            <w:pPr>
              <w:rPr>
                <w:rFonts w:ascii="Arial" w:hAnsi="Arial" w:cs="Arial"/>
                <w:sz w:val="20"/>
                <w:szCs w:val="20"/>
              </w:rPr>
            </w:pPr>
          </w:p>
          <w:p w14:paraId="770978A8" w14:textId="77777777" w:rsidR="00D12E11" w:rsidRPr="00F7050E" w:rsidRDefault="00D12E11" w:rsidP="00BC7D1B">
            <w:pPr>
              <w:rPr>
                <w:rFonts w:ascii="Arial" w:hAnsi="Arial" w:cs="Arial"/>
                <w:sz w:val="20"/>
                <w:szCs w:val="20"/>
              </w:rPr>
            </w:pPr>
            <w:r w:rsidRPr="00F7050E">
              <w:rPr>
                <w:rFonts w:ascii="Arial" w:hAnsi="Arial" w:cs="Arial"/>
                <w:sz w:val="20"/>
                <w:szCs w:val="20"/>
              </w:rPr>
              <w:t>O4</w:t>
            </w:r>
          </w:p>
        </w:tc>
        <w:tc>
          <w:tcPr>
            <w:tcW w:w="2409" w:type="dxa"/>
            <w:tcBorders>
              <w:bottom w:val="single" w:sz="4" w:space="0" w:color="000000"/>
            </w:tcBorders>
          </w:tcPr>
          <w:p w14:paraId="4166C010" w14:textId="77777777" w:rsidR="00D12E11" w:rsidRPr="00F7050E" w:rsidRDefault="00D12E11" w:rsidP="00BC7D1B">
            <w:pPr>
              <w:pStyle w:val="Default"/>
              <w:rPr>
                <w:rFonts w:ascii="Arial" w:hAnsi="Arial" w:cs="Arial"/>
                <w:bCs/>
                <w:color w:val="auto"/>
                <w:sz w:val="20"/>
                <w:szCs w:val="20"/>
                <w:lang w:val="en-GB"/>
              </w:rPr>
            </w:pPr>
            <w:r w:rsidRPr="00F7050E">
              <w:rPr>
                <w:rFonts w:ascii="Arial" w:hAnsi="Arial" w:cs="Arial"/>
                <w:bCs/>
                <w:color w:val="auto"/>
                <w:sz w:val="20"/>
                <w:szCs w:val="20"/>
                <w:lang w:val="en-GB"/>
              </w:rPr>
              <w:t xml:space="preserve">The total expenditure for current pensions  (percentage of  expenditure for social care and percentage of consolidated  state </w:t>
            </w:r>
          </w:p>
          <w:p w14:paraId="1DE3098B" w14:textId="77777777" w:rsidR="00D12E11" w:rsidRPr="00F7050E" w:rsidRDefault="00D12E11" w:rsidP="00BC7D1B">
            <w:pPr>
              <w:rPr>
                <w:rFonts w:ascii="Arial" w:hAnsi="Arial" w:cs="Arial"/>
                <w:sz w:val="20"/>
                <w:szCs w:val="20"/>
              </w:rPr>
            </w:pPr>
          </w:p>
        </w:tc>
        <w:tc>
          <w:tcPr>
            <w:tcW w:w="1772" w:type="dxa"/>
            <w:tcBorders>
              <w:bottom w:val="single" w:sz="4" w:space="0" w:color="000000"/>
            </w:tcBorders>
          </w:tcPr>
          <w:p w14:paraId="29F1EA45" w14:textId="77777777" w:rsidR="00D12E11" w:rsidRPr="00F7050E" w:rsidRDefault="00D12E11" w:rsidP="00BC7D1B">
            <w:pPr>
              <w:rPr>
                <w:rFonts w:ascii="Arial" w:hAnsi="Arial" w:cs="Arial"/>
                <w:i/>
                <w:sz w:val="20"/>
                <w:szCs w:val="20"/>
              </w:rPr>
            </w:pPr>
          </w:p>
          <w:p w14:paraId="40B52B90" w14:textId="77777777" w:rsidR="00D12E11" w:rsidRPr="00F7050E" w:rsidRDefault="00D12E11" w:rsidP="00BC7D1B">
            <w:pPr>
              <w:rPr>
                <w:rFonts w:ascii="Arial" w:hAnsi="Arial" w:cs="Arial"/>
                <w:i/>
                <w:sz w:val="20"/>
                <w:szCs w:val="20"/>
              </w:rPr>
            </w:pPr>
          </w:p>
          <w:p w14:paraId="01550CA2" w14:textId="77777777" w:rsidR="00D12E11" w:rsidRPr="00F7050E" w:rsidRDefault="00D12E11" w:rsidP="00BC7D1B">
            <w:pPr>
              <w:rPr>
                <w:rFonts w:ascii="Arial" w:hAnsi="Arial" w:cs="Arial"/>
                <w:i/>
                <w:sz w:val="20"/>
                <w:szCs w:val="20"/>
              </w:rPr>
            </w:pPr>
          </w:p>
          <w:p w14:paraId="36D243BF" w14:textId="77777777" w:rsidR="00D12E11" w:rsidRPr="00F7050E" w:rsidRDefault="00D12E11" w:rsidP="00BC7D1B">
            <w:pPr>
              <w:rPr>
                <w:rFonts w:ascii="Arial" w:hAnsi="Arial" w:cs="Arial"/>
                <w:i/>
                <w:sz w:val="20"/>
                <w:szCs w:val="20"/>
              </w:rPr>
            </w:pPr>
          </w:p>
          <w:p w14:paraId="3B7DC643" w14:textId="77777777" w:rsidR="00D12E11" w:rsidRPr="00F7050E" w:rsidRDefault="00D12E11" w:rsidP="00BC7D1B">
            <w:pPr>
              <w:rPr>
                <w:rFonts w:ascii="Arial" w:hAnsi="Arial" w:cs="Arial"/>
                <w:i/>
                <w:sz w:val="20"/>
                <w:szCs w:val="20"/>
              </w:rPr>
            </w:pPr>
          </w:p>
          <w:p w14:paraId="632BCF68"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22C0A52C" w14:textId="77777777" w:rsidR="00D12E11" w:rsidRPr="00F7050E" w:rsidRDefault="00D12E11" w:rsidP="00BC7D1B">
            <w:pPr>
              <w:rPr>
                <w:rFonts w:ascii="Arial" w:hAnsi="Arial" w:cs="Arial"/>
                <w:sz w:val="20"/>
                <w:szCs w:val="20"/>
              </w:rPr>
            </w:pPr>
          </w:p>
        </w:tc>
        <w:tc>
          <w:tcPr>
            <w:tcW w:w="2906" w:type="dxa"/>
            <w:tcBorders>
              <w:bottom w:val="single" w:sz="4" w:space="0" w:color="000000"/>
            </w:tcBorders>
          </w:tcPr>
          <w:p w14:paraId="538D3B09" w14:textId="77777777" w:rsidR="00D12E11" w:rsidRPr="00F7050E" w:rsidRDefault="00D12E11" w:rsidP="00BC7D1B">
            <w:pPr>
              <w:rPr>
                <w:rFonts w:ascii="Arial" w:hAnsi="Arial" w:cs="Arial"/>
                <w:sz w:val="20"/>
                <w:szCs w:val="20"/>
              </w:rPr>
            </w:pPr>
            <w:r w:rsidRPr="00F7050E">
              <w:rPr>
                <w:rFonts w:ascii="Arial" w:hAnsi="Arial" w:cs="Arial"/>
                <w:sz w:val="20"/>
                <w:szCs w:val="20"/>
              </w:rPr>
              <w:t>“Pension expenditure” is the sum of seven different categories of benefits, as defined in the ESSPROS Manual 1996: disability pension, early retirement benefit due to reduced capacity to work, old age pension, anticipated old age pension, partial pension, survivors' pension and early retirement benefit for labour market reasons</w:t>
            </w:r>
          </w:p>
          <w:p w14:paraId="6C1EAEFE" w14:textId="77777777" w:rsidR="00D12E11" w:rsidRPr="00F7050E" w:rsidRDefault="00D12E11" w:rsidP="00BC7D1B">
            <w:pPr>
              <w:pStyle w:val="NormalWeb"/>
              <w:spacing w:before="2" w:after="2"/>
              <w:rPr>
                <w:rFonts w:ascii="Arial" w:hAnsi="Arial" w:cs="Arial"/>
              </w:rPr>
            </w:pPr>
          </w:p>
          <w:p w14:paraId="702C4799" w14:textId="77777777" w:rsidR="00D12E11" w:rsidRPr="00F7050E" w:rsidRDefault="00D12E11" w:rsidP="00BC7D1B">
            <w:pPr>
              <w:pStyle w:val="NormalWeb"/>
              <w:spacing w:before="2" w:after="2"/>
              <w:rPr>
                <w:rFonts w:ascii="Arial" w:hAnsi="Arial" w:cs="Arial"/>
              </w:rPr>
            </w:pPr>
            <w:r w:rsidRPr="00F7050E">
              <w:rPr>
                <w:rFonts w:ascii="Arial" w:hAnsi="Arial" w:cs="Arial"/>
              </w:rPr>
              <w:t xml:space="preserve">Taken from the Financial Report of PDIF expenditure for net pensions is </w:t>
            </w:r>
            <w:r w:rsidRPr="00F7050E">
              <w:rPr>
                <w:rFonts w:ascii="Arial" w:hAnsi="Arial" w:cs="Arial"/>
                <w:u w:val="single"/>
              </w:rPr>
              <w:t>account 471121-3 BASIC/FLAT-RATE PENSIONS</w:t>
            </w:r>
          </w:p>
        </w:tc>
        <w:tc>
          <w:tcPr>
            <w:tcW w:w="1630" w:type="dxa"/>
            <w:tcBorders>
              <w:bottom w:val="single" w:sz="4" w:space="0" w:color="000000"/>
            </w:tcBorders>
          </w:tcPr>
          <w:p w14:paraId="6DC3A633" w14:textId="77777777" w:rsidR="00D12E11" w:rsidRPr="00F7050E" w:rsidRDefault="00D12E11" w:rsidP="00BC7D1B">
            <w:pPr>
              <w:rPr>
                <w:rFonts w:ascii="Arial" w:hAnsi="Arial" w:cs="Arial"/>
                <w:sz w:val="20"/>
                <w:szCs w:val="20"/>
              </w:rPr>
            </w:pPr>
          </w:p>
        </w:tc>
        <w:tc>
          <w:tcPr>
            <w:tcW w:w="1772" w:type="dxa"/>
            <w:tcBorders>
              <w:bottom w:val="single" w:sz="4" w:space="0" w:color="000000"/>
            </w:tcBorders>
          </w:tcPr>
          <w:p w14:paraId="05CBE8D8"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p>
          <w:p w14:paraId="7AB052C0"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p>
        </w:tc>
        <w:tc>
          <w:tcPr>
            <w:tcW w:w="3009" w:type="dxa"/>
            <w:tcBorders>
              <w:bottom w:val="single" w:sz="4" w:space="0" w:color="000000"/>
            </w:tcBorders>
          </w:tcPr>
          <w:p w14:paraId="59637700" w14:textId="77777777" w:rsidR="00D12E11" w:rsidRPr="00F7050E" w:rsidRDefault="00D12E11" w:rsidP="00BC7D1B">
            <w:pPr>
              <w:rPr>
                <w:rFonts w:ascii="Arial" w:hAnsi="Arial" w:cs="Arial"/>
                <w:i/>
                <w:sz w:val="20"/>
                <w:szCs w:val="20"/>
              </w:rPr>
            </w:pPr>
            <w:r w:rsidRPr="00F7050E">
              <w:rPr>
                <w:rFonts w:ascii="Arial" w:hAnsi="Arial" w:cs="Arial"/>
                <w:i/>
                <w:sz w:val="20"/>
                <w:szCs w:val="20"/>
              </w:rPr>
              <w:t xml:space="preserve">Data available on </w:t>
            </w:r>
            <w:r w:rsidRPr="00F7050E">
              <w:rPr>
                <w:rFonts w:ascii="Arial" w:hAnsi="Arial" w:cs="Arial"/>
                <w:sz w:val="20"/>
                <w:szCs w:val="20"/>
              </w:rPr>
              <w:t>EUROSTAT</w:t>
            </w:r>
            <w:r w:rsidRPr="00F7050E">
              <w:rPr>
                <w:rFonts w:ascii="Arial" w:hAnsi="Arial" w:cs="Arial"/>
                <w:i/>
                <w:sz w:val="20"/>
                <w:szCs w:val="20"/>
              </w:rPr>
              <w:t xml:space="preserve">, in </w:t>
            </w:r>
            <w:r w:rsidRPr="00F7050E">
              <w:rPr>
                <w:rFonts w:ascii="Arial" w:hAnsi="Arial" w:cs="Arial"/>
                <w:sz w:val="20"/>
                <w:szCs w:val="20"/>
              </w:rPr>
              <w:t>Ministry of Finance</w:t>
            </w:r>
            <w:r w:rsidRPr="00F7050E">
              <w:rPr>
                <w:rFonts w:ascii="Arial" w:hAnsi="Arial" w:cs="Arial"/>
                <w:i/>
                <w:sz w:val="20"/>
                <w:szCs w:val="20"/>
              </w:rPr>
              <w:t xml:space="preserve"> Bulletin on Public Finances, The Financial Report</w:t>
            </w:r>
          </w:p>
          <w:p w14:paraId="57D92087" w14:textId="77777777" w:rsidR="00D12E11" w:rsidRPr="00F7050E" w:rsidRDefault="00D12E11" w:rsidP="00BC7D1B">
            <w:pPr>
              <w:rPr>
                <w:rFonts w:ascii="Arial" w:hAnsi="Arial" w:cs="Arial"/>
                <w:i/>
                <w:sz w:val="20"/>
                <w:szCs w:val="20"/>
              </w:rPr>
            </w:pPr>
          </w:p>
          <w:p w14:paraId="3FC1B99A" w14:textId="77777777" w:rsidR="00D12E11" w:rsidRPr="00F7050E" w:rsidRDefault="00D12E11" w:rsidP="00BC7D1B">
            <w:pPr>
              <w:rPr>
                <w:rFonts w:ascii="Arial" w:hAnsi="Arial" w:cs="Arial"/>
                <w:sz w:val="20"/>
                <w:szCs w:val="20"/>
              </w:rPr>
            </w:pPr>
            <w:r w:rsidRPr="00F7050E">
              <w:rPr>
                <w:rFonts w:ascii="Arial" w:hAnsi="Arial" w:cs="Arial"/>
                <w:sz w:val="20"/>
                <w:szCs w:val="20"/>
              </w:rPr>
              <w:t>This indicator is country-specific since it would not be a typical choice in an EU case if one took into consideration the definition of the overarching factors-the overarching objectives are relative to the horizontal issues between different policies. However, bearing in mind that the indexation of pensions is linked to the participation of pension expenditure in GDP, this indicator is also relevant to other policies.</w:t>
            </w:r>
          </w:p>
          <w:p w14:paraId="05FA2BA1" w14:textId="77777777" w:rsidR="00D12E11" w:rsidRPr="00F7050E" w:rsidRDefault="00D12E11" w:rsidP="00BC7D1B">
            <w:pPr>
              <w:rPr>
                <w:rFonts w:ascii="Arial" w:hAnsi="Arial" w:cs="Arial"/>
                <w:i/>
                <w:sz w:val="20"/>
                <w:szCs w:val="20"/>
                <w:highlight w:val="green"/>
              </w:rPr>
            </w:pPr>
            <w:r w:rsidRPr="00F7050E">
              <w:rPr>
                <w:rFonts w:ascii="Arial" w:hAnsi="Arial" w:cs="Arial"/>
                <w:sz w:val="20"/>
                <w:szCs w:val="20"/>
              </w:rPr>
              <w:t xml:space="preserve"> </w:t>
            </w:r>
          </w:p>
          <w:p w14:paraId="69687B6E"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Information published in the </w:t>
            </w:r>
          </w:p>
          <w:p w14:paraId="685410C9" w14:textId="77777777" w:rsidR="00D12E11" w:rsidRPr="00F7050E" w:rsidRDefault="00D12E11" w:rsidP="00BC7D1B">
            <w:pPr>
              <w:rPr>
                <w:rFonts w:ascii="Arial" w:hAnsi="Arial" w:cs="Arial"/>
                <w:sz w:val="20"/>
                <w:szCs w:val="20"/>
              </w:rPr>
            </w:pPr>
            <w:r w:rsidRPr="00F7050E">
              <w:rPr>
                <w:rFonts w:ascii="Arial" w:hAnsi="Arial" w:cs="Arial"/>
                <w:sz w:val="20"/>
                <w:szCs w:val="20"/>
              </w:rPr>
              <w:t>Ministry of Finance</w:t>
            </w:r>
            <w:r w:rsidRPr="00F7050E">
              <w:rPr>
                <w:rFonts w:ascii="Arial" w:hAnsi="Arial" w:cs="Arial"/>
                <w:i/>
                <w:sz w:val="20"/>
                <w:szCs w:val="20"/>
              </w:rPr>
              <w:t xml:space="preserve"> Bulletin on Public Finances</w:t>
            </w:r>
            <w:r w:rsidRPr="00F7050E">
              <w:rPr>
                <w:rFonts w:ascii="Arial" w:hAnsi="Arial" w:cs="Arial"/>
                <w:sz w:val="20"/>
                <w:szCs w:val="20"/>
              </w:rPr>
              <w:t xml:space="preserve"> corresponds to the information from the PDIF </w:t>
            </w:r>
            <w:r w:rsidRPr="00F7050E">
              <w:rPr>
                <w:rFonts w:ascii="Arial" w:hAnsi="Arial" w:cs="Arial"/>
                <w:i/>
                <w:sz w:val="20"/>
                <w:szCs w:val="20"/>
              </w:rPr>
              <w:t>Report.</w:t>
            </w:r>
            <w:r w:rsidRPr="00F7050E">
              <w:rPr>
                <w:rFonts w:ascii="Arial" w:hAnsi="Arial" w:cs="Arial"/>
                <w:sz w:val="20"/>
                <w:szCs w:val="20"/>
              </w:rPr>
              <w:t xml:space="preserve"> Information available on EUROSTAT differs by approximately two million RSD, a sum which has been accrued to the item "early retirement </w:t>
            </w:r>
            <w:r w:rsidRPr="00F7050E">
              <w:rPr>
                <w:rFonts w:ascii="Arial" w:hAnsi="Arial" w:cs="Arial"/>
                <w:sz w:val="20"/>
                <w:szCs w:val="20"/>
              </w:rPr>
              <w:lastRenderedPageBreak/>
              <w:t>benefit due to labour market reasons”; it is unclear what exactly this sum relates to, probably to the "Five Years to Retirement" social programme</w:t>
            </w:r>
          </w:p>
          <w:p w14:paraId="7C14E973" w14:textId="77777777" w:rsidR="00D12E11" w:rsidRPr="00F7050E" w:rsidRDefault="00D12E11" w:rsidP="00BC7D1B">
            <w:pPr>
              <w:rPr>
                <w:rFonts w:ascii="Arial" w:hAnsi="Arial" w:cs="Arial"/>
                <w:sz w:val="20"/>
                <w:szCs w:val="20"/>
              </w:rPr>
            </w:pPr>
          </w:p>
        </w:tc>
      </w:tr>
      <w:tr w:rsidR="00D12E11" w:rsidRPr="00F7050E" w14:paraId="553F9672" w14:textId="77777777" w:rsidTr="00BC7D1B">
        <w:trPr>
          <w:jc w:val="center"/>
        </w:trPr>
        <w:tc>
          <w:tcPr>
            <w:tcW w:w="534" w:type="dxa"/>
            <w:tcBorders>
              <w:bottom w:val="single" w:sz="4" w:space="0" w:color="000000"/>
            </w:tcBorders>
          </w:tcPr>
          <w:p w14:paraId="243A9C20"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O5</w:t>
            </w:r>
          </w:p>
        </w:tc>
        <w:tc>
          <w:tcPr>
            <w:tcW w:w="2409" w:type="dxa"/>
            <w:tcBorders>
              <w:bottom w:val="single" w:sz="4" w:space="0" w:color="000000"/>
            </w:tcBorders>
          </w:tcPr>
          <w:p w14:paraId="77842FF8" w14:textId="77777777" w:rsidR="00D12E11" w:rsidRPr="00F7050E" w:rsidRDefault="00D12E11" w:rsidP="00BC7D1B">
            <w:pPr>
              <w:pStyle w:val="Default"/>
              <w:rPr>
                <w:rFonts w:ascii="Arial" w:hAnsi="Arial" w:cs="Arial"/>
                <w:bCs/>
                <w:color w:val="auto"/>
                <w:sz w:val="20"/>
                <w:szCs w:val="20"/>
                <w:lang w:val="en-GB"/>
              </w:rPr>
            </w:pPr>
            <w:r w:rsidRPr="00F7050E">
              <w:rPr>
                <w:rFonts w:ascii="Arial" w:hAnsi="Arial" w:cs="Arial"/>
                <w:bCs/>
                <w:color w:val="auto"/>
                <w:sz w:val="20"/>
                <w:szCs w:val="20"/>
                <w:lang w:val="en-GB"/>
              </w:rPr>
              <w:t>Average pension by municipalities (as percentage of the average earnings in the Republic of Serbia)</w:t>
            </w:r>
          </w:p>
        </w:tc>
        <w:tc>
          <w:tcPr>
            <w:tcW w:w="1772" w:type="dxa"/>
            <w:tcBorders>
              <w:bottom w:val="single" w:sz="4" w:space="0" w:color="000000"/>
            </w:tcBorders>
          </w:tcPr>
          <w:p w14:paraId="25312DB7" w14:textId="77777777" w:rsidR="00D12E11" w:rsidRPr="00F7050E" w:rsidRDefault="00D12E11" w:rsidP="00BC7D1B">
            <w:pPr>
              <w:rPr>
                <w:rFonts w:ascii="Arial" w:hAnsi="Arial" w:cs="Arial"/>
                <w:i/>
                <w:sz w:val="20"/>
                <w:szCs w:val="20"/>
              </w:rPr>
            </w:pPr>
          </w:p>
          <w:p w14:paraId="6AB37941"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023FA02A" w14:textId="77777777" w:rsidR="00D12E11" w:rsidRPr="00F7050E" w:rsidRDefault="00D12E11" w:rsidP="00BC7D1B">
            <w:pPr>
              <w:rPr>
                <w:rFonts w:ascii="Arial" w:hAnsi="Arial" w:cs="Arial"/>
                <w:i/>
                <w:sz w:val="20"/>
                <w:szCs w:val="20"/>
              </w:rPr>
            </w:pPr>
          </w:p>
        </w:tc>
        <w:tc>
          <w:tcPr>
            <w:tcW w:w="2906" w:type="dxa"/>
            <w:tcBorders>
              <w:bottom w:val="single" w:sz="4" w:space="0" w:color="000000"/>
            </w:tcBorders>
          </w:tcPr>
          <w:p w14:paraId="5DF00DCC" w14:textId="77777777" w:rsidR="00D12E11" w:rsidRPr="00F7050E" w:rsidRDefault="00D12E11" w:rsidP="00BC7D1B">
            <w:pPr>
              <w:rPr>
                <w:rFonts w:ascii="Arial" w:hAnsi="Arial" w:cs="Arial"/>
                <w:sz w:val="20"/>
                <w:szCs w:val="20"/>
              </w:rPr>
            </w:pPr>
          </w:p>
        </w:tc>
        <w:tc>
          <w:tcPr>
            <w:tcW w:w="1630" w:type="dxa"/>
            <w:tcBorders>
              <w:bottom w:val="single" w:sz="4" w:space="0" w:color="000000"/>
            </w:tcBorders>
          </w:tcPr>
          <w:p w14:paraId="5D4E4132" w14:textId="77777777" w:rsidR="00D12E11" w:rsidRPr="00F7050E" w:rsidRDefault="00D12E11" w:rsidP="00BC7D1B">
            <w:pPr>
              <w:rPr>
                <w:rFonts w:ascii="Arial" w:hAnsi="Arial" w:cs="Arial"/>
                <w:sz w:val="20"/>
                <w:szCs w:val="20"/>
              </w:rPr>
            </w:pPr>
          </w:p>
        </w:tc>
        <w:tc>
          <w:tcPr>
            <w:tcW w:w="1772" w:type="dxa"/>
            <w:tcBorders>
              <w:bottom w:val="single" w:sz="4" w:space="0" w:color="000000"/>
            </w:tcBorders>
          </w:tcPr>
          <w:p w14:paraId="1E281633" w14:textId="77777777" w:rsidR="00D12E11" w:rsidRPr="00F7050E" w:rsidRDefault="00D12E11" w:rsidP="00BC7D1B">
            <w:pPr>
              <w:rPr>
                <w:rFonts w:ascii="Arial" w:hAnsi="Arial" w:cs="Arial"/>
                <w:sz w:val="20"/>
                <w:szCs w:val="20"/>
              </w:rPr>
            </w:pPr>
            <w:r w:rsidRPr="00F7050E">
              <w:rPr>
                <w:rFonts w:ascii="Arial" w:hAnsi="Arial" w:cs="Arial"/>
                <w:sz w:val="20"/>
                <w:szCs w:val="20"/>
              </w:rPr>
              <w:t>PDIF and SORS</w:t>
            </w:r>
          </w:p>
          <w:p w14:paraId="02E85FBF"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p>
        </w:tc>
        <w:tc>
          <w:tcPr>
            <w:tcW w:w="3009" w:type="dxa"/>
            <w:tcBorders>
              <w:bottom w:val="single" w:sz="4" w:space="0" w:color="000000"/>
            </w:tcBorders>
          </w:tcPr>
          <w:p w14:paraId="27ADE539" w14:textId="77777777" w:rsidR="00D12E11" w:rsidRPr="00F7050E" w:rsidRDefault="00D12E11" w:rsidP="00BC7D1B">
            <w:pPr>
              <w:rPr>
                <w:rFonts w:ascii="Arial" w:hAnsi="Arial" w:cs="Arial"/>
                <w:i/>
                <w:sz w:val="20"/>
                <w:szCs w:val="20"/>
              </w:rPr>
            </w:pPr>
          </w:p>
        </w:tc>
      </w:tr>
      <w:tr w:rsidR="00D12E11" w:rsidRPr="00F7050E" w14:paraId="345CC2C8" w14:textId="77777777" w:rsidTr="00DA33FF">
        <w:trPr>
          <w:trHeight w:val="510"/>
          <w:jc w:val="center"/>
        </w:trPr>
        <w:tc>
          <w:tcPr>
            <w:tcW w:w="14032" w:type="dxa"/>
            <w:gridSpan w:val="7"/>
            <w:shd w:val="clear" w:color="auto" w:fill="808080" w:themeFill="background1" w:themeFillShade="80"/>
            <w:vAlign w:val="center"/>
          </w:tcPr>
          <w:p w14:paraId="037B82FC" w14:textId="77777777" w:rsidR="00D12E11" w:rsidRPr="00DA33FF" w:rsidRDefault="00D12E11" w:rsidP="00DA33FF">
            <w:pPr>
              <w:jc w:val="center"/>
              <w:rPr>
                <w:rFonts w:ascii="Arial" w:hAnsi="Arial" w:cs="Arial"/>
                <w:b/>
                <w:color w:val="FFFFFF" w:themeColor="background1"/>
                <w:sz w:val="20"/>
                <w:szCs w:val="20"/>
              </w:rPr>
            </w:pPr>
            <w:r w:rsidRPr="00DA33FF">
              <w:rPr>
                <w:rFonts w:ascii="Arial" w:hAnsi="Arial" w:cs="Arial"/>
                <w:b/>
                <w:color w:val="FFFFFF" w:themeColor="background1"/>
                <w:sz w:val="20"/>
                <w:szCs w:val="20"/>
              </w:rPr>
              <w:t>CONTEXT INFORMATION</w:t>
            </w:r>
          </w:p>
        </w:tc>
      </w:tr>
      <w:tr w:rsidR="00D12E11" w:rsidRPr="00F7050E" w14:paraId="1C6CBACA" w14:textId="77777777" w:rsidTr="00BC7D1B">
        <w:trPr>
          <w:trHeight w:val="454"/>
          <w:jc w:val="center"/>
        </w:trPr>
        <w:tc>
          <w:tcPr>
            <w:tcW w:w="534" w:type="dxa"/>
            <w:vAlign w:val="center"/>
          </w:tcPr>
          <w:p w14:paraId="65A94633" w14:textId="77777777" w:rsidR="00D12E11" w:rsidRPr="00F7050E" w:rsidRDefault="00D12E11" w:rsidP="00BC7D1B">
            <w:pPr>
              <w:rPr>
                <w:rFonts w:ascii="Arial" w:hAnsi="Arial" w:cs="Arial"/>
                <w:sz w:val="20"/>
                <w:szCs w:val="20"/>
              </w:rPr>
            </w:pPr>
            <w:r w:rsidRPr="00F7050E">
              <w:rPr>
                <w:rFonts w:ascii="Arial" w:hAnsi="Arial" w:cs="Arial"/>
                <w:sz w:val="20"/>
                <w:szCs w:val="20"/>
              </w:rPr>
              <w:t>C1</w:t>
            </w:r>
          </w:p>
        </w:tc>
        <w:tc>
          <w:tcPr>
            <w:tcW w:w="2409" w:type="dxa"/>
          </w:tcPr>
          <w:p w14:paraId="29F700AC" w14:textId="77777777" w:rsidR="00D12E11" w:rsidRPr="00F7050E" w:rsidRDefault="00D12E11" w:rsidP="00BC7D1B">
            <w:pPr>
              <w:rPr>
                <w:rFonts w:ascii="Arial" w:hAnsi="Arial" w:cs="Arial"/>
                <w:sz w:val="20"/>
                <w:szCs w:val="20"/>
                <w:highlight w:val="yellow"/>
              </w:rPr>
            </w:pPr>
          </w:p>
          <w:p w14:paraId="03E1A0C7" w14:textId="77777777" w:rsidR="00D12E11" w:rsidRPr="00F7050E" w:rsidRDefault="00D12E11" w:rsidP="00BC7D1B">
            <w:pPr>
              <w:pStyle w:val="Default"/>
              <w:spacing w:before="120"/>
              <w:rPr>
                <w:rFonts w:ascii="Arial" w:hAnsi="Arial" w:cs="Arial"/>
                <w:color w:val="auto"/>
                <w:sz w:val="20"/>
                <w:szCs w:val="20"/>
                <w:highlight w:val="yellow"/>
                <w:lang w:val="en-GB"/>
              </w:rPr>
            </w:pPr>
            <w:r w:rsidRPr="00F7050E">
              <w:rPr>
                <w:rFonts w:ascii="Arial" w:hAnsi="Arial" w:cs="Arial"/>
                <w:color w:val="auto"/>
                <w:sz w:val="20"/>
                <w:szCs w:val="20"/>
                <w:lang w:val="en-GB"/>
              </w:rPr>
              <w:t xml:space="preserve">Life expectancy of people  aged 65+ </w:t>
            </w:r>
          </w:p>
        </w:tc>
        <w:tc>
          <w:tcPr>
            <w:tcW w:w="1772" w:type="dxa"/>
          </w:tcPr>
          <w:p w14:paraId="01E1A10D" w14:textId="77777777" w:rsidR="00D12E11" w:rsidRPr="00F7050E" w:rsidRDefault="00D12E11" w:rsidP="00BC7D1B">
            <w:pPr>
              <w:rPr>
                <w:rFonts w:ascii="Arial" w:hAnsi="Arial" w:cs="Arial"/>
                <w:i/>
                <w:sz w:val="20"/>
                <w:szCs w:val="20"/>
              </w:rPr>
            </w:pPr>
          </w:p>
          <w:p w14:paraId="47EC3063" w14:textId="77777777" w:rsidR="00D12E11" w:rsidRPr="00F7050E" w:rsidRDefault="00D12E11" w:rsidP="00BC7D1B">
            <w:pPr>
              <w:rPr>
                <w:rFonts w:ascii="Arial" w:hAnsi="Arial" w:cs="Arial"/>
                <w:i/>
                <w:sz w:val="20"/>
                <w:szCs w:val="20"/>
              </w:rPr>
            </w:pPr>
          </w:p>
          <w:p w14:paraId="4B091671" w14:textId="77777777" w:rsidR="00D12E11" w:rsidRPr="00F7050E" w:rsidRDefault="00D12E11" w:rsidP="00BC7D1B">
            <w:pPr>
              <w:rPr>
                <w:rFonts w:ascii="Arial" w:hAnsi="Arial" w:cs="Arial"/>
                <w:i/>
                <w:sz w:val="20"/>
                <w:szCs w:val="20"/>
              </w:rPr>
            </w:pPr>
            <w:r w:rsidRPr="00F7050E">
              <w:rPr>
                <w:rFonts w:ascii="Arial" w:hAnsi="Arial" w:cs="Arial"/>
                <w:i/>
                <w:sz w:val="20"/>
                <w:szCs w:val="20"/>
              </w:rPr>
              <w:t>Context information for the Overarching Portfolio and sustainable pensions</w:t>
            </w:r>
          </w:p>
          <w:p w14:paraId="36AEBAAD" w14:textId="77777777" w:rsidR="00D12E11" w:rsidRPr="00F7050E" w:rsidRDefault="00D12E11" w:rsidP="00BC7D1B">
            <w:pPr>
              <w:rPr>
                <w:rFonts w:ascii="Arial" w:hAnsi="Arial" w:cs="Arial"/>
                <w:sz w:val="20"/>
                <w:szCs w:val="20"/>
              </w:rPr>
            </w:pPr>
          </w:p>
        </w:tc>
        <w:tc>
          <w:tcPr>
            <w:tcW w:w="2906" w:type="dxa"/>
          </w:tcPr>
          <w:p w14:paraId="683C5F94" w14:textId="77777777" w:rsidR="00D12E11" w:rsidRPr="00F7050E" w:rsidRDefault="00D12E11" w:rsidP="00BC7D1B">
            <w:pPr>
              <w:rPr>
                <w:rFonts w:ascii="Arial" w:hAnsi="Arial" w:cs="Arial"/>
                <w:sz w:val="20"/>
                <w:szCs w:val="20"/>
              </w:rPr>
            </w:pPr>
          </w:p>
        </w:tc>
        <w:tc>
          <w:tcPr>
            <w:tcW w:w="1630" w:type="dxa"/>
          </w:tcPr>
          <w:p w14:paraId="6F2B9DB5"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By sex </w:t>
            </w:r>
          </w:p>
        </w:tc>
        <w:tc>
          <w:tcPr>
            <w:tcW w:w="1772" w:type="dxa"/>
          </w:tcPr>
          <w:p w14:paraId="774E2D00" w14:textId="77777777" w:rsidR="00D12E11" w:rsidRPr="00F7050E" w:rsidRDefault="00D12E11" w:rsidP="00BC7D1B">
            <w:pPr>
              <w:rPr>
                <w:rFonts w:ascii="Arial" w:hAnsi="Arial" w:cs="Arial"/>
                <w:sz w:val="20"/>
                <w:szCs w:val="20"/>
              </w:rPr>
            </w:pPr>
            <w:r w:rsidRPr="00F7050E">
              <w:rPr>
                <w:rFonts w:ascii="Arial" w:hAnsi="Arial" w:cs="Arial"/>
                <w:sz w:val="20"/>
                <w:szCs w:val="20"/>
              </w:rPr>
              <w:t>SORS -Demographic Statistics</w:t>
            </w:r>
          </w:p>
          <w:p w14:paraId="0D2149C5" w14:textId="77777777" w:rsidR="00D12E11" w:rsidRPr="00F7050E" w:rsidRDefault="00D12E11" w:rsidP="00BC7D1B">
            <w:pPr>
              <w:rPr>
                <w:rFonts w:ascii="Arial" w:hAnsi="Arial" w:cs="Arial"/>
                <w:sz w:val="20"/>
                <w:szCs w:val="20"/>
              </w:rPr>
            </w:pPr>
          </w:p>
          <w:p w14:paraId="5117CC47"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p>
        </w:tc>
        <w:tc>
          <w:tcPr>
            <w:tcW w:w="3009" w:type="dxa"/>
          </w:tcPr>
          <w:p w14:paraId="1904A519" w14:textId="77777777" w:rsidR="00D12E11" w:rsidRPr="00F7050E" w:rsidRDefault="00D12E11" w:rsidP="00BC7D1B">
            <w:pPr>
              <w:rPr>
                <w:rFonts w:ascii="Arial" w:hAnsi="Arial" w:cs="Arial"/>
                <w:i/>
                <w:sz w:val="20"/>
                <w:szCs w:val="20"/>
              </w:rPr>
            </w:pPr>
            <w:r w:rsidRPr="00F7050E">
              <w:rPr>
                <w:rFonts w:ascii="Arial" w:hAnsi="Arial" w:cs="Arial"/>
                <w:i/>
                <w:sz w:val="20"/>
                <w:szCs w:val="20"/>
              </w:rPr>
              <w:t xml:space="preserve">Available on </w:t>
            </w:r>
            <w:r w:rsidRPr="00F7050E">
              <w:rPr>
                <w:rFonts w:ascii="Arial" w:hAnsi="Arial" w:cs="Arial"/>
                <w:sz w:val="20"/>
                <w:szCs w:val="20"/>
              </w:rPr>
              <w:t>SORS</w:t>
            </w:r>
            <w:r w:rsidRPr="00F7050E">
              <w:rPr>
                <w:rFonts w:ascii="Arial" w:hAnsi="Arial" w:cs="Arial"/>
                <w:i/>
                <w:sz w:val="20"/>
                <w:szCs w:val="20"/>
              </w:rPr>
              <w:t xml:space="preserve"> website and </w:t>
            </w:r>
            <w:r w:rsidRPr="00F7050E">
              <w:rPr>
                <w:rFonts w:ascii="Arial" w:hAnsi="Arial" w:cs="Arial"/>
                <w:sz w:val="20"/>
                <w:szCs w:val="20"/>
              </w:rPr>
              <w:t>EUROSTAT</w:t>
            </w:r>
            <w:r w:rsidRPr="00F7050E">
              <w:rPr>
                <w:rFonts w:ascii="Arial" w:hAnsi="Arial" w:cs="Arial"/>
                <w:i/>
                <w:sz w:val="20"/>
                <w:szCs w:val="20"/>
              </w:rPr>
              <w:t xml:space="preserve"> – Demographic Database</w:t>
            </w:r>
          </w:p>
          <w:p w14:paraId="623E79BC" w14:textId="77777777" w:rsidR="00D12E11" w:rsidRPr="00F7050E" w:rsidRDefault="00D12E11" w:rsidP="00BC7D1B">
            <w:pPr>
              <w:rPr>
                <w:rFonts w:ascii="Arial" w:hAnsi="Arial" w:cs="Arial"/>
                <w:sz w:val="20"/>
                <w:szCs w:val="20"/>
              </w:rPr>
            </w:pPr>
          </w:p>
          <w:p w14:paraId="11D11058"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Contextual information for sustainable pensions is the </w:t>
            </w:r>
            <w:r w:rsidRPr="00F7050E">
              <w:rPr>
                <w:rFonts w:ascii="Arial" w:hAnsi="Arial" w:cs="Arial"/>
                <w:bCs/>
                <w:sz w:val="20"/>
                <w:szCs w:val="20"/>
              </w:rPr>
              <w:t>Evolution of life expectancy at birth and at ages 60 and 65, by gender (current and projected)</w:t>
            </w:r>
          </w:p>
        </w:tc>
      </w:tr>
      <w:tr w:rsidR="00D12E11" w:rsidRPr="00F7050E" w14:paraId="143FC438" w14:textId="77777777" w:rsidTr="00BC7D1B">
        <w:trPr>
          <w:trHeight w:val="454"/>
          <w:jc w:val="center"/>
        </w:trPr>
        <w:tc>
          <w:tcPr>
            <w:tcW w:w="534" w:type="dxa"/>
            <w:vAlign w:val="center"/>
          </w:tcPr>
          <w:p w14:paraId="1246A16A" w14:textId="77777777" w:rsidR="00D12E11" w:rsidRPr="00F7050E" w:rsidRDefault="00D12E11" w:rsidP="00BC7D1B">
            <w:pPr>
              <w:rPr>
                <w:rFonts w:ascii="Arial" w:hAnsi="Arial" w:cs="Arial"/>
                <w:sz w:val="20"/>
                <w:szCs w:val="20"/>
              </w:rPr>
            </w:pPr>
            <w:r w:rsidRPr="00F7050E">
              <w:rPr>
                <w:rFonts w:ascii="Arial" w:hAnsi="Arial" w:cs="Arial"/>
                <w:sz w:val="20"/>
                <w:szCs w:val="20"/>
              </w:rPr>
              <w:t>C2</w:t>
            </w:r>
          </w:p>
        </w:tc>
        <w:tc>
          <w:tcPr>
            <w:tcW w:w="2409" w:type="dxa"/>
          </w:tcPr>
          <w:p w14:paraId="3AAB24AB" w14:textId="77777777" w:rsidR="00D12E11" w:rsidRPr="00F7050E" w:rsidRDefault="00D12E11" w:rsidP="00BC7D1B">
            <w:pPr>
              <w:rPr>
                <w:rFonts w:ascii="Arial" w:hAnsi="Arial" w:cs="Arial"/>
                <w:iCs/>
                <w:color w:val="0000FF"/>
                <w:sz w:val="20"/>
                <w:szCs w:val="20"/>
              </w:rPr>
            </w:pPr>
          </w:p>
          <w:p w14:paraId="52AA80B2" w14:textId="77777777" w:rsidR="00D12E11" w:rsidRPr="00F7050E" w:rsidRDefault="00D12E11" w:rsidP="00BC7D1B">
            <w:pPr>
              <w:rPr>
                <w:rFonts w:ascii="Arial" w:hAnsi="Arial" w:cs="Arial"/>
                <w:iCs/>
                <w:color w:val="0000FF"/>
                <w:sz w:val="20"/>
                <w:szCs w:val="20"/>
              </w:rPr>
            </w:pPr>
          </w:p>
          <w:p w14:paraId="72181EED" w14:textId="77777777" w:rsidR="00D12E11" w:rsidRPr="00F7050E" w:rsidRDefault="00D12E11" w:rsidP="00BC7D1B">
            <w:pPr>
              <w:rPr>
                <w:rFonts w:ascii="Arial" w:hAnsi="Arial" w:cs="Arial"/>
                <w:sz w:val="20"/>
                <w:szCs w:val="20"/>
              </w:rPr>
            </w:pPr>
            <w:r w:rsidRPr="00F7050E">
              <w:rPr>
                <w:rFonts w:ascii="Arial" w:hAnsi="Arial" w:cs="Arial"/>
                <w:iCs/>
                <w:sz w:val="20"/>
                <w:szCs w:val="20"/>
              </w:rPr>
              <w:t>Old age dependency ratio</w:t>
            </w:r>
            <w:r w:rsidRPr="00F7050E">
              <w:rPr>
                <w:rFonts w:ascii="Arial" w:hAnsi="Arial" w:cs="Arial"/>
                <w:sz w:val="20"/>
                <w:szCs w:val="20"/>
              </w:rPr>
              <w:t>, current and projected</w:t>
            </w:r>
          </w:p>
        </w:tc>
        <w:tc>
          <w:tcPr>
            <w:tcW w:w="1772" w:type="dxa"/>
          </w:tcPr>
          <w:p w14:paraId="22676A61" w14:textId="77777777" w:rsidR="00D12E11" w:rsidRPr="00F7050E" w:rsidRDefault="00D12E11" w:rsidP="00BC7D1B">
            <w:pPr>
              <w:rPr>
                <w:rFonts w:ascii="Arial" w:hAnsi="Arial" w:cs="Arial"/>
                <w:i/>
                <w:sz w:val="20"/>
                <w:szCs w:val="20"/>
              </w:rPr>
            </w:pPr>
            <w:r w:rsidRPr="00F7050E">
              <w:rPr>
                <w:rFonts w:ascii="Arial" w:hAnsi="Arial" w:cs="Arial"/>
                <w:i/>
                <w:sz w:val="20"/>
                <w:szCs w:val="20"/>
              </w:rPr>
              <w:t>Context information for the Overarching Portfolio and sustainable pensions</w:t>
            </w:r>
          </w:p>
          <w:p w14:paraId="7468BD83" w14:textId="77777777" w:rsidR="00D12E11" w:rsidRPr="00F7050E" w:rsidRDefault="00D12E11" w:rsidP="00BC7D1B">
            <w:pPr>
              <w:rPr>
                <w:rFonts w:ascii="Arial" w:hAnsi="Arial" w:cs="Arial"/>
                <w:sz w:val="20"/>
                <w:szCs w:val="20"/>
              </w:rPr>
            </w:pPr>
          </w:p>
        </w:tc>
        <w:tc>
          <w:tcPr>
            <w:tcW w:w="2906" w:type="dxa"/>
          </w:tcPr>
          <w:p w14:paraId="713B4638" w14:textId="77777777" w:rsidR="00D12E11" w:rsidRPr="00F7050E" w:rsidRDefault="00D12E11" w:rsidP="00BC7D1B">
            <w:pPr>
              <w:rPr>
                <w:rFonts w:ascii="Arial" w:hAnsi="Arial" w:cs="Arial"/>
                <w:sz w:val="20"/>
                <w:szCs w:val="20"/>
              </w:rPr>
            </w:pPr>
          </w:p>
        </w:tc>
        <w:tc>
          <w:tcPr>
            <w:tcW w:w="1630" w:type="dxa"/>
          </w:tcPr>
          <w:p w14:paraId="0A01C776" w14:textId="77777777" w:rsidR="00D12E11" w:rsidRPr="00F7050E" w:rsidRDefault="00D12E11" w:rsidP="00BC7D1B">
            <w:pPr>
              <w:rPr>
                <w:rFonts w:ascii="Arial" w:hAnsi="Arial" w:cs="Arial"/>
                <w:sz w:val="20"/>
                <w:szCs w:val="20"/>
              </w:rPr>
            </w:pPr>
          </w:p>
        </w:tc>
        <w:tc>
          <w:tcPr>
            <w:tcW w:w="1772" w:type="dxa"/>
          </w:tcPr>
          <w:p w14:paraId="014DA9C0" w14:textId="77777777" w:rsidR="00D12E11" w:rsidRPr="00F7050E" w:rsidRDefault="00D12E11" w:rsidP="00BC7D1B">
            <w:pPr>
              <w:rPr>
                <w:rFonts w:ascii="Arial" w:hAnsi="Arial" w:cs="Arial"/>
                <w:sz w:val="20"/>
                <w:szCs w:val="20"/>
              </w:rPr>
            </w:pPr>
            <w:r w:rsidRPr="00F7050E">
              <w:rPr>
                <w:rFonts w:ascii="Arial" w:hAnsi="Arial" w:cs="Arial"/>
                <w:sz w:val="20"/>
                <w:szCs w:val="20"/>
              </w:rPr>
              <w:t>SORS</w:t>
            </w:r>
          </w:p>
        </w:tc>
        <w:tc>
          <w:tcPr>
            <w:tcW w:w="3009" w:type="dxa"/>
          </w:tcPr>
          <w:p w14:paraId="1B75E0DA" w14:textId="77777777" w:rsidR="00D12E11" w:rsidRPr="00F7050E" w:rsidRDefault="00D12E11" w:rsidP="00BC7D1B">
            <w:pPr>
              <w:rPr>
                <w:rFonts w:ascii="Arial" w:hAnsi="Arial" w:cs="Arial"/>
                <w:sz w:val="20"/>
                <w:szCs w:val="20"/>
              </w:rPr>
            </w:pPr>
            <w:r w:rsidRPr="00F7050E">
              <w:rPr>
                <w:rFonts w:ascii="Arial" w:hAnsi="Arial" w:cs="Arial"/>
                <w:sz w:val="20"/>
                <w:szCs w:val="20"/>
              </w:rPr>
              <w:t>The development of dependency ratios provides key information on future pressures on pension systems expenditures and resources</w:t>
            </w:r>
          </w:p>
        </w:tc>
      </w:tr>
      <w:tr w:rsidR="00D12E11" w:rsidRPr="00F7050E" w14:paraId="4F8122F5" w14:textId="77777777" w:rsidTr="00BC7D1B">
        <w:trPr>
          <w:trHeight w:val="454"/>
          <w:jc w:val="center"/>
        </w:trPr>
        <w:tc>
          <w:tcPr>
            <w:tcW w:w="534" w:type="dxa"/>
            <w:vAlign w:val="center"/>
          </w:tcPr>
          <w:p w14:paraId="6D576016" w14:textId="77777777" w:rsidR="00D12E11" w:rsidRPr="00F7050E" w:rsidRDefault="00D12E11" w:rsidP="00BC7D1B">
            <w:pPr>
              <w:rPr>
                <w:rFonts w:ascii="Arial" w:hAnsi="Arial" w:cs="Arial"/>
                <w:sz w:val="20"/>
                <w:szCs w:val="20"/>
              </w:rPr>
            </w:pPr>
            <w:r w:rsidRPr="00F7050E">
              <w:rPr>
                <w:rFonts w:ascii="Arial" w:hAnsi="Arial" w:cs="Arial"/>
                <w:sz w:val="20"/>
                <w:szCs w:val="20"/>
              </w:rPr>
              <w:t>C3</w:t>
            </w:r>
          </w:p>
        </w:tc>
        <w:tc>
          <w:tcPr>
            <w:tcW w:w="2409" w:type="dxa"/>
          </w:tcPr>
          <w:p w14:paraId="4C0E15FA" w14:textId="77777777" w:rsidR="00D12E11" w:rsidRPr="00F7050E" w:rsidRDefault="00D12E11" w:rsidP="00BC7D1B">
            <w:pPr>
              <w:rPr>
                <w:rFonts w:ascii="Arial" w:hAnsi="Arial" w:cs="Arial"/>
                <w:iCs/>
                <w:sz w:val="20"/>
                <w:szCs w:val="20"/>
              </w:rPr>
            </w:pPr>
          </w:p>
          <w:p w14:paraId="536E024B" w14:textId="77777777" w:rsidR="00D12E11" w:rsidRPr="00F7050E" w:rsidRDefault="00D12E11" w:rsidP="00BC7D1B">
            <w:pPr>
              <w:rPr>
                <w:rFonts w:ascii="Arial" w:hAnsi="Arial" w:cs="Arial"/>
                <w:iCs/>
                <w:sz w:val="20"/>
                <w:szCs w:val="20"/>
              </w:rPr>
            </w:pPr>
          </w:p>
          <w:p w14:paraId="3E5AD55B" w14:textId="77777777" w:rsidR="00D12E11" w:rsidRPr="00F7050E" w:rsidRDefault="00D12E11" w:rsidP="00BC7D1B">
            <w:pPr>
              <w:rPr>
                <w:rFonts w:ascii="Arial" w:hAnsi="Arial" w:cs="Arial"/>
                <w:iCs/>
                <w:sz w:val="20"/>
                <w:szCs w:val="20"/>
              </w:rPr>
            </w:pPr>
            <w:r w:rsidRPr="00F7050E">
              <w:rPr>
                <w:rFonts w:ascii="Arial" w:hAnsi="Arial" w:cs="Arial"/>
                <w:iCs/>
                <w:sz w:val="20"/>
                <w:szCs w:val="20"/>
              </w:rPr>
              <w:t>Information on household structures</w:t>
            </w:r>
          </w:p>
        </w:tc>
        <w:tc>
          <w:tcPr>
            <w:tcW w:w="1772" w:type="dxa"/>
          </w:tcPr>
          <w:p w14:paraId="3DB7E34B" w14:textId="77777777" w:rsidR="00D12E11" w:rsidRPr="00F7050E" w:rsidRDefault="00D12E11" w:rsidP="00BC7D1B">
            <w:pPr>
              <w:rPr>
                <w:rFonts w:ascii="Arial" w:hAnsi="Arial" w:cs="Arial"/>
                <w:i/>
                <w:sz w:val="20"/>
                <w:szCs w:val="20"/>
              </w:rPr>
            </w:pPr>
          </w:p>
          <w:p w14:paraId="529788EA" w14:textId="77777777" w:rsidR="00D12E11" w:rsidRPr="00F7050E" w:rsidRDefault="00D12E11" w:rsidP="00BC7D1B">
            <w:pPr>
              <w:rPr>
                <w:rFonts w:ascii="Arial" w:hAnsi="Arial" w:cs="Arial"/>
                <w:i/>
                <w:sz w:val="20"/>
                <w:szCs w:val="20"/>
              </w:rPr>
            </w:pPr>
          </w:p>
          <w:p w14:paraId="1A6C5C97"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4A28CFB1" w14:textId="77777777" w:rsidR="00D12E11" w:rsidRPr="00F7050E" w:rsidRDefault="00D12E11" w:rsidP="00BC7D1B">
            <w:pPr>
              <w:rPr>
                <w:rFonts w:ascii="Arial" w:hAnsi="Arial" w:cs="Arial"/>
                <w:sz w:val="20"/>
                <w:szCs w:val="20"/>
              </w:rPr>
            </w:pPr>
          </w:p>
          <w:p w14:paraId="1AB4940B" w14:textId="77777777" w:rsidR="00D12E11" w:rsidRPr="00F7050E" w:rsidRDefault="00D12E11" w:rsidP="00BC7D1B">
            <w:pPr>
              <w:rPr>
                <w:rFonts w:ascii="Arial" w:hAnsi="Arial" w:cs="Arial"/>
                <w:sz w:val="20"/>
                <w:szCs w:val="20"/>
              </w:rPr>
            </w:pPr>
          </w:p>
          <w:p w14:paraId="1CA01C33" w14:textId="77777777" w:rsidR="00D12E11" w:rsidRPr="00F7050E" w:rsidRDefault="00D12E11" w:rsidP="00BC7D1B">
            <w:pPr>
              <w:rPr>
                <w:rFonts w:ascii="Arial" w:hAnsi="Arial" w:cs="Arial"/>
                <w:sz w:val="20"/>
                <w:szCs w:val="20"/>
              </w:rPr>
            </w:pPr>
            <w:r w:rsidRPr="00F7050E">
              <w:rPr>
                <w:rFonts w:ascii="Arial" w:hAnsi="Arial" w:cs="Arial"/>
                <w:sz w:val="20"/>
                <w:szCs w:val="20"/>
              </w:rPr>
              <w:t>(Guidance Note 2005)</w:t>
            </w:r>
          </w:p>
        </w:tc>
        <w:tc>
          <w:tcPr>
            <w:tcW w:w="2906" w:type="dxa"/>
          </w:tcPr>
          <w:p w14:paraId="45669ED4" w14:textId="77777777" w:rsidR="00D12E11" w:rsidRPr="00F7050E" w:rsidRDefault="00D12E11" w:rsidP="00BC7D1B">
            <w:pPr>
              <w:rPr>
                <w:rFonts w:ascii="Arial" w:hAnsi="Arial" w:cs="Arial"/>
                <w:sz w:val="20"/>
                <w:szCs w:val="20"/>
              </w:rPr>
            </w:pPr>
            <w:r w:rsidRPr="00F7050E">
              <w:rPr>
                <w:rFonts w:ascii="Arial" w:hAnsi="Arial" w:cs="Arial"/>
                <w:sz w:val="20"/>
                <w:szCs w:val="20"/>
              </w:rPr>
              <w:t>Percentage of people aged 65+ (60+) living with their children (men/women/total).</w:t>
            </w:r>
          </w:p>
          <w:p w14:paraId="0CE7FDBD" w14:textId="77777777" w:rsidR="00D12E11" w:rsidRPr="00F7050E" w:rsidRDefault="00D12E11" w:rsidP="00BC7D1B">
            <w:pPr>
              <w:rPr>
                <w:rFonts w:ascii="Arial" w:hAnsi="Arial" w:cs="Arial"/>
                <w:sz w:val="20"/>
                <w:szCs w:val="20"/>
              </w:rPr>
            </w:pPr>
            <w:r w:rsidRPr="00F7050E">
              <w:rPr>
                <w:rFonts w:ascii="Arial" w:hAnsi="Arial" w:cs="Arial"/>
                <w:sz w:val="20"/>
                <w:szCs w:val="20"/>
              </w:rPr>
              <w:t>Percentage of people aged 65+ (60+) living with another adult aged 65+ (60+), men/women/total</w:t>
            </w:r>
          </w:p>
          <w:p w14:paraId="3AFE0384"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Percentage of people aged 65+ (60+, 75+) living alone, men/women/total.</w:t>
            </w:r>
          </w:p>
        </w:tc>
        <w:tc>
          <w:tcPr>
            <w:tcW w:w="1630" w:type="dxa"/>
          </w:tcPr>
          <w:p w14:paraId="3DD9C036" w14:textId="77777777" w:rsidR="00D12E11" w:rsidRPr="00F7050E" w:rsidRDefault="00D12E11" w:rsidP="00BC7D1B">
            <w:pPr>
              <w:rPr>
                <w:rFonts w:ascii="Arial" w:hAnsi="Arial" w:cs="Arial"/>
                <w:sz w:val="20"/>
                <w:szCs w:val="20"/>
              </w:rPr>
            </w:pPr>
          </w:p>
        </w:tc>
        <w:tc>
          <w:tcPr>
            <w:tcW w:w="1772" w:type="dxa"/>
          </w:tcPr>
          <w:p w14:paraId="65AFA89D" w14:textId="77777777" w:rsidR="00D12E11" w:rsidRPr="00F7050E" w:rsidRDefault="00D12E11" w:rsidP="00BC7D1B">
            <w:pPr>
              <w:rPr>
                <w:rFonts w:ascii="Arial" w:hAnsi="Arial" w:cs="Arial"/>
                <w:sz w:val="20"/>
                <w:szCs w:val="20"/>
                <w:highlight w:val="yellow"/>
              </w:rPr>
            </w:pPr>
            <w:r w:rsidRPr="00F7050E">
              <w:rPr>
                <w:rFonts w:ascii="Arial" w:hAnsi="Arial" w:cs="Arial"/>
                <w:sz w:val="20"/>
                <w:szCs w:val="20"/>
              </w:rPr>
              <w:t>CENSUS, estimates</w:t>
            </w:r>
          </w:p>
          <w:p w14:paraId="1EE47670" w14:textId="77777777" w:rsidR="00D12E11" w:rsidRPr="00F7050E" w:rsidRDefault="00D12E11" w:rsidP="00BC7D1B">
            <w:pPr>
              <w:rPr>
                <w:rFonts w:ascii="Arial" w:hAnsi="Arial" w:cs="Arial"/>
                <w:sz w:val="20"/>
                <w:szCs w:val="20"/>
              </w:rPr>
            </w:pPr>
          </w:p>
        </w:tc>
        <w:tc>
          <w:tcPr>
            <w:tcW w:w="3009" w:type="dxa"/>
          </w:tcPr>
          <w:p w14:paraId="3DA073A4" w14:textId="77777777" w:rsidR="00D12E11" w:rsidRPr="00F7050E" w:rsidRDefault="00D12E11" w:rsidP="00BC7D1B">
            <w:pPr>
              <w:rPr>
                <w:rFonts w:ascii="Arial" w:hAnsi="Arial" w:cs="Arial"/>
                <w:i/>
                <w:sz w:val="20"/>
                <w:szCs w:val="20"/>
              </w:rPr>
            </w:pPr>
            <w:r w:rsidRPr="00F7050E">
              <w:rPr>
                <w:rFonts w:ascii="Arial" w:hAnsi="Arial" w:cs="Arial"/>
                <w:i/>
                <w:sz w:val="20"/>
                <w:szCs w:val="20"/>
              </w:rPr>
              <w:t>Special processing</w:t>
            </w:r>
          </w:p>
        </w:tc>
      </w:tr>
      <w:tr w:rsidR="00D12E11" w:rsidRPr="00F7050E" w14:paraId="71B55F86" w14:textId="77777777" w:rsidTr="00BC7D1B">
        <w:trPr>
          <w:trHeight w:val="454"/>
          <w:jc w:val="center"/>
        </w:trPr>
        <w:tc>
          <w:tcPr>
            <w:tcW w:w="534" w:type="dxa"/>
          </w:tcPr>
          <w:p w14:paraId="2826FCAD" w14:textId="77777777" w:rsidR="00D12E11" w:rsidRPr="00F7050E" w:rsidRDefault="00D12E11" w:rsidP="00BC7D1B">
            <w:pPr>
              <w:rPr>
                <w:rFonts w:ascii="Arial" w:hAnsi="Arial" w:cs="Arial"/>
                <w:sz w:val="20"/>
                <w:szCs w:val="20"/>
              </w:rPr>
            </w:pPr>
          </w:p>
          <w:p w14:paraId="7AB8535C" w14:textId="77777777" w:rsidR="00D12E11" w:rsidRPr="00F7050E" w:rsidRDefault="00D12E11" w:rsidP="00BC7D1B">
            <w:pPr>
              <w:rPr>
                <w:rFonts w:ascii="Arial" w:hAnsi="Arial" w:cs="Arial"/>
                <w:sz w:val="20"/>
                <w:szCs w:val="20"/>
              </w:rPr>
            </w:pPr>
            <w:r w:rsidRPr="00F7050E">
              <w:rPr>
                <w:rFonts w:ascii="Arial" w:hAnsi="Arial" w:cs="Arial"/>
                <w:sz w:val="20"/>
                <w:szCs w:val="20"/>
              </w:rPr>
              <w:t>C4</w:t>
            </w:r>
          </w:p>
        </w:tc>
        <w:tc>
          <w:tcPr>
            <w:tcW w:w="2409" w:type="dxa"/>
          </w:tcPr>
          <w:p w14:paraId="0C62DA73" w14:textId="77777777" w:rsidR="00D12E11" w:rsidRPr="00F7050E" w:rsidRDefault="00D12E11" w:rsidP="00BC7D1B">
            <w:pPr>
              <w:rPr>
                <w:rFonts w:ascii="Arial" w:hAnsi="Arial" w:cs="Arial"/>
                <w:sz w:val="20"/>
                <w:szCs w:val="20"/>
              </w:rPr>
            </w:pPr>
            <w:r w:rsidRPr="00F7050E">
              <w:rPr>
                <w:rFonts w:ascii="Arial" w:hAnsi="Arial" w:cs="Arial"/>
                <w:iCs/>
                <w:sz w:val="20"/>
                <w:szCs w:val="20"/>
              </w:rPr>
              <w:t>Employment rate</w:t>
            </w:r>
          </w:p>
        </w:tc>
        <w:tc>
          <w:tcPr>
            <w:tcW w:w="1772" w:type="dxa"/>
          </w:tcPr>
          <w:p w14:paraId="47632227" w14:textId="77777777" w:rsidR="00D12E11" w:rsidRPr="00F7050E" w:rsidRDefault="00D12E11" w:rsidP="00BC7D1B">
            <w:pPr>
              <w:rPr>
                <w:rFonts w:ascii="Arial" w:hAnsi="Arial" w:cs="Arial"/>
                <w:i/>
                <w:sz w:val="20"/>
                <w:szCs w:val="20"/>
              </w:rPr>
            </w:pPr>
            <w:r w:rsidRPr="00F7050E">
              <w:rPr>
                <w:rFonts w:ascii="Arial" w:hAnsi="Arial" w:cs="Arial"/>
                <w:i/>
                <w:sz w:val="20"/>
                <w:szCs w:val="20"/>
              </w:rPr>
              <w:t>Context information - the Overarching Portfolio</w:t>
            </w:r>
          </w:p>
          <w:p w14:paraId="41220ABC" w14:textId="77777777" w:rsidR="00D12E11" w:rsidRPr="00F7050E" w:rsidRDefault="00D12E11" w:rsidP="00BC7D1B">
            <w:pPr>
              <w:rPr>
                <w:rFonts w:ascii="Arial" w:hAnsi="Arial" w:cs="Arial"/>
                <w:i/>
                <w:sz w:val="20"/>
                <w:szCs w:val="20"/>
              </w:rPr>
            </w:pPr>
          </w:p>
          <w:p w14:paraId="52029C99" w14:textId="77777777" w:rsidR="00D12E11" w:rsidRPr="00F7050E" w:rsidRDefault="00D12E11" w:rsidP="00BC7D1B">
            <w:pPr>
              <w:rPr>
                <w:rFonts w:ascii="Arial" w:hAnsi="Arial" w:cs="Arial"/>
                <w:i/>
                <w:sz w:val="20"/>
                <w:szCs w:val="20"/>
              </w:rPr>
            </w:pPr>
            <w:r w:rsidRPr="00F7050E">
              <w:rPr>
                <w:rFonts w:ascii="Arial" w:hAnsi="Arial" w:cs="Arial"/>
                <w:i/>
                <w:sz w:val="20"/>
                <w:szCs w:val="20"/>
              </w:rPr>
              <w:t>Primary sustainability indicator</w:t>
            </w:r>
          </w:p>
          <w:p w14:paraId="493E6C4D" w14:textId="77777777" w:rsidR="00D12E11" w:rsidRPr="00F7050E" w:rsidRDefault="00D12E11" w:rsidP="00BC7D1B">
            <w:pPr>
              <w:rPr>
                <w:rFonts w:ascii="Arial" w:hAnsi="Arial" w:cs="Arial"/>
                <w:sz w:val="20"/>
                <w:szCs w:val="20"/>
              </w:rPr>
            </w:pPr>
          </w:p>
        </w:tc>
        <w:tc>
          <w:tcPr>
            <w:tcW w:w="2906" w:type="dxa"/>
          </w:tcPr>
          <w:p w14:paraId="7ACDB430" w14:textId="77777777" w:rsidR="00D12E11" w:rsidRPr="00F7050E" w:rsidRDefault="00D12E11" w:rsidP="00BC7D1B">
            <w:pPr>
              <w:rPr>
                <w:rFonts w:ascii="Arial" w:hAnsi="Arial" w:cs="Arial"/>
                <w:sz w:val="20"/>
                <w:szCs w:val="20"/>
              </w:rPr>
            </w:pPr>
          </w:p>
        </w:tc>
        <w:tc>
          <w:tcPr>
            <w:tcW w:w="1630" w:type="dxa"/>
          </w:tcPr>
          <w:p w14:paraId="40869D0F"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By sex </w:t>
            </w:r>
          </w:p>
        </w:tc>
        <w:tc>
          <w:tcPr>
            <w:tcW w:w="1772" w:type="dxa"/>
          </w:tcPr>
          <w:p w14:paraId="0744199A" w14:textId="77777777" w:rsidR="00D12E11" w:rsidRPr="00F7050E" w:rsidRDefault="00D12E11" w:rsidP="00BC7D1B">
            <w:pPr>
              <w:rPr>
                <w:rFonts w:ascii="Arial" w:hAnsi="Arial" w:cs="Arial"/>
                <w:sz w:val="20"/>
                <w:szCs w:val="20"/>
                <w:highlight w:val="yellow"/>
              </w:rPr>
            </w:pPr>
            <w:r w:rsidRPr="00F7050E">
              <w:rPr>
                <w:rFonts w:ascii="Arial" w:hAnsi="Arial" w:cs="Arial"/>
                <w:sz w:val="20"/>
                <w:szCs w:val="20"/>
              </w:rPr>
              <w:t>SORS /LFS</w:t>
            </w:r>
          </w:p>
        </w:tc>
        <w:tc>
          <w:tcPr>
            <w:tcW w:w="3009" w:type="dxa"/>
          </w:tcPr>
          <w:p w14:paraId="5A96D18E"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SORS /AFS</w:t>
            </w:r>
            <w:r w:rsidRPr="00F7050E">
              <w:rPr>
                <w:rFonts w:ascii="Arial" w:hAnsi="Arial" w:cs="Arial"/>
                <w:i/>
                <w:sz w:val="20"/>
                <w:szCs w:val="20"/>
                <w:lang w:val="en-GB"/>
              </w:rPr>
              <w:t xml:space="preserve"> Bulletin and Communication</w:t>
            </w:r>
          </w:p>
          <w:p w14:paraId="66F21FA8"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According to EU (2015), the employment rate of people aged 55-64 (measured by EUROSTAT LFS) is an essential aspect of pension systems sustainability; therefore, this is a primary indicator in the EU Pensions Portfolio of Social Indicators. However, bearing in mind certain particularities pertaining to Serbia (primarily the high level of the grey economy and the number of farmers who do not pay contributions), this indicator is not considered to be of primary importance; rather, it can be considered as a potential and not as an essential aspect of sustainability. For this reason it has been classified as context information (the way it is classified within the overarching EU indicators)</w:t>
            </w:r>
          </w:p>
        </w:tc>
      </w:tr>
      <w:tr w:rsidR="00D12E11" w:rsidRPr="00F7050E" w14:paraId="588650E1" w14:textId="77777777" w:rsidTr="00BC7D1B">
        <w:trPr>
          <w:trHeight w:val="454"/>
          <w:jc w:val="center"/>
        </w:trPr>
        <w:tc>
          <w:tcPr>
            <w:tcW w:w="534" w:type="dxa"/>
          </w:tcPr>
          <w:p w14:paraId="561E7C4F" w14:textId="77777777" w:rsidR="00D12E11" w:rsidRPr="00F7050E" w:rsidRDefault="00D12E11" w:rsidP="00BC7D1B">
            <w:pPr>
              <w:rPr>
                <w:rFonts w:ascii="Arial" w:hAnsi="Arial" w:cs="Arial"/>
                <w:sz w:val="20"/>
                <w:szCs w:val="20"/>
              </w:rPr>
            </w:pPr>
            <w:r w:rsidRPr="00F7050E">
              <w:rPr>
                <w:rFonts w:ascii="Arial" w:hAnsi="Arial" w:cs="Arial"/>
                <w:sz w:val="20"/>
                <w:szCs w:val="20"/>
              </w:rPr>
              <w:t>C5</w:t>
            </w:r>
          </w:p>
        </w:tc>
        <w:tc>
          <w:tcPr>
            <w:tcW w:w="2409" w:type="dxa"/>
          </w:tcPr>
          <w:p w14:paraId="6A93BA70" w14:textId="77777777" w:rsidR="00D12E11" w:rsidRPr="00F7050E" w:rsidRDefault="00D12E11" w:rsidP="00BC7D1B">
            <w:pPr>
              <w:pStyle w:val="NormalWeb"/>
              <w:spacing w:before="2" w:after="2"/>
              <w:rPr>
                <w:rFonts w:ascii="Arial" w:hAnsi="Arial" w:cs="Arial"/>
              </w:rPr>
            </w:pPr>
            <w:r w:rsidRPr="00F7050E">
              <w:rPr>
                <w:rFonts w:ascii="Arial" w:hAnsi="Arial" w:cs="Arial"/>
                <w:color w:val="111111"/>
              </w:rPr>
              <w:t>People aged 55–64 neither in employment nor in retirement (percentage of the age group)</w:t>
            </w:r>
          </w:p>
          <w:p w14:paraId="40644F6D" w14:textId="77777777" w:rsidR="00D12E11" w:rsidRPr="00F7050E" w:rsidRDefault="00D12E11" w:rsidP="00BC7D1B">
            <w:pPr>
              <w:rPr>
                <w:rFonts w:ascii="Arial" w:hAnsi="Arial" w:cs="Arial"/>
                <w:iCs/>
                <w:sz w:val="20"/>
                <w:szCs w:val="20"/>
              </w:rPr>
            </w:pPr>
          </w:p>
        </w:tc>
        <w:tc>
          <w:tcPr>
            <w:tcW w:w="1772" w:type="dxa"/>
          </w:tcPr>
          <w:p w14:paraId="6347E249" w14:textId="77777777" w:rsidR="00D12E11" w:rsidRPr="00F7050E" w:rsidRDefault="00D12E11" w:rsidP="00BC7D1B">
            <w:pPr>
              <w:pStyle w:val="NormalWeb"/>
              <w:spacing w:before="2" w:after="2"/>
              <w:rPr>
                <w:rFonts w:ascii="Arial" w:hAnsi="Arial" w:cs="Arial"/>
              </w:rPr>
            </w:pPr>
            <w:r w:rsidRPr="00F7050E">
              <w:rPr>
                <w:rFonts w:ascii="Arial" w:hAnsi="Arial" w:cs="Arial"/>
                <w:i/>
              </w:rPr>
              <w:t xml:space="preserve">OECD Indicator </w:t>
            </w:r>
            <w:r w:rsidRPr="00F7050E">
              <w:rPr>
                <w:rFonts w:ascii="Arial" w:hAnsi="Arial" w:cs="Arial"/>
                <w:color w:val="111111"/>
              </w:rPr>
              <w:t xml:space="preserve">People aged 55–64 neither in employment nor completely in retirement </w:t>
            </w:r>
          </w:p>
        </w:tc>
        <w:tc>
          <w:tcPr>
            <w:tcW w:w="2906" w:type="dxa"/>
          </w:tcPr>
          <w:p w14:paraId="57C0F49E" w14:textId="77777777" w:rsidR="00D12E11" w:rsidRPr="00F7050E" w:rsidRDefault="00D12E11" w:rsidP="00BC7D1B">
            <w:pPr>
              <w:rPr>
                <w:rFonts w:ascii="Arial" w:hAnsi="Arial" w:cs="Arial"/>
                <w:sz w:val="20"/>
                <w:szCs w:val="20"/>
              </w:rPr>
            </w:pPr>
            <w:r w:rsidRPr="00F7050E">
              <w:rPr>
                <w:rFonts w:ascii="Arial" w:hAnsi="Arial" w:cs="Arial"/>
                <w:sz w:val="20"/>
                <w:szCs w:val="20"/>
              </w:rPr>
              <w:t>Combination of questions from  LFS</w:t>
            </w:r>
          </w:p>
        </w:tc>
        <w:tc>
          <w:tcPr>
            <w:tcW w:w="1630" w:type="dxa"/>
          </w:tcPr>
          <w:p w14:paraId="20753308"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By sex </w:t>
            </w:r>
          </w:p>
        </w:tc>
        <w:tc>
          <w:tcPr>
            <w:tcW w:w="1772" w:type="dxa"/>
          </w:tcPr>
          <w:p w14:paraId="4B338762" w14:textId="77777777" w:rsidR="00D12E11" w:rsidRPr="00F7050E" w:rsidRDefault="00D12E11" w:rsidP="00BC7D1B">
            <w:pPr>
              <w:rPr>
                <w:rFonts w:ascii="Arial" w:hAnsi="Arial" w:cs="Arial"/>
                <w:sz w:val="20"/>
                <w:szCs w:val="20"/>
              </w:rPr>
            </w:pPr>
            <w:r w:rsidRPr="00F7050E">
              <w:rPr>
                <w:rFonts w:ascii="Arial" w:hAnsi="Arial" w:cs="Arial"/>
                <w:sz w:val="20"/>
                <w:szCs w:val="20"/>
              </w:rPr>
              <w:t>SORS /LFS</w:t>
            </w:r>
          </w:p>
        </w:tc>
        <w:tc>
          <w:tcPr>
            <w:tcW w:w="3009" w:type="dxa"/>
          </w:tcPr>
          <w:p w14:paraId="12DD8D67"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i/>
                <w:sz w:val="20"/>
                <w:szCs w:val="20"/>
                <w:lang w:val="en-GB"/>
              </w:rPr>
              <w:t xml:space="preserve">Special processing </w:t>
            </w:r>
            <w:r w:rsidRPr="00F7050E">
              <w:rPr>
                <w:rFonts w:ascii="Arial" w:hAnsi="Arial" w:cs="Arial"/>
                <w:sz w:val="20"/>
                <w:szCs w:val="20"/>
                <w:lang w:val="en-GB"/>
              </w:rPr>
              <w:t>LFS</w:t>
            </w:r>
          </w:p>
        </w:tc>
      </w:tr>
      <w:tr w:rsidR="00D12E11" w:rsidRPr="00F7050E" w14:paraId="72A9C19B" w14:textId="77777777" w:rsidTr="00BC7D1B">
        <w:trPr>
          <w:trHeight w:val="454"/>
          <w:jc w:val="center"/>
        </w:trPr>
        <w:tc>
          <w:tcPr>
            <w:tcW w:w="534" w:type="dxa"/>
          </w:tcPr>
          <w:p w14:paraId="33D9A4E0" w14:textId="77777777" w:rsidR="00D12E11" w:rsidRPr="00F7050E" w:rsidRDefault="00D12E11" w:rsidP="00BC7D1B">
            <w:pPr>
              <w:rPr>
                <w:rFonts w:ascii="Arial" w:hAnsi="Arial" w:cs="Arial"/>
                <w:sz w:val="20"/>
                <w:szCs w:val="20"/>
              </w:rPr>
            </w:pPr>
            <w:r w:rsidRPr="00F7050E">
              <w:rPr>
                <w:rFonts w:ascii="Arial" w:hAnsi="Arial" w:cs="Arial"/>
                <w:sz w:val="20"/>
                <w:szCs w:val="20"/>
              </w:rPr>
              <w:t>C6</w:t>
            </w:r>
          </w:p>
        </w:tc>
        <w:tc>
          <w:tcPr>
            <w:tcW w:w="2409" w:type="dxa"/>
          </w:tcPr>
          <w:p w14:paraId="3F96F6BF" w14:textId="77777777" w:rsidR="00D12E11" w:rsidRPr="00F7050E" w:rsidRDefault="00D12E11" w:rsidP="00BC7D1B">
            <w:pPr>
              <w:rPr>
                <w:rFonts w:ascii="Arial" w:hAnsi="Arial" w:cs="Arial"/>
                <w:sz w:val="20"/>
                <w:szCs w:val="20"/>
              </w:rPr>
            </w:pPr>
            <w:r w:rsidRPr="00F7050E">
              <w:rPr>
                <w:rFonts w:ascii="Arial" w:hAnsi="Arial" w:cs="Arial"/>
                <w:iCs/>
                <w:sz w:val="20"/>
                <w:szCs w:val="20"/>
              </w:rPr>
              <w:t>Unemployment rate</w:t>
            </w:r>
            <w:r w:rsidRPr="00F7050E">
              <w:rPr>
                <w:rFonts w:ascii="Arial" w:hAnsi="Arial" w:cs="Arial"/>
                <w:sz w:val="20"/>
                <w:szCs w:val="20"/>
              </w:rPr>
              <w:t>, by sex, and key age groups</w:t>
            </w:r>
          </w:p>
        </w:tc>
        <w:tc>
          <w:tcPr>
            <w:tcW w:w="1772" w:type="dxa"/>
          </w:tcPr>
          <w:p w14:paraId="1D84E145" w14:textId="77777777" w:rsidR="00D12E11" w:rsidRPr="00F7050E" w:rsidRDefault="00D12E11" w:rsidP="00BC7D1B">
            <w:pPr>
              <w:rPr>
                <w:rFonts w:ascii="Arial" w:hAnsi="Arial" w:cs="Arial"/>
                <w:sz w:val="20"/>
                <w:szCs w:val="20"/>
              </w:rPr>
            </w:pPr>
            <w:r w:rsidRPr="00F7050E">
              <w:rPr>
                <w:rFonts w:ascii="Arial" w:hAnsi="Arial" w:cs="Arial"/>
                <w:i/>
                <w:sz w:val="20"/>
                <w:szCs w:val="20"/>
              </w:rPr>
              <w:t xml:space="preserve">Context information- the </w:t>
            </w:r>
            <w:r w:rsidRPr="00F7050E">
              <w:rPr>
                <w:rFonts w:ascii="Arial" w:hAnsi="Arial" w:cs="Arial"/>
                <w:i/>
                <w:sz w:val="20"/>
                <w:szCs w:val="20"/>
              </w:rPr>
              <w:lastRenderedPageBreak/>
              <w:t>Overarching Portfolio</w:t>
            </w:r>
          </w:p>
        </w:tc>
        <w:tc>
          <w:tcPr>
            <w:tcW w:w="2906" w:type="dxa"/>
          </w:tcPr>
          <w:p w14:paraId="0DC2CC6A" w14:textId="77777777" w:rsidR="00D12E11" w:rsidRPr="00F7050E" w:rsidRDefault="00D12E11" w:rsidP="00BC7D1B">
            <w:pPr>
              <w:rPr>
                <w:rFonts w:ascii="Arial" w:hAnsi="Arial" w:cs="Arial"/>
                <w:sz w:val="20"/>
                <w:szCs w:val="20"/>
              </w:rPr>
            </w:pPr>
          </w:p>
        </w:tc>
        <w:tc>
          <w:tcPr>
            <w:tcW w:w="1630" w:type="dxa"/>
          </w:tcPr>
          <w:p w14:paraId="0528C8C4" w14:textId="77777777" w:rsidR="00D12E11" w:rsidRPr="00F7050E" w:rsidRDefault="00D12E11" w:rsidP="00BC7D1B">
            <w:pPr>
              <w:rPr>
                <w:rFonts w:ascii="Arial" w:hAnsi="Arial" w:cs="Arial"/>
                <w:sz w:val="20"/>
                <w:szCs w:val="20"/>
              </w:rPr>
            </w:pPr>
          </w:p>
        </w:tc>
        <w:tc>
          <w:tcPr>
            <w:tcW w:w="1772" w:type="dxa"/>
          </w:tcPr>
          <w:p w14:paraId="08AABAE8" w14:textId="77777777" w:rsidR="00D12E11" w:rsidRPr="00F7050E" w:rsidRDefault="00D12E11" w:rsidP="00BC7D1B">
            <w:pPr>
              <w:rPr>
                <w:rFonts w:ascii="Arial" w:hAnsi="Arial" w:cs="Arial"/>
                <w:sz w:val="20"/>
                <w:szCs w:val="20"/>
              </w:rPr>
            </w:pPr>
            <w:r w:rsidRPr="00F7050E">
              <w:rPr>
                <w:rFonts w:ascii="Arial" w:hAnsi="Arial" w:cs="Arial"/>
                <w:sz w:val="20"/>
                <w:szCs w:val="20"/>
              </w:rPr>
              <w:t>SORS /LFS</w:t>
            </w:r>
          </w:p>
        </w:tc>
        <w:tc>
          <w:tcPr>
            <w:tcW w:w="3009" w:type="dxa"/>
          </w:tcPr>
          <w:p w14:paraId="18D1167F"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SORS/LFS</w:t>
            </w:r>
            <w:r w:rsidRPr="00F7050E">
              <w:rPr>
                <w:rFonts w:ascii="Arial" w:hAnsi="Arial" w:cs="Arial"/>
                <w:i/>
                <w:sz w:val="20"/>
                <w:szCs w:val="20"/>
                <w:lang w:val="en-GB"/>
              </w:rPr>
              <w:t xml:space="preserve"> Bulletin and </w:t>
            </w:r>
            <w:r w:rsidRPr="00F7050E">
              <w:rPr>
                <w:rFonts w:ascii="Arial" w:hAnsi="Arial" w:cs="Arial"/>
                <w:i/>
                <w:color w:val="auto"/>
                <w:sz w:val="20"/>
                <w:szCs w:val="20"/>
                <w:lang w:val="en-GB"/>
              </w:rPr>
              <w:t>Communication</w:t>
            </w:r>
          </w:p>
          <w:p w14:paraId="2858D32A" w14:textId="77777777" w:rsidR="00D12E11" w:rsidRPr="00F7050E" w:rsidRDefault="00D12E11" w:rsidP="00BC7D1B">
            <w:pPr>
              <w:rPr>
                <w:rFonts w:ascii="Arial" w:hAnsi="Arial" w:cs="Arial"/>
                <w:sz w:val="20"/>
                <w:szCs w:val="20"/>
              </w:rPr>
            </w:pPr>
          </w:p>
        </w:tc>
      </w:tr>
      <w:tr w:rsidR="00D12E11" w:rsidRPr="00F7050E" w14:paraId="367C4FAB" w14:textId="77777777" w:rsidTr="00BC7D1B">
        <w:trPr>
          <w:trHeight w:val="454"/>
          <w:jc w:val="center"/>
        </w:trPr>
        <w:tc>
          <w:tcPr>
            <w:tcW w:w="534" w:type="dxa"/>
          </w:tcPr>
          <w:p w14:paraId="75753EDB"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C7</w:t>
            </w:r>
          </w:p>
        </w:tc>
        <w:tc>
          <w:tcPr>
            <w:tcW w:w="2409" w:type="dxa"/>
          </w:tcPr>
          <w:p w14:paraId="2DF958F6" w14:textId="77777777" w:rsidR="00D12E11" w:rsidRPr="00F7050E" w:rsidRDefault="00D12E11" w:rsidP="00BC7D1B">
            <w:pPr>
              <w:rPr>
                <w:rFonts w:ascii="Arial" w:hAnsi="Arial" w:cs="Arial"/>
                <w:sz w:val="20"/>
                <w:szCs w:val="20"/>
              </w:rPr>
            </w:pPr>
            <w:r w:rsidRPr="00F7050E">
              <w:rPr>
                <w:rFonts w:ascii="Arial" w:hAnsi="Arial" w:cs="Arial"/>
                <w:iCs/>
                <w:sz w:val="20"/>
                <w:szCs w:val="20"/>
              </w:rPr>
              <w:t>Long-term unemployment rate</w:t>
            </w:r>
            <w:r w:rsidRPr="00F7050E">
              <w:rPr>
                <w:rFonts w:ascii="Arial" w:hAnsi="Arial" w:cs="Arial"/>
                <w:sz w:val="20"/>
                <w:szCs w:val="20"/>
              </w:rPr>
              <w:t>, by sex and key age groups</w:t>
            </w:r>
          </w:p>
        </w:tc>
        <w:tc>
          <w:tcPr>
            <w:tcW w:w="1772" w:type="dxa"/>
          </w:tcPr>
          <w:p w14:paraId="51D6A384" w14:textId="77777777" w:rsidR="00D12E11" w:rsidRPr="00F7050E" w:rsidRDefault="00D12E11" w:rsidP="00BC7D1B">
            <w:pPr>
              <w:rPr>
                <w:rFonts w:ascii="Arial" w:hAnsi="Arial" w:cs="Arial"/>
                <w:i/>
                <w:sz w:val="20"/>
                <w:szCs w:val="20"/>
              </w:rPr>
            </w:pPr>
            <w:r w:rsidRPr="00F7050E">
              <w:rPr>
                <w:rFonts w:ascii="Arial" w:hAnsi="Arial" w:cs="Arial"/>
                <w:i/>
                <w:sz w:val="20"/>
                <w:szCs w:val="20"/>
              </w:rPr>
              <w:t>Context information- the Overarching Portfolio</w:t>
            </w:r>
          </w:p>
        </w:tc>
        <w:tc>
          <w:tcPr>
            <w:tcW w:w="2906" w:type="dxa"/>
          </w:tcPr>
          <w:p w14:paraId="324BEA1A" w14:textId="77777777" w:rsidR="00D12E11" w:rsidRPr="00F7050E" w:rsidRDefault="00D12E11" w:rsidP="00BC7D1B">
            <w:pPr>
              <w:rPr>
                <w:rFonts w:ascii="Arial" w:hAnsi="Arial" w:cs="Arial"/>
                <w:sz w:val="20"/>
                <w:szCs w:val="20"/>
              </w:rPr>
            </w:pPr>
          </w:p>
        </w:tc>
        <w:tc>
          <w:tcPr>
            <w:tcW w:w="1630" w:type="dxa"/>
          </w:tcPr>
          <w:p w14:paraId="2560B78C" w14:textId="77777777" w:rsidR="00D12E11" w:rsidRPr="00F7050E" w:rsidRDefault="00D12E11" w:rsidP="00BC7D1B">
            <w:pPr>
              <w:rPr>
                <w:rFonts w:ascii="Arial" w:hAnsi="Arial" w:cs="Arial"/>
                <w:sz w:val="20"/>
                <w:szCs w:val="20"/>
              </w:rPr>
            </w:pPr>
          </w:p>
        </w:tc>
        <w:tc>
          <w:tcPr>
            <w:tcW w:w="1772" w:type="dxa"/>
          </w:tcPr>
          <w:p w14:paraId="0A6E3002" w14:textId="77777777" w:rsidR="00D12E11" w:rsidRPr="00F7050E" w:rsidRDefault="00D12E11" w:rsidP="00BC7D1B">
            <w:pPr>
              <w:rPr>
                <w:rFonts w:ascii="Arial" w:hAnsi="Arial" w:cs="Arial"/>
                <w:sz w:val="20"/>
                <w:szCs w:val="20"/>
              </w:rPr>
            </w:pPr>
            <w:r w:rsidRPr="00F7050E">
              <w:rPr>
                <w:rFonts w:ascii="Arial" w:hAnsi="Arial" w:cs="Arial"/>
                <w:sz w:val="20"/>
                <w:szCs w:val="20"/>
              </w:rPr>
              <w:t>SORS /LFS</w:t>
            </w:r>
          </w:p>
        </w:tc>
        <w:tc>
          <w:tcPr>
            <w:tcW w:w="3009" w:type="dxa"/>
          </w:tcPr>
          <w:p w14:paraId="40346E68" w14:textId="77777777" w:rsidR="00D12E11" w:rsidRPr="00F7050E" w:rsidRDefault="00D12E11" w:rsidP="00BC7D1B">
            <w:pPr>
              <w:rPr>
                <w:rFonts w:ascii="Arial" w:hAnsi="Arial" w:cs="Arial"/>
                <w:sz w:val="20"/>
                <w:szCs w:val="20"/>
              </w:rPr>
            </w:pPr>
          </w:p>
        </w:tc>
      </w:tr>
      <w:tr w:rsidR="00D12E11" w:rsidRPr="00F7050E" w14:paraId="1A02A439" w14:textId="77777777" w:rsidTr="00BC7D1B">
        <w:trPr>
          <w:trHeight w:val="454"/>
          <w:jc w:val="center"/>
        </w:trPr>
        <w:tc>
          <w:tcPr>
            <w:tcW w:w="534" w:type="dxa"/>
          </w:tcPr>
          <w:p w14:paraId="5A091C53" w14:textId="77777777" w:rsidR="00D12E11" w:rsidRPr="00F7050E" w:rsidRDefault="00D12E11" w:rsidP="00BC7D1B">
            <w:pPr>
              <w:rPr>
                <w:rFonts w:ascii="Arial" w:hAnsi="Arial" w:cs="Arial"/>
                <w:sz w:val="20"/>
                <w:szCs w:val="20"/>
              </w:rPr>
            </w:pPr>
            <w:r w:rsidRPr="00F7050E">
              <w:rPr>
                <w:rFonts w:ascii="Arial" w:hAnsi="Arial" w:cs="Arial"/>
                <w:sz w:val="20"/>
                <w:szCs w:val="20"/>
              </w:rPr>
              <w:t>C8</w:t>
            </w:r>
          </w:p>
        </w:tc>
        <w:tc>
          <w:tcPr>
            <w:tcW w:w="2409" w:type="dxa"/>
          </w:tcPr>
          <w:p w14:paraId="2A9087C0" w14:textId="77777777" w:rsidR="00D12E11" w:rsidRPr="00F7050E" w:rsidRDefault="00D12E11" w:rsidP="00BC7D1B">
            <w:pPr>
              <w:rPr>
                <w:rFonts w:ascii="Arial" w:hAnsi="Arial" w:cs="Arial"/>
                <w:sz w:val="20"/>
                <w:szCs w:val="20"/>
              </w:rPr>
            </w:pPr>
            <w:r w:rsidRPr="00F7050E">
              <w:rPr>
                <w:rFonts w:ascii="Arial" w:hAnsi="Arial" w:cs="Arial"/>
                <w:sz w:val="20"/>
                <w:szCs w:val="20"/>
              </w:rPr>
              <w:t>Composition of income by source and by income quintile</w:t>
            </w:r>
          </w:p>
        </w:tc>
        <w:tc>
          <w:tcPr>
            <w:tcW w:w="1772" w:type="dxa"/>
          </w:tcPr>
          <w:p w14:paraId="05B4A44D" w14:textId="77777777" w:rsidR="00D12E11" w:rsidRPr="00F7050E" w:rsidRDefault="00D12E11" w:rsidP="00BC7D1B">
            <w:pPr>
              <w:rPr>
                <w:rFonts w:ascii="Arial" w:hAnsi="Arial" w:cs="Arial"/>
                <w:i/>
                <w:sz w:val="20"/>
                <w:szCs w:val="20"/>
              </w:rPr>
            </w:pPr>
            <w:r w:rsidRPr="00F7050E">
              <w:rPr>
                <w:rFonts w:ascii="Arial" w:hAnsi="Arial" w:cs="Arial"/>
                <w:i/>
                <w:sz w:val="20"/>
                <w:szCs w:val="20"/>
              </w:rPr>
              <w:t>Context information- adequacy</w:t>
            </w:r>
          </w:p>
        </w:tc>
        <w:tc>
          <w:tcPr>
            <w:tcW w:w="2906" w:type="dxa"/>
          </w:tcPr>
          <w:p w14:paraId="7E0FBF63" w14:textId="77777777" w:rsidR="00D12E11" w:rsidRPr="00F7050E" w:rsidRDefault="00D12E11" w:rsidP="00BC7D1B">
            <w:pPr>
              <w:rPr>
                <w:rFonts w:ascii="Arial" w:hAnsi="Arial" w:cs="Arial"/>
                <w:sz w:val="20"/>
                <w:szCs w:val="20"/>
              </w:rPr>
            </w:pPr>
            <w:r w:rsidRPr="00F7050E">
              <w:rPr>
                <w:rFonts w:ascii="Arial" w:hAnsi="Arial" w:cs="Arial"/>
                <w:sz w:val="20"/>
                <w:szCs w:val="20"/>
              </w:rPr>
              <w:t>Pensions; other social benefits; earnings from work; other sources</w:t>
            </w:r>
          </w:p>
        </w:tc>
        <w:tc>
          <w:tcPr>
            <w:tcW w:w="1630" w:type="dxa"/>
          </w:tcPr>
          <w:p w14:paraId="3D2E399E"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 60+, 65+, 75+ </w:t>
            </w:r>
          </w:p>
        </w:tc>
        <w:tc>
          <w:tcPr>
            <w:tcW w:w="1772" w:type="dxa"/>
          </w:tcPr>
          <w:p w14:paraId="31653798"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131289DA" w14:textId="77777777" w:rsidR="00D12E11" w:rsidRPr="00F7050E" w:rsidRDefault="00D12E11" w:rsidP="00BC7D1B">
            <w:pPr>
              <w:rPr>
                <w:rFonts w:ascii="Arial" w:hAnsi="Arial" w:cs="Arial"/>
                <w:sz w:val="20"/>
                <w:szCs w:val="20"/>
              </w:rPr>
            </w:pPr>
          </w:p>
        </w:tc>
        <w:tc>
          <w:tcPr>
            <w:tcW w:w="3009" w:type="dxa"/>
          </w:tcPr>
          <w:p w14:paraId="493F3C8C" w14:textId="77777777" w:rsidR="00D12E11" w:rsidRPr="00F7050E" w:rsidRDefault="00D12E11" w:rsidP="00BC7D1B">
            <w:pPr>
              <w:rPr>
                <w:rFonts w:ascii="Arial" w:hAnsi="Arial" w:cs="Arial"/>
                <w:sz w:val="20"/>
                <w:szCs w:val="20"/>
              </w:rPr>
            </w:pPr>
          </w:p>
        </w:tc>
      </w:tr>
      <w:tr w:rsidR="00D12E11" w:rsidRPr="00F7050E" w14:paraId="05920D80" w14:textId="77777777" w:rsidTr="00BC7D1B">
        <w:trPr>
          <w:trHeight w:val="454"/>
          <w:jc w:val="center"/>
        </w:trPr>
        <w:tc>
          <w:tcPr>
            <w:tcW w:w="534" w:type="dxa"/>
          </w:tcPr>
          <w:p w14:paraId="7262DE9E" w14:textId="77777777" w:rsidR="00D12E11" w:rsidRPr="00F7050E" w:rsidRDefault="00D12E11" w:rsidP="00BC7D1B">
            <w:pPr>
              <w:rPr>
                <w:rFonts w:ascii="Arial" w:hAnsi="Arial" w:cs="Arial"/>
                <w:sz w:val="20"/>
                <w:szCs w:val="20"/>
              </w:rPr>
            </w:pPr>
            <w:r w:rsidRPr="00F7050E">
              <w:rPr>
                <w:rFonts w:ascii="Arial" w:hAnsi="Arial" w:cs="Arial"/>
                <w:sz w:val="20"/>
                <w:szCs w:val="20"/>
              </w:rPr>
              <w:t>C9</w:t>
            </w:r>
          </w:p>
        </w:tc>
        <w:tc>
          <w:tcPr>
            <w:tcW w:w="2409" w:type="dxa"/>
          </w:tcPr>
          <w:p w14:paraId="56035147" w14:textId="77777777" w:rsidR="00D12E11" w:rsidRPr="00F7050E" w:rsidRDefault="00D12E11" w:rsidP="00BC7D1B">
            <w:pPr>
              <w:rPr>
                <w:rFonts w:ascii="Arial" w:hAnsi="Arial" w:cs="Arial"/>
                <w:sz w:val="20"/>
                <w:szCs w:val="20"/>
              </w:rPr>
            </w:pPr>
            <w:r w:rsidRPr="00F7050E">
              <w:rPr>
                <w:rFonts w:ascii="Arial" w:hAnsi="Arial" w:cs="Arial"/>
                <w:sz w:val="20"/>
                <w:szCs w:val="20"/>
              </w:rPr>
              <w:t>Poverty rate of the general population (percentage)</w:t>
            </w:r>
          </w:p>
        </w:tc>
        <w:tc>
          <w:tcPr>
            <w:tcW w:w="1772" w:type="dxa"/>
          </w:tcPr>
          <w:p w14:paraId="5851F0A0" w14:textId="77777777" w:rsidR="00D12E11" w:rsidRPr="00F7050E" w:rsidRDefault="00D12E11" w:rsidP="00BC7D1B">
            <w:pPr>
              <w:rPr>
                <w:rFonts w:ascii="Arial" w:hAnsi="Arial" w:cs="Arial"/>
                <w:sz w:val="20"/>
                <w:szCs w:val="20"/>
              </w:rPr>
            </w:pPr>
          </w:p>
        </w:tc>
        <w:tc>
          <w:tcPr>
            <w:tcW w:w="2906" w:type="dxa"/>
          </w:tcPr>
          <w:p w14:paraId="5A89102D" w14:textId="77777777" w:rsidR="00D12E11" w:rsidRPr="00F7050E" w:rsidRDefault="00D12E11" w:rsidP="00BC7D1B">
            <w:pPr>
              <w:rPr>
                <w:rFonts w:ascii="Arial" w:hAnsi="Arial" w:cs="Arial"/>
                <w:sz w:val="20"/>
                <w:szCs w:val="20"/>
              </w:rPr>
            </w:pPr>
          </w:p>
        </w:tc>
        <w:tc>
          <w:tcPr>
            <w:tcW w:w="1630" w:type="dxa"/>
          </w:tcPr>
          <w:p w14:paraId="573E7752" w14:textId="77777777" w:rsidR="00D12E11" w:rsidRPr="00F7050E" w:rsidRDefault="00D12E11" w:rsidP="00BC7D1B">
            <w:pPr>
              <w:rPr>
                <w:rFonts w:ascii="Arial" w:hAnsi="Arial" w:cs="Arial"/>
                <w:sz w:val="20"/>
                <w:szCs w:val="20"/>
              </w:rPr>
            </w:pPr>
          </w:p>
        </w:tc>
        <w:tc>
          <w:tcPr>
            <w:tcW w:w="1772" w:type="dxa"/>
          </w:tcPr>
          <w:p w14:paraId="127470FD" w14:textId="77777777" w:rsidR="00D12E11" w:rsidRPr="00F7050E" w:rsidRDefault="00D12E11" w:rsidP="00BC7D1B">
            <w:pPr>
              <w:rPr>
                <w:rFonts w:ascii="Arial" w:hAnsi="Arial" w:cs="Arial"/>
                <w:sz w:val="20"/>
                <w:szCs w:val="20"/>
              </w:rPr>
            </w:pPr>
            <w:r w:rsidRPr="00F7050E">
              <w:rPr>
                <w:rFonts w:ascii="Arial" w:hAnsi="Arial" w:cs="Arial"/>
                <w:sz w:val="20"/>
                <w:szCs w:val="20"/>
              </w:rPr>
              <w:t>SORS/</w:t>
            </w:r>
            <w:r w:rsidRPr="00F7050E">
              <w:rPr>
                <w:rFonts w:ascii="Arial" w:hAnsi="Arial" w:cs="Arial"/>
                <w:b/>
                <w:sz w:val="20"/>
                <w:szCs w:val="20"/>
              </w:rPr>
              <w:t>SHC</w:t>
            </w:r>
            <w:r w:rsidRPr="00F7050E">
              <w:rPr>
                <w:rFonts w:ascii="Arial" w:hAnsi="Arial" w:cs="Arial"/>
                <w:sz w:val="20"/>
                <w:szCs w:val="20"/>
              </w:rPr>
              <w:t xml:space="preserve"> (Survey on Household Consumption) </w:t>
            </w:r>
          </w:p>
        </w:tc>
        <w:tc>
          <w:tcPr>
            <w:tcW w:w="3009" w:type="dxa"/>
          </w:tcPr>
          <w:p w14:paraId="181F587A"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The absolute poverty, currently not covered </w:t>
            </w:r>
          </w:p>
        </w:tc>
      </w:tr>
      <w:tr w:rsidR="00D12E11" w:rsidRPr="00F7050E" w14:paraId="2DB6E1C1" w14:textId="77777777" w:rsidTr="00BC7D1B">
        <w:trPr>
          <w:trHeight w:val="454"/>
          <w:jc w:val="center"/>
        </w:trPr>
        <w:tc>
          <w:tcPr>
            <w:tcW w:w="534" w:type="dxa"/>
          </w:tcPr>
          <w:p w14:paraId="4F1C9E6C" w14:textId="77777777" w:rsidR="00D12E11" w:rsidRPr="00F7050E" w:rsidRDefault="00D12E11" w:rsidP="00BC7D1B">
            <w:pPr>
              <w:rPr>
                <w:rFonts w:ascii="Arial" w:hAnsi="Arial" w:cs="Arial"/>
                <w:sz w:val="20"/>
                <w:szCs w:val="20"/>
              </w:rPr>
            </w:pPr>
            <w:r w:rsidRPr="00F7050E">
              <w:rPr>
                <w:rFonts w:ascii="Arial" w:hAnsi="Arial" w:cs="Arial"/>
                <w:sz w:val="20"/>
                <w:szCs w:val="20"/>
              </w:rPr>
              <w:t>C10</w:t>
            </w:r>
          </w:p>
        </w:tc>
        <w:tc>
          <w:tcPr>
            <w:tcW w:w="2409" w:type="dxa"/>
          </w:tcPr>
          <w:p w14:paraId="17F6748C" w14:textId="77777777" w:rsidR="00D12E11" w:rsidRPr="00F7050E" w:rsidRDefault="00D12E11" w:rsidP="00BC7D1B">
            <w:pPr>
              <w:rPr>
                <w:rFonts w:ascii="Arial" w:hAnsi="Arial" w:cs="Arial"/>
                <w:sz w:val="20"/>
                <w:szCs w:val="20"/>
              </w:rPr>
            </w:pPr>
            <w:r w:rsidRPr="00F7050E">
              <w:rPr>
                <w:rFonts w:ascii="Arial" w:hAnsi="Arial" w:cs="Arial"/>
                <w:sz w:val="20"/>
                <w:szCs w:val="20"/>
              </w:rPr>
              <w:t>At-risk-of-poverty rate for the general population (percentage)</w:t>
            </w:r>
          </w:p>
        </w:tc>
        <w:tc>
          <w:tcPr>
            <w:tcW w:w="1772" w:type="dxa"/>
          </w:tcPr>
          <w:p w14:paraId="64E1D422" w14:textId="77777777" w:rsidR="00D12E11" w:rsidRPr="00F7050E" w:rsidRDefault="00D12E11" w:rsidP="00BC7D1B">
            <w:pPr>
              <w:rPr>
                <w:rFonts w:ascii="Arial" w:hAnsi="Arial" w:cs="Arial"/>
                <w:sz w:val="20"/>
                <w:szCs w:val="20"/>
              </w:rPr>
            </w:pPr>
          </w:p>
        </w:tc>
        <w:tc>
          <w:tcPr>
            <w:tcW w:w="2906" w:type="dxa"/>
          </w:tcPr>
          <w:p w14:paraId="4693FBCF" w14:textId="77777777" w:rsidR="00D12E11" w:rsidRPr="00F7050E" w:rsidRDefault="00D12E11" w:rsidP="00BC7D1B">
            <w:pPr>
              <w:rPr>
                <w:rFonts w:ascii="Arial" w:hAnsi="Arial" w:cs="Arial"/>
                <w:sz w:val="20"/>
                <w:szCs w:val="20"/>
              </w:rPr>
            </w:pPr>
          </w:p>
        </w:tc>
        <w:tc>
          <w:tcPr>
            <w:tcW w:w="1630" w:type="dxa"/>
          </w:tcPr>
          <w:p w14:paraId="36301DC6" w14:textId="77777777" w:rsidR="00D12E11" w:rsidRPr="00F7050E" w:rsidRDefault="00D12E11" w:rsidP="00BC7D1B">
            <w:pPr>
              <w:rPr>
                <w:rFonts w:ascii="Arial" w:hAnsi="Arial" w:cs="Arial"/>
                <w:sz w:val="20"/>
                <w:szCs w:val="20"/>
              </w:rPr>
            </w:pPr>
          </w:p>
        </w:tc>
        <w:tc>
          <w:tcPr>
            <w:tcW w:w="1772" w:type="dxa"/>
          </w:tcPr>
          <w:p w14:paraId="6EF30C25"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7D25D1C3" w14:textId="77777777" w:rsidR="00D12E11" w:rsidRPr="00F7050E" w:rsidRDefault="00D12E11" w:rsidP="00BC7D1B">
            <w:pPr>
              <w:rPr>
                <w:rFonts w:ascii="Arial" w:hAnsi="Arial" w:cs="Arial"/>
                <w:sz w:val="20"/>
                <w:szCs w:val="20"/>
              </w:rPr>
            </w:pPr>
          </w:p>
        </w:tc>
        <w:tc>
          <w:tcPr>
            <w:tcW w:w="3009" w:type="dxa"/>
          </w:tcPr>
          <w:p w14:paraId="2EED1C74" w14:textId="77777777" w:rsidR="00D12E11" w:rsidRPr="00F7050E" w:rsidRDefault="00D12E11" w:rsidP="00BC7D1B">
            <w:pPr>
              <w:rPr>
                <w:rFonts w:ascii="Arial" w:hAnsi="Arial" w:cs="Arial"/>
                <w:i/>
                <w:sz w:val="20"/>
                <w:szCs w:val="20"/>
              </w:rPr>
            </w:pPr>
            <w:r w:rsidRPr="00F7050E">
              <w:rPr>
                <w:rFonts w:ascii="Arial" w:hAnsi="Arial" w:cs="Arial"/>
                <w:i/>
                <w:sz w:val="20"/>
                <w:szCs w:val="20"/>
              </w:rPr>
              <w:t xml:space="preserve">Available on </w:t>
            </w:r>
            <w:r w:rsidRPr="00F7050E">
              <w:rPr>
                <w:rFonts w:ascii="Arial" w:hAnsi="Arial" w:cs="Arial"/>
                <w:sz w:val="20"/>
                <w:szCs w:val="20"/>
              </w:rPr>
              <w:t>SORS</w:t>
            </w:r>
            <w:r w:rsidRPr="00F7050E">
              <w:rPr>
                <w:rFonts w:ascii="Arial" w:hAnsi="Arial" w:cs="Arial"/>
                <w:i/>
                <w:sz w:val="20"/>
                <w:szCs w:val="20"/>
              </w:rPr>
              <w:t xml:space="preserve"> site and at </w:t>
            </w:r>
            <w:r w:rsidRPr="00F7050E">
              <w:rPr>
                <w:rFonts w:ascii="Arial" w:hAnsi="Arial" w:cs="Arial"/>
                <w:sz w:val="20"/>
                <w:szCs w:val="20"/>
              </w:rPr>
              <w:t>EUROSTAT</w:t>
            </w:r>
            <w:r w:rsidRPr="00F7050E">
              <w:rPr>
                <w:rFonts w:ascii="Arial" w:hAnsi="Arial" w:cs="Arial"/>
                <w:i/>
                <w:sz w:val="20"/>
                <w:szCs w:val="20"/>
              </w:rPr>
              <w:t>- data for 2013, 2014 and 2015</w:t>
            </w:r>
          </w:p>
          <w:p w14:paraId="5969564C" w14:textId="77777777" w:rsidR="00D12E11" w:rsidRPr="00F7050E" w:rsidRDefault="00D12E11" w:rsidP="00BC7D1B">
            <w:pPr>
              <w:rPr>
                <w:rFonts w:ascii="Arial" w:hAnsi="Arial" w:cs="Arial"/>
                <w:sz w:val="20"/>
                <w:szCs w:val="20"/>
              </w:rPr>
            </w:pPr>
          </w:p>
          <w:p w14:paraId="39207861" w14:textId="77777777" w:rsidR="00D12E11" w:rsidRPr="00F7050E" w:rsidRDefault="00D12E11" w:rsidP="00BC7D1B">
            <w:pPr>
              <w:rPr>
                <w:rFonts w:ascii="Arial" w:hAnsi="Arial" w:cs="Arial"/>
                <w:sz w:val="20"/>
                <w:szCs w:val="20"/>
              </w:rPr>
            </w:pPr>
            <w:r w:rsidRPr="00F7050E">
              <w:rPr>
                <w:rFonts w:ascii="Arial" w:hAnsi="Arial" w:cs="Arial"/>
                <w:sz w:val="20"/>
                <w:szCs w:val="20"/>
              </w:rPr>
              <w:t>Relative poverty</w:t>
            </w:r>
          </w:p>
        </w:tc>
      </w:tr>
      <w:tr w:rsidR="00D12E11" w:rsidRPr="00F7050E" w14:paraId="2A85D313" w14:textId="77777777" w:rsidTr="00BC7D1B">
        <w:trPr>
          <w:trHeight w:val="454"/>
          <w:jc w:val="center"/>
        </w:trPr>
        <w:tc>
          <w:tcPr>
            <w:tcW w:w="534" w:type="dxa"/>
            <w:tcBorders>
              <w:bottom w:val="single" w:sz="4" w:space="0" w:color="000000"/>
            </w:tcBorders>
          </w:tcPr>
          <w:p w14:paraId="5BFF6BA6" w14:textId="77777777" w:rsidR="00D12E11" w:rsidRPr="00F7050E" w:rsidRDefault="00D12E11" w:rsidP="00BC7D1B">
            <w:pPr>
              <w:rPr>
                <w:rFonts w:ascii="Arial" w:hAnsi="Arial" w:cs="Arial"/>
                <w:sz w:val="20"/>
                <w:szCs w:val="20"/>
              </w:rPr>
            </w:pPr>
            <w:r w:rsidRPr="00F7050E">
              <w:rPr>
                <w:rFonts w:ascii="Arial" w:hAnsi="Arial" w:cs="Arial"/>
                <w:sz w:val="20"/>
                <w:szCs w:val="20"/>
              </w:rPr>
              <w:t>C11</w:t>
            </w:r>
          </w:p>
        </w:tc>
        <w:tc>
          <w:tcPr>
            <w:tcW w:w="2409" w:type="dxa"/>
            <w:tcBorders>
              <w:bottom w:val="single" w:sz="4" w:space="0" w:color="000000"/>
            </w:tcBorders>
          </w:tcPr>
          <w:p w14:paraId="70D1A488" w14:textId="77777777" w:rsidR="00D12E11" w:rsidRPr="00F7050E" w:rsidRDefault="00D12E11" w:rsidP="00BC7D1B">
            <w:pPr>
              <w:rPr>
                <w:rFonts w:ascii="Arial" w:hAnsi="Arial" w:cs="Arial"/>
                <w:b/>
                <w:sz w:val="20"/>
                <w:szCs w:val="20"/>
              </w:rPr>
            </w:pPr>
            <w:r w:rsidRPr="00F7050E">
              <w:rPr>
                <w:rFonts w:ascii="Arial" w:hAnsi="Arial" w:cs="Arial"/>
                <w:iCs/>
                <w:sz w:val="20"/>
                <w:szCs w:val="20"/>
              </w:rPr>
              <w:t>Current social protection expenditure</w:t>
            </w:r>
            <w:r w:rsidRPr="00F7050E">
              <w:rPr>
                <w:rFonts w:ascii="Arial" w:hAnsi="Arial" w:cs="Arial"/>
                <w:sz w:val="20"/>
                <w:szCs w:val="20"/>
              </w:rPr>
              <w:t>, by function, gross and net (ESPROSS)</w:t>
            </w:r>
          </w:p>
        </w:tc>
        <w:tc>
          <w:tcPr>
            <w:tcW w:w="1772" w:type="dxa"/>
            <w:tcBorders>
              <w:bottom w:val="single" w:sz="4" w:space="0" w:color="000000"/>
            </w:tcBorders>
          </w:tcPr>
          <w:p w14:paraId="35A1DE75" w14:textId="77777777" w:rsidR="00D12E11" w:rsidRPr="00F7050E" w:rsidRDefault="00D12E11" w:rsidP="00BC7D1B">
            <w:pPr>
              <w:rPr>
                <w:rFonts w:ascii="Arial" w:hAnsi="Arial" w:cs="Arial"/>
                <w:b/>
                <w:sz w:val="20"/>
                <w:szCs w:val="20"/>
              </w:rPr>
            </w:pPr>
            <w:r w:rsidRPr="00F7050E">
              <w:rPr>
                <w:rFonts w:ascii="Arial" w:hAnsi="Arial" w:cs="Arial"/>
                <w:i/>
                <w:sz w:val="20"/>
                <w:szCs w:val="20"/>
              </w:rPr>
              <w:t>Context information- the Overarching Portfolio</w:t>
            </w:r>
          </w:p>
        </w:tc>
        <w:tc>
          <w:tcPr>
            <w:tcW w:w="2906" w:type="dxa"/>
            <w:tcBorders>
              <w:bottom w:val="single" w:sz="4" w:space="0" w:color="000000"/>
            </w:tcBorders>
          </w:tcPr>
          <w:p w14:paraId="1DDFFB75" w14:textId="77777777" w:rsidR="00D12E11" w:rsidRPr="00F7050E" w:rsidRDefault="00D12E11" w:rsidP="00BC7D1B">
            <w:pPr>
              <w:rPr>
                <w:rFonts w:ascii="Arial" w:hAnsi="Arial" w:cs="Arial"/>
                <w:b/>
                <w:sz w:val="20"/>
                <w:szCs w:val="20"/>
              </w:rPr>
            </w:pPr>
          </w:p>
        </w:tc>
        <w:tc>
          <w:tcPr>
            <w:tcW w:w="1630" w:type="dxa"/>
            <w:tcBorders>
              <w:bottom w:val="single" w:sz="4" w:space="0" w:color="000000"/>
            </w:tcBorders>
          </w:tcPr>
          <w:p w14:paraId="34BE7FE3" w14:textId="77777777" w:rsidR="00D12E11" w:rsidRPr="00F7050E" w:rsidRDefault="00D12E11" w:rsidP="00BC7D1B">
            <w:pPr>
              <w:rPr>
                <w:rFonts w:ascii="Arial" w:hAnsi="Arial" w:cs="Arial"/>
                <w:b/>
                <w:sz w:val="20"/>
                <w:szCs w:val="20"/>
              </w:rPr>
            </w:pPr>
          </w:p>
        </w:tc>
        <w:tc>
          <w:tcPr>
            <w:tcW w:w="1772" w:type="dxa"/>
            <w:tcBorders>
              <w:bottom w:val="single" w:sz="4" w:space="0" w:color="000000"/>
            </w:tcBorders>
          </w:tcPr>
          <w:p w14:paraId="0B3CECC7" w14:textId="77777777" w:rsidR="00D12E11" w:rsidRPr="00F7050E" w:rsidRDefault="00D12E11" w:rsidP="00BC7D1B">
            <w:pPr>
              <w:rPr>
                <w:rFonts w:ascii="Arial" w:hAnsi="Arial" w:cs="Arial"/>
                <w:b/>
                <w:sz w:val="20"/>
                <w:szCs w:val="20"/>
              </w:rPr>
            </w:pPr>
          </w:p>
        </w:tc>
        <w:tc>
          <w:tcPr>
            <w:tcW w:w="3009" w:type="dxa"/>
            <w:tcBorders>
              <w:bottom w:val="single" w:sz="4" w:space="0" w:color="000000"/>
            </w:tcBorders>
          </w:tcPr>
          <w:p w14:paraId="3B544272" w14:textId="77777777" w:rsidR="00D12E11" w:rsidRPr="00F7050E" w:rsidRDefault="00D12E11" w:rsidP="00BC7D1B">
            <w:pPr>
              <w:rPr>
                <w:rFonts w:ascii="Arial" w:hAnsi="Arial" w:cs="Arial"/>
                <w:b/>
                <w:sz w:val="20"/>
                <w:szCs w:val="20"/>
              </w:rPr>
            </w:pPr>
          </w:p>
        </w:tc>
      </w:tr>
      <w:tr w:rsidR="00D12E11" w:rsidRPr="00F7050E" w14:paraId="61423E45" w14:textId="77777777" w:rsidTr="00DA33FF">
        <w:trPr>
          <w:trHeight w:val="510"/>
          <w:jc w:val="center"/>
        </w:trPr>
        <w:tc>
          <w:tcPr>
            <w:tcW w:w="14032" w:type="dxa"/>
            <w:gridSpan w:val="7"/>
            <w:shd w:val="clear" w:color="auto" w:fill="808080" w:themeFill="background1" w:themeFillShade="80"/>
            <w:vAlign w:val="center"/>
          </w:tcPr>
          <w:p w14:paraId="6AFF5A90" w14:textId="77777777" w:rsidR="00D12E11" w:rsidRPr="00DA33FF" w:rsidRDefault="00D12E11" w:rsidP="00BC7D1B">
            <w:pPr>
              <w:jc w:val="center"/>
              <w:rPr>
                <w:rFonts w:ascii="Arial" w:hAnsi="Arial" w:cs="Arial"/>
                <w:b/>
                <w:color w:val="FFFFFF" w:themeColor="background1"/>
                <w:sz w:val="20"/>
                <w:szCs w:val="20"/>
              </w:rPr>
            </w:pPr>
            <w:r w:rsidRPr="00DA33FF">
              <w:rPr>
                <w:rFonts w:ascii="Arial" w:hAnsi="Arial" w:cs="Arial"/>
                <w:b/>
                <w:color w:val="FFFFFF" w:themeColor="background1"/>
                <w:sz w:val="20"/>
                <w:szCs w:val="20"/>
              </w:rPr>
              <w:t>DESIGN INFORMATION/INDICATORS</w:t>
            </w:r>
          </w:p>
        </w:tc>
      </w:tr>
      <w:tr w:rsidR="00D12E11" w:rsidRPr="00F7050E" w14:paraId="3A9CD96E" w14:textId="77777777" w:rsidTr="00BC7D1B">
        <w:trPr>
          <w:trHeight w:val="841"/>
          <w:jc w:val="center"/>
        </w:trPr>
        <w:tc>
          <w:tcPr>
            <w:tcW w:w="534" w:type="dxa"/>
            <w:vAlign w:val="center"/>
          </w:tcPr>
          <w:p w14:paraId="455BD5ED" w14:textId="77777777" w:rsidR="00D12E11" w:rsidRPr="00F7050E" w:rsidRDefault="00D12E11" w:rsidP="00BC7D1B">
            <w:pPr>
              <w:rPr>
                <w:rFonts w:ascii="Arial" w:hAnsi="Arial" w:cs="Arial"/>
                <w:sz w:val="20"/>
                <w:szCs w:val="20"/>
              </w:rPr>
            </w:pPr>
            <w:r w:rsidRPr="00F7050E">
              <w:rPr>
                <w:rFonts w:ascii="Arial" w:hAnsi="Arial" w:cs="Arial"/>
                <w:sz w:val="20"/>
                <w:szCs w:val="20"/>
              </w:rPr>
              <w:t>D1</w:t>
            </w:r>
          </w:p>
        </w:tc>
        <w:tc>
          <w:tcPr>
            <w:tcW w:w="2409" w:type="dxa"/>
            <w:vAlign w:val="center"/>
          </w:tcPr>
          <w:p w14:paraId="6F2ABE69"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Age limit</w:t>
            </w:r>
          </w:p>
        </w:tc>
        <w:tc>
          <w:tcPr>
            <w:tcW w:w="1772" w:type="dxa"/>
            <w:vAlign w:val="center"/>
          </w:tcPr>
          <w:p w14:paraId="55D7AFC3" w14:textId="77777777" w:rsidR="00D12E11" w:rsidRPr="00F7050E" w:rsidRDefault="00D12E11" w:rsidP="00BC7D1B">
            <w:pPr>
              <w:rPr>
                <w:rFonts w:ascii="Arial" w:hAnsi="Arial" w:cs="Arial"/>
                <w:sz w:val="20"/>
                <w:szCs w:val="20"/>
              </w:rPr>
            </w:pPr>
          </w:p>
        </w:tc>
        <w:tc>
          <w:tcPr>
            <w:tcW w:w="2906" w:type="dxa"/>
            <w:vAlign w:val="center"/>
          </w:tcPr>
          <w:p w14:paraId="4E7EC227" w14:textId="77777777" w:rsidR="00D12E11" w:rsidRPr="00F7050E" w:rsidRDefault="00D12E11" w:rsidP="00BC7D1B">
            <w:pPr>
              <w:rPr>
                <w:rFonts w:ascii="Arial" w:hAnsi="Arial" w:cs="Arial"/>
                <w:sz w:val="20"/>
                <w:szCs w:val="20"/>
              </w:rPr>
            </w:pPr>
          </w:p>
        </w:tc>
        <w:tc>
          <w:tcPr>
            <w:tcW w:w="1630" w:type="dxa"/>
            <w:vAlign w:val="center"/>
          </w:tcPr>
          <w:p w14:paraId="6FEB24BD" w14:textId="77777777" w:rsidR="00D12E11" w:rsidRPr="00F7050E" w:rsidRDefault="00D12E11" w:rsidP="00BC7D1B">
            <w:pPr>
              <w:rPr>
                <w:rFonts w:ascii="Arial" w:hAnsi="Arial" w:cs="Arial"/>
                <w:sz w:val="20"/>
                <w:szCs w:val="20"/>
              </w:rPr>
            </w:pPr>
            <w:r w:rsidRPr="00F7050E">
              <w:rPr>
                <w:rFonts w:ascii="Arial" w:hAnsi="Arial" w:cs="Arial"/>
                <w:sz w:val="20"/>
                <w:szCs w:val="20"/>
              </w:rPr>
              <w:t>By sex</w:t>
            </w:r>
          </w:p>
        </w:tc>
        <w:tc>
          <w:tcPr>
            <w:tcW w:w="1772" w:type="dxa"/>
            <w:vAlign w:val="center"/>
          </w:tcPr>
          <w:p w14:paraId="2AED46F2" w14:textId="77777777" w:rsidR="00D12E11" w:rsidRPr="00F7050E" w:rsidRDefault="00D12E11" w:rsidP="00BC7D1B">
            <w:pPr>
              <w:rPr>
                <w:rFonts w:ascii="Arial" w:hAnsi="Arial" w:cs="Arial"/>
                <w:sz w:val="20"/>
                <w:szCs w:val="20"/>
              </w:rPr>
            </w:pPr>
            <w:r w:rsidRPr="00F7050E">
              <w:rPr>
                <w:rFonts w:ascii="Arial" w:hAnsi="Arial" w:cs="Arial"/>
                <w:sz w:val="20"/>
                <w:szCs w:val="20"/>
              </w:rPr>
              <w:t>PDIF Law</w:t>
            </w:r>
          </w:p>
          <w:p w14:paraId="6BC7751F" w14:textId="77777777" w:rsidR="00D12E11" w:rsidRPr="00F7050E" w:rsidRDefault="00D12E11" w:rsidP="00BC7D1B">
            <w:pPr>
              <w:rPr>
                <w:rFonts w:ascii="Arial" w:hAnsi="Arial" w:cs="Arial"/>
                <w:sz w:val="20"/>
                <w:szCs w:val="20"/>
              </w:rPr>
            </w:pPr>
            <w:r w:rsidRPr="00F7050E">
              <w:rPr>
                <w:rFonts w:ascii="Arial" w:hAnsi="Arial" w:cs="Arial"/>
                <w:i/>
                <w:sz w:val="20"/>
                <w:szCs w:val="20"/>
              </w:rPr>
              <w:t xml:space="preserve">(Annually) </w:t>
            </w:r>
          </w:p>
        </w:tc>
        <w:tc>
          <w:tcPr>
            <w:tcW w:w="3009" w:type="dxa"/>
            <w:vAlign w:val="center"/>
          </w:tcPr>
          <w:p w14:paraId="5DE523D7" w14:textId="77777777" w:rsidR="00D12E11" w:rsidRPr="00F7050E" w:rsidRDefault="00D12E11" w:rsidP="00BC7D1B">
            <w:pPr>
              <w:rPr>
                <w:rFonts w:ascii="Arial" w:hAnsi="Arial" w:cs="Arial"/>
                <w:sz w:val="20"/>
                <w:szCs w:val="20"/>
              </w:rPr>
            </w:pPr>
            <w:r w:rsidRPr="00F7050E">
              <w:rPr>
                <w:rFonts w:ascii="Arial" w:hAnsi="Arial" w:cs="Arial"/>
                <w:sz w:val="20"/>
                <w:szCs w:val="20"/>
              </w:rPr>
              <w:t>The Actual limit within a given year, its increase rate and the ultimate legal objective</w:t>
            </w:r>
          </w:p>
        </w:tc>
      </w:tr>
      <w:tr w:rsidR="00D12E11" w:rsidRPr="00F7050E" w14:paraId="723853B9" w14:textId="77777777" w:rsidTr="00BC7D1B">
        <w:trPr>
          <w:jc w:val="center"/>
        </w:trPr>
        <w:tc>
          <w:tcPr>
            <w:tcW w:w="534" w:type="dxa"/>
            <w:vAlign w:val="center"/>
          </w:tcPr>
          <w:p w14:paraId="2E4E2123"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D2 </w:t>
            </w:r>
          </w:p>
        </w:tc>
        <w:tc>
          <w:tcPr>
            <w:tcW w:w="2409" w:type="dxa"/>
            <w:vAlign w:val="center"/>
          </w:tcPr>
          <w:p w14:paraId="0659FCD5" w14:textId="77777777" w:rsidR="00D12E11" w:rsidRPr="00F7050E" w:rsidRDefault="00D12E11" w:rsidP="00BC7D1B">
            <w:pPr>
              <w:pStyle w:val="Default"/>
              <w:rPr>
                <w:rFonts w:ascii="Arial" w:hAnsi="Arial" w:cs="Arial"/>
                <w:bCs/>
                <w:sz w:val="20"/>
                <w:szCs w:val="20"/>
                <w:highlight w:val="green"/>
                <w:lang w:val="en-GB"/>
              </w:rPr>
            </w:pPr>
            <w:r w:rsidRPr="00F7050E">
              <w:rPr>
                <w:rFonts w:ascii="Arial" w:hAnsi="Arial" w:cs="Arial"/>
                <w:bCs/>
                <w:sz w:val="20"/>
                <w:szCs w:val="20"/>
                <w:lang w:val="en-GB"/>
              </w:rPr>
              <w:t>Age limit for survivors' pension</w:t>
            </w:r>
          </w:p>
        </w:tc>
        <w:tc>
          <w:tcPr>
            <w:tcW w:w="1772" w:type="dxa"/>
            <w:vAlign w:val="center"/>
          </w:tcPr>
          <w:p w14:paraId="454524EF" w14:textId="77777777" w:rsidR="00D12E11" w:rsidRPr="00F7050E" w:rsidRDefault="00D12E11" w:rsidP="00BC7D1B">
            <w:pPr>
              <w:rPr>
                <w:rFonts w:ascii="Arial" w:hAnsi="Arial" w:cs="Arial"/>
                <w:sz w:val="20"/>
                <w:szCs w:val="20"/>
              </w:rPr>
            </w:pPr>
          </w:p>
        </w:tc>
        <w:tc>
          <w:tcPr>
            <w:tcW w:w="2906" w:type="dxa"/>
            <w:vAlign w:val="center"/>
          </w:tcPr>
          <w:p w14:paraId="08A6CF73" w14:textId="77777777" w:rsidR="00D12E11" w:rsidRPr="00F7050E" w:rsidRDefault="00D12E11" w:rsidP="00BC7D1B">
            <w:pPr>
              <w:rPr>
                <w:rFonts w:ascii="Arial" w:hAnsi="Arial" w:cs="Arial"/>
                <w:sz w:val="20"/>
                <w:szCs w:val="20"/>
              </w:rPr>
            </w:pPr>
          </w:p>
        </w:tc>
        <w:tc>
          <w:tcPr>
            <w:tcW w:w="1630" w:type="dxa"/>
            <w:vAlign w:val="center"/>
          </w:tcPr>
          <w:p w14:paraId="02713477" w14:textId="77777777" w:rsidR="00D12E11" w:rsidRPr="00F7050E" w:rsidRDefault="00D12E11" w:rsidP="00BC7D1B">
            <w:pPr>
              <w:rPr>
                <w:rFonts w:ascii="Arial" w:hAnsi="Arial" w:cs="Arial"/>
                <w:sz w:val="20"/>
                <w:szCs w:val="20"/>
              </w:rPr>
            </w:pPr>
          </w:p>
        </w:tc>
        <w:tc>
          <w:tcPr>
            <w:tcW w:w="1772" w:type="dxa"/>
            <w:vAlign w:val="center"/>
          </w:tcPr>
          <w:p w14:paraId="4BF669DC"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PDIF Law </w:t>
            </w:r>
          </w:p>
          <w:p w14:paraId="4747F258"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p>
        </w:tc>
        <w:tc>
          <w:tcPr>
            <w:tcW w:w="3009" w:type="dxa"/>
            <w:vAlign w:val="center"/>
          </w:tcPr>
          <w:p w14:paraId="2E28E725" w14:textId="77777777" w:rsidR="00D12E11" w:rsidRPr="00F7050E" w:rsidRDefault="00D12E11" w:rsidP="00BC7D1B">
            <w:pPr>
              <w:rPr>
                <w:rFonts w:ascii="Arial" w:hAnsi="Arial" w:cs="Arial"/>
                <w:sz w:val="20"/>
                <w:szCs w:val="20"/>
              </w:rPr>
            </w:pPr>
            <w:r w:rsidRPr="00F7050E">
              <w:rPr>
                <w:rFonts w:ascii="Arial" w:hAnsi="Arial" w:cs="Arial"/>
                <w:sz w:val="20"/>
                <w:szCs w:val="20"/>
              </w:rPr>
              <w:t>The actual limit within a given year, its increase rate and the ultimate legal objective</w:t>
            </w:r>
          </w:p>
        </w:tc>
      </w:tr>
      <w:tr w:rsidR="00D12E11" w:rsidRPr="00F7050E" w14:paraId="00F3C5DC" w14:textId="77777777" w:rsidTr="00BC7D1B">
        <w:trPr>
          <w:jc w:val="center"/>
        </w:trPr>
        <w:tc>
          <w:tcPr>
            <w:tcW w:w="534" w:type="dxa"/>
            <w:vAlign w:val="center"/>
          </w:tcPr>
          <w:p w14:paraId="75F0E5E0" w14:textId="77777777" w:rsidR="00D12E11" w:rsidRPr="00F7050E" w:rsidRDefault="00D12E11" w:rsidP="00BC7D1B">
            <w:pPr>
              <w:rPr>
                <w:rFonts w:ascii="Arial" w:hAnsi="Arial" w:cs="Arial"/>
                <w:sz w:val="20"/>
                <w:szCs w:val="20"/>
              </w:rPr>
            </w:pPr>
            <w:r w:rsidRPr="00F7050E">
              <w:rPr>
                <w:rFonts w:ascii="Arial" w:hAnsi="Arial" w:cs="Arial"/>
                <w:sz w:val="20"/>
                <w:szCs w:val="20"/>
              </w:rPr>
              <w:t>D3</w:t>
            </w:r>
          </w:p>
        </w:tc>
        <w:tc>
          <w:tcPr>
            <w:tcW w:w="2409" w:type="dxa"/>
            <w:vAlign w:val="center"/>
          </w:tcPr>
          <w:p w14:paraId="35AFC460" w14:textId="77777777" w:rsidR="00D12E11" w:rsidRPr="00F7050E" w:rsidRDefault="00D12E11" w:rsidP="00BC7D1B">
            <w:pPr>
              <w:pStyle w:val="Default"/>
              <w:rPr>
                <w:rFonts w:ascii="Arial" w:hAnsi="Arial" w:cs="Arial"/>
                <w:bCs/>
                <w:sz w:val="20"/>
                <w:szCs w:val="20"/>
                <w:highlight w:val="green"/>
                <w:lang w:val="en-GB"/>
              </w:rPr>
            </w:pPr>
            <w:r w:rsidRPr="00F7050E">
              <w:rPr>
                <w:rFonts w:ascii="Arial" w:hAnsi="Arial" w:cs="Arial"/>
                <w:bCs/>
                <w:sz w:val="20"/>
                <w:szCs w:val="20"/>
                <w:lang w:val="en-GB"/>
              </w:rPr>
              <w:t>Minimum age limit for the accelerated retirement schemes</w:t>
            </w:r>
          </w:p>
        </w:tc>
        <w:tc>
          <w:tcPr>
            <w:tcW w:w="1772" w:type="dxa"/>
            <w:vAlign w:val="center"/>
          </w:tcPr>
          <w:p w14:paraId="330D7669" w14:textId="77777777" w:rsidR="00D12E11" w:rsidRPr="00F7050E" w:rsidRDefault="00D12E11" w:rsidP="00BC7D1B">
            <w:pPr>
              <w:rPr>
                <w:rFonts w:ascii="Arial" w:hAnsi="Arial" w:cs="Arial"/>
                <w:sz w:val="20"/>
                <w:szCs w:val="20"/>
              </w:rPr>
            </w:pPr>
          </w:p>
        </w:tc>
        <w:tc>
          <w:tcPr>
            <w:tcW w:w="2906" w:type="dxa"/>
            <w:vAlign w:val="center"/>
          </w:tcPr>
          <w:p w14:paraId="26846453" w14:textId="77777777" w:rsidR="00D12E11" w:rsidRPr="00F7050E" w:rsidRDefault="00D12E11" w:rsidP="00BC7D1B">
            <w:pPr>
              <w:rPr>
                <w:rFonts w:ascii="Arial" w:hAnsi="Arial" w:cs="Arial"/>
                <w:sz w:val="20"/>
                <w:szCs w:val="20"/>
              </w:rPr>
            </w:pPr>
          </w:p>
        </w:tc>
        <w:tc>
          <w:tcPr>
            <w:tcW w:w="1630" w:type="dxa"/>
            <w:vAlign w:val="center"/>
          </w:tcPr>
          <w:p w14:paraId="40099740" w14:textId="77777777" w:rsidR="00D12E11" w:rsidRPr="00F7050E" w:rsidRDefault="00D12E11" w:rsidP="00BC7D1B">
            <w:pPr>
              <w:rPr>
                <w:rFonts w:ascii="Arial" w:hAnsi="Arial" w:cs="Arial"/>
                <w:sz w:val="20"/>
                <w:szCs w:val="20"/>
              </w:rPr>
            </w:pPr>
          </w:p>
        </w:tc>
        <w:tc>
          <w:tcPr>
            <w:tcW w:w="1772" w:type="dxa"/>
            <w:vAlign w:val="center"/>
          </w:tcPr>
          <w:p w14:paraId="4AFC3696" w14:textId="77777777" w:rsidR="00D12E11" w:rsidRPr="00F7050E" w:rsidRDefault="00D12E11" w:rsidP="00BC7D1B">
            <w:pPr>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xml:space="preserve"> Law </w:t>
            </w:r>
          </w:p>
          <w:p w14:paraId="48C6E525"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p>
        </w:tc>
        <w:tc>
          <w:tcPr>
            <w:tcW w:w="3009" w:type="dxa"/>
            <w:vAlign w:val="center"/>
          </w:tcPr>
          <w:p w14:paraId="11518F51" w14:textId="77777777" w:rsidR="00D12E11" w:rsidRPr="00F7050E" w:rsidRDefault="00D12E11" w:rsidP="00BC7D1B">
            <w:pPr>
              <w:rPr>
                <w:rFonts w:ascii="Arial" w:hAnsi="Arial" w:cs="Arial"/>
                <w:sz w:val="20"/>
                <w:szCs w:val="20"/>
              </w:rPr>
            </w:pPr>
          </w:p>
        </w:tc>
      </w:tr>
      <w:tr w:rsidR="00D12E11" w:rsidRPr="00F7050E" w14:paraId="526FC242" w14:textId="77777777" w:rsidTr="00BC7D1B">
        <w:trPr>
          <w:jc w:val="center"/>
        </w:trPr>
        <w:tc>
          <w:tcPr>
            <w:tcW w:w="534" w:type="dxa"/>
            <w:vAlign w:val="center"/>
          </w:tcPr>
          <w:p w14:paraId="22FA3B93" w14:textId="77777777" w:rsidR="00D12E11" w:rsidRPr="00F7050E" w:rsidRDefault="00D12E11" w:rsidP="00BC7D1B">
            <w:pPr>
              <w:rPr>
                <w:rFonts w:ascii="Arial" w:hAnsi="Arial" w:cs="Arial"/>
                <w:sz w:val="20"/>
                <w:szCs w:val="20"/>
              </w:rPr>
            </w:pPr>
            <w:r w:rsidRPr="00F7050E">
              <w:rPr>
                <w:rFonts w:ascii="Arial" w:hAnsi="Arial" w:cs="Arial"/>
                <w:sz w:val="20"/>
                <w:szCs w:val="20"/>
              </w:rPr>
              <w:t>D4</w:t>
            </w:r>
          </w:p>
        </w:tc>
        <w:tc>
          <w:tcPr>
            <w:tcW w:w="2409" w:type="dxa"/>
            <w:vAlign w:val="center"/>
          </w:tcPr>
          <w:p w14:paraId="74CC4826" w14:textId="77777777" w:rsidR="00D12E11" w:rsidRPr="00F7050E" w:rsidRDefault="00D12E11" w:rsidP="00BC7D1B">
            <w:pPr>
              <w:pStyle w:val="Default"/>
              <w:rPr>
                <w:rFonts w:ascii="Arial" w:hAnsi="Arial" w:cs="Arial"/>
                <w:bCs/>
                <w:sz w:val="20"/>
                <w:szCs w:val="20"/>
                <w:highlight w:val="green"/>
                <w:lang w:val="en-GB"/>
              </w:rPr>
            </w:pPr>
            <w:r w:rsidRPr="00F7050E">
              <w:rPr>
                <w:rFonts w:ascii="Arial" w:hAnsi="Arial" w:cs="Arial"/>
                <w:bCs/>
                <w:sz w:val="20"/>
                <w:szCs w:val="20"/>
                <w:lang w:val="en-GB"/>
              </w:rPr>
              <w:t>Minimum age limit for the early retirement</w:t>
            </w:r>
          </w:p>
        </w:tc>
        <w:tc>
          <w:tcPr>
            <w:tcW w:w="1772" w:type="dxa"/>
            <w:vAlign w:val="center"/>
          </w:tcPr>
          <w:p w14:paraId="5BF8C5AA" w14:textId="77777777" w:rsidR="00D12E11" w:rsidRPr="00F7050E" w:rsidRDefault="00D12E11" w:rsidP="00BC7D1B">
            <w:pPr>
              <w:rPr>
                <w:rFonts w:ascii="Arial" w:hAnsi="Arial" w:cs="Arial"/>
                <w:sz w:val="20"/>
                <w:szCs w:val="20"/>
              </w:rPr>
            </w:pPr>
          </w:p>
        </w:tc>
        <w:tc>
          <w:tcPr>
            <w:tcW w:w="2906" w:type="dxa"/>
            <w:vAlign w:val="center"/>
          </w:tcPr>
          <w:p w14:paraId="71C3E38C" w14:textId="77777777" w:rsidR="00D12E11" w:rsidRPr="00F7050E" w:rsidRDefault="00D12E11" w:rsidP="00BC7D1B">
            <w:pPr>
              <w:rPr>
                <w:rFonts w:ascii="Arial" w:hAnsi="Arial" w:cs="Arial"/>
                <w:sz w:val="20"/>
                <w:szCs w:val="20"/>
              </w:rPr>
            </w:pPr>
          </w:p>
        </w:tc>
        <w:tc>
          <w:tcPr>
            <w:tcW w:w="1630" w:type="dxa"/>
            <w:vAlign w:val="center"/>
          </w:tcPr>
          <w:p w14:paraId="02FD5512" w14:textId="77777777" w:rsidR="00D12E11" w:rsidRPr="00F7050E" w:rsidRDefault="00D12E11" w:rsidP="00BC7D1B">
            <w:pPr>
              <w:rPr>
                <w:rFonts w:ascii="Arial" w:hAnsi="Arial" w:cs="Arial"/>
                <w:sz w:val="20"/>
                <w:szCs w:val="20"/>
              </w:rPr>
            </w:pPr>
            <w:r w:rsidRPr="00F7050E">
              <w:rPr>
                <w:rFonts w:ascii="Arial" w:hAnsi="Arial" w:cs="Arial"/>
                <w:sz w:val="20"/>
                <w:szCs w:val="20"/>
              </w:rPr>
              <w:t>By sex</w:t>
            </w:r>
          </w:p>
        </w:tc>
        <w:tc>
          <w:tcPr>
            <w:tcW w:w="1772" w:type="dxa"/>
          </w:tcPr>
          <w:p w14:paraId="4BB53388" w14:textId="77777777" w:rsidR="00D12E11" w:rsidRPr="00F7050E" w:rsidRDefault="00D12E11" w:rsidP="00BC7D1B">
            <w:pPr>
              <w:rPr>
                <w:rFonts w:ascii="Arial" w:hAnsi="Arial" w:cs="Arial"/>
                <w:i/>
                <w:sz w:val="20"/>
                <w:szCs w:val="20"/>
              </w:rPr>
            </w:pPr>
            <w:r w:rsidRPr="00F7050E">
              <w:rPr>
                <w:rFonts w:ascii="Arial" w:hAnsi="Arial" w:cs="Arial"/>
                <w:sz w:val="20"/>
                <w:szCs w:val="20"/>
              </w:rPr>
              <w:t>PDIF Law</w:t>
            </w:r>
            <w:r w:rsidRPr="00F7050E">
              <w:rPr>
                <w:rFonts w:ascii="Arial" w:hAnsi="Arial" w:cs="Arial"/>
                <w:i/>
                <w:sz w:val="20"/>
                <w:szCs w:val="20"/>
              </w:rPr>
              <w:t xml:space="preserve"> </w:t>
            </w:r>
          </w:p>
          <w:p w14:paraId="0186D7C2"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p>
        </w:tc>
        <w:tc>
          <w:tcPr>
            <w:tcW w:w="3009" w:type="dxa"/>
            <w:vAlign w:val="center"/>
          </w:tcPr>
          <w:p w14:paraId="2D0FCE72" w14:textId="77777777" w:rsidR="00D12E11" w:rsidRPr="00F7050E" w:rsidRDefault="00D12E11" w:rsidP="00BC7D1B">
            <w:pPr>
              <w:rPr>
                <w:rFonts w:ascii="Arial" w:hAnsi="Arial" w:cs="Arial"/>
                <w:sz w:val="20"/>
                <w:szCs w:val="20"/>
              </w:rPr>
            </w:pPr>
          </w:p>
        </w:tc>
      </w:tr>
      <w:tr w:rsidR="00D12E11" w:rsidRPr="00F7050E" w14:paraId="446E44B4" w14:textId="77777777" w:rsidTr="00BC7D1B">
        <w:trPr>
          <w:jc w:val="center"/>
        </w:trPr>
        <w:tc>
          <w:tcPr>
            <w:tcW w:w="534" w:type="dxa"/>
            <w:vAlign w:val="center"/>
          </w:tcPr>
          <w:p w14:paraId="247C30F6" w14:textId="77777777" w:rsidR="00D12E11" w:rsidRPr="00F7050E" w:rsidRDefault="00D12E11" w:rsidP="00BC7D1B">
            <w:pPr>
              <w:rPr>
                <w:rFonts w:ascii="Arial" w:hAnsi="Arial" w:cs="Arial"/>
                <w:sz w:val="20"/>
                <w:szCs w:val="20"/>
              </w:rPr>
            </w:pPr>
            <w:r w:rsidRPr="00F7050E">
              <w:rPr>
                <w:rFonts w:ascii="Arial" w:hAnsi="Arial" w:cs="Arial"/>
                <w:sz w:val="20"/>
                <w:szCs w:val="20"/>
              </w:rPr>
              <w:t>D5</w:t>
            </w:r>
          </w:p>
        </w:tc>
        <w:tc>
          <w:tcPr>
            <w:tcW w:w="2409" w:type="dxa"/>
            <w:vAlign w:val="center"/>
          </w:tcPr>
          <w:p w14:paraId="4B6F1A65" w14:textId="77777777" w:rsidR="00D12E11" w:rsidRPr="00F7050E" w:rsidRDefault="00D12E11" w:rsidP="00BC7D1B">
            <w:pPr>
              <w:pStyle w:val="Default"/>
              <w:rPr>
                <w:rFonts w:ascii="Arial" w:hAnsi="Arial" w:cs="Arial"/>
                <w:bCs/>
                <w:sz w:val="20"/>
                <w:szCs w:val="20"/>
                <w:highlight w:val="green"/>
                <w:lang w:val="en-GB"/>
              </w:rPr>
            </w:pPr>
            <w:r w:rsidRPr="00F7050E">
              <w:rPr>
                <w:rFonts w:ascii="Arial" w:hAnsi="Arial" w:cs="Arial"/>
                <w:bCs/>
                <w:sz w:val="20"/>
                <w:szCs w:val="20"/>
                <w:lang w:val="en-GB"/>
              </w:rPr>
              <w:t>Early retirement requirement (number of years spent working)</w:t>
            </w:r>
          </w:p>
        </w:tc>
        <w:tc>
          <w:tcPr>
            <w:tcW w:w="1772" w:type="dxa"/>
            <w:vAlign w:val="center"/>
          </w:tcPr>
          <w:p w14:paraId="0054640B" w14:textId="77777777" w:rsidR="00D12E11" w:rsidRPr="00F7050E" w:rsidRDefault="00D12E11" w:rsidP="00BC7D1B">
            <w:pPr>
              <w:rPr>
                <w:rFonts w:ascii="Arial" w:hAnsi="Arial" w:cs="Arial"/>
                <w:sz w:val="20"/>
                <w:szCs w:val="20"/>
              </w:rPr>
            </w:pPr>
          </w:p>
        </w:tc>
        <w:tc>
          <w:tcPr>
            <w:tcW w:w="2906" w:type="dxa"/>
            <w:vAlign w:val="center"/>
          </w:tcPr>
          <w:p w14:paraId="408EBB2F" w14:textId="77777777" w:rsidR="00D12E11" w:rsidRPr="00F7050E" w:rsidRDefault="00D12E11" w:rsidP="00BC7D1B">
            <w:pPr>
              <w:rPr>
                <w:rFonts w:ascii="Arial" w:hAnsi="Arial" w:cs="Arial"/>
                <w:sz w:val="20"/>
                <w:szCs w:val="20"/>
              </w:rPr>
            </w:pPr>
          </w:p>
        </w:tc>
        <w:tc>
          <w:tcPr>
            <w:tcW w:w="1630" w:type="dxa"/>
            <w:vAlign w:val="center"/>
          </w:tcPr>
          <w:p w14:paraId="3EAFD4F7" w14:textId="77777777" w:rsidR="00D12E11" w:rsidRPr="00F7050E" w:rsidRDefault="00D12E11" w:rsidP="00BC7D1B">
            <w:pPr>
              <w:rPr>
                <w:rFonts w:ascii="Arial" w:hAnsi="Arial" w:cs="Arial"/>
                <w:sz w:val="20"/>
                <w:szCs w:val="20"/>
              </w:rPr>
            </w:pPr>
            <w:r w:rsidRPr="00F7050E">
              <w:rPr>
                <w:rFonts w:ascii="Arial" w:hAnsi="Arial" w:cs="Arial"/>
                <w:sz w:val="20"/>
                <w:szCs w:val="20"/>
              </w:rPr>
              <w:t>By sex</w:t>
            </w:r>
          </w:p>
        </w:tc>
        <w:tc>
          <w:tcPr>
            <w:tcW w:w="1772" w:type="dxa"/>
          </w:tcPr>
          <w:p w14:paraId="7A89D641" w14:textId="77777777" w:rsidR="00D12E11" w:rsidRPr="00F7050E" w:rsidRDefault="00D12E11" w:rsidP="00BC7D1B">
            <w:pPr>
              <w:rPr>
                <w:rFonts w:ascii="Arial" w:hAnsi="Arial" w:cs="Arial"/>
                <w:sz w:val="20"/>
                <w:szCs w:val="20"/>
              </w:rPr>
            </w:pPr>
            <w:r w:rsidRPr="00F7050E">
              <w:rPr>
                <w:rFonts w:ascii="Arial" w:hAnsi="Arial" w:cs="Arial"/>
                <w:sz w:val="20"/>
                <w:szCs w:val="20"/>
              </w:rPr>
              <w:t>PDIF Law</w:t>
            </w:r>
          </w:p>
          <w:p w14:paraId="14ED633E"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p>
        </w:tc>
        <w:tc>
          <w:tcPr>
            <w:tcW w:w="3009" w:type="dxa"/>
            <w:vAlign w:val="center"/>
          </w:tcPr>
          <w:p w14:paraId="7204FD17" w14:textId="77777777" w:rsidR="00D12E11" w:rsidRPr="00F7050E" w:rsidRDefault="00D12E11" w:rsidP="00BC7D1B">
            <w:pPr>
              <w:rPr>
                <w:rFonts w:ascii="Arial" w:hAnsi="Arial" w:cs="Arial"/>
                <w:sz w:val="20"/>
                <w:szCs w:val="20"/>
              </w:rPr>
            </w:pPr>
          </w:p>
        </w:tc>
      </w:tr>
      <w:tr w:rsidR="00D12E11" w:rsidRPr="00F7050E" w14:paraId="49DB92F1" w14:textId="77777777" w:rsidTr="00BC7D1B">
        <w:trPr>
          <w:jc w:val="center"/>
        </w:trPr>
        <w:tc>
          <w:tcPr>
            <w:tcW w:w="534" w:type="dxa"/>
            <w:vAlign w:val="center"/>
          </w:tcPr>
          <w:p w14:paraId="554E9637"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D6</w:t>
            </w:r>
          </w:p>
        </w:tc>
        <w:tc>
          <w:tcPr>
            <w:tcW w:w="2409" w:type="dxa"/>
            <w:vAlign w:val="center"/>
          </w:tcPr>
          <w:p w14:paraId="42E59A3E" w14:textId="77777777" w:rsidR="00D12E11" w:rsidRPr="00F7050E" w:rsidRDefault="00D12E11" w:rsidP="00BC7D1B">
            <w:pPr>
              <w:pStyle w:val="Default"/>
              <w:rPr>
                <w:rFonts w:ascii="Arial" w:hAnsi="Arial" w:cs="Arial"/>
                <w:bCs/>
                <w:sz w:val="20"/>
                <w:szCs w:val="20"/>
                <w:highlight w:val="green"/>
                <w:lang w:val="en-GB"/>
              </w:rPr>
            </w:pPr>
            <w:r w:rsidRPr="00F7050E">
              <w:rPr>
                <w:rFonts w:ascii="Arial" w:hAnsi="Arial" w:cs="Arial"/>
                <w:bCs/>
                <w:sz w:val="20"/>
                <w:szCs w:val="20"/>
                <w:lang w:val="en-GB"/>
              </w:rPr>
              <w:t>Amount of monthly penalties for taking up the early retirement</w:t>
            </w:r>
          </w:p>
        </w:tc>
        <w:tc>
          <w:tcPr>
            <w:tcW w:w="1772" w:type="dxa"/>
            <w:vAlign w:val="center"/>
          </w:tcPr>
          <w:p w14:paraId="7D5B0354" w14:textId="77777777" w:rsidR="00D12E11" w:rsidRPr="00F7050E" w:rsidRDefault="00D12E11" w:rsidP="00BC7D1B">
            <w:pPr>
              <w:rPr>
                <w:rFonts w:ascii="Arial" w:hAnsi="Arial" w:cs="Arial"/>
                <w:sz w:val="20"/>
                <w:szCs w:val="20"/>
              </w:rPr>
            </w:pPr>
          </w:p>
        </w:tc>
        <w:tc>
          <w:tcPr>
            <w:tcW w:w="2906" w:type="dxa"/>
            <w:vAlign w:val="center"/>
          </w:tcPr>
          <w:p w14:paraId="279BA04F" w14:textId="77777777" w:rsidR="00D12E11" w:rsidRPr="00F7050E" w:rsidRDefault="00D12E11" w:rsidP="00BC7D1B">
            <w:pPr>
              <w:rPr>
                <w:rFonts w:ascii="Arial" w:hAnsi="Arial" w:cs="Arial"/>
                <w:sz w:val="20"/>
                <w:szCs w:val="20"/>
              </w:rPr>
            </w:pPr>
          </w:p>
        </w:tc>
        <w:tc>
          <w:tcPr>
            <w:tcW w:w="1630" w:type="dxa"/>
            <w:vAlign w:val="center"/>
          </w:tcPr>
          <w:p w14:paraId="1861B4AB" w14:textId="77777777" w:rsidR="00D12E11" w:rsidRPr="00F7050E" w:rsidRDefault="00D12E11" w:rsidP="00BC7D1B">
            <w:pPr>
              <w:rPr>
                <w:rFonts w:ascii="Arial" w:hAnsi="Arial" w:cs="Arial"/>
                <w:sz w:val="20"/>
                <w:szCs w:val="20"/>
              </w:rPr>
            </w:pPr>
          </w:p>
        </w:tc>
        <w:tc>
          <w:tcPr>
            <w:tcW w:w="1772" w:type="dxa"/>
            <w:vAlign w:val="center"/>
          </w:tcPr>
          <w:p w14:paraId="775CBFE9" w14:textId="77777777" w:rsidR="00D12E11" w:rsidRPr="00F7050E" w:rsidRDefault="00D12E11" w:rsidP="00BC7D1B">
            <w:pPr>
              <w:rPr>
                <w:rFonts w:ascii="Arial" w:hAnsi="Arial" w:cs="Arial"/>
                <w:sz w:val="20"/>
                <w:szCs w:val="20"/>
              </w:rPr>
            </w:pPr>
            <w:r w:rsidRPr="00F7050E">
              <w:rPr>
                <w:rFonts w:ascii="Arial" w:hAnsi="Arial" w:cs="Arial"/>
                <w:sz w:val="20"/>
                <w:szCs w:val="20"/>
              </w:rPr>
              <w:t>PDIF Law</w:t>
            </w:r>
          </w:p>
        </w:tc>
        <w:tc>
          <w:tcPr>
            <w:tcW w:w="3009" w:type="dxa"/>
            <w:vAlign w:val="center"/>
          </w:tcPr>
          <w:p w14:paraId="3C3B4BE6" w14:textId="77777777" w:rsidR="00D12E11" w:rsidRPr="00F7050E" w:rsidRDefault="00D12E11" w:rsidP="00BC7D1B">
            <w:pPr>
              <w:rPr>
                <w:rFonts w:ascii="Arial" w:hAnsi="Arial" w:cs="Arial"/>
                <w:sz w:val="20"/>
                <w:szCs w:val="20"/>
              </w:rPr>
            </w:pPr>
          </w:p>
        </w:tc>
      </w:tr>
      <w:tr w:rsidR="00D12E11" w:rsidRPr="00F7050E" w14:paraId="62F8CDAC" w14:textId="77777777" w:rsidTr="00BC7D1B">
        <w:trPr>
          <w:jc w:val="center"/>
        </w:trPr>
        <w:tc>
          <w:tcPr>
            <w:tcW w:w="534" w:type="dxa"/>
            <w:vAlign w:val="center"/>
          </w:tcPr>
          <w:p w14:paraId="07A0FFF8" w14:textId="77777777" w:rsidR="00D12E11" w:rsidRPr="00F7050E" w:rsidRDefault="00D12E11" w:rsidP="00BC7D1B">
            <w:pPr>
              <w:rPr>
                <w:rFonts w:ascii="Arial" w:hAnsi="Arial" w:cs="Arial"/>
                <w:sz w:val="20"/>
                <w:szCs w:val="20"/>
              </w:rPr>
            </w:pPr>
            <w:r w:rsidRPr="00F7050E">
              <w:rPr>
                <w:rFonts w:ascii="Arial" w:hAnsi="Arial" w:cs="Arial"/>
                <w:sz w:val="20"/>
                <w:szCs w:val="20"/>
              </w:rPr>
              <w:t>D7</w:t>
            </w:r>
          </w:p>
        </w:tc>
        <w:tc>
          <w:tcPr>
            <w:tcW w:w="2409" w:type="dxa"/>
            <w:vAlign w:val="center"/>
          </w:tcPr>
          <w:p w14:paraId="46888D75"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Value of the general point, both nominal and relative to the average earnings</w:t>
            </w:r>
          </w:p>
        </w:tc>
        <w:tc>
          <w:tcPr>
            <w:tcW w:w="1772" w:type="dxa"/>
            <w:vAlign w:val="center"/>
          </w:tcPr>
          <w:p w14:paraId="7FA79C77" w14:textId="77777777" w:rsidR="00D12E11" w:rsidRPr="00F7050E" w:rsidRDefault="00D12E11" w:rsidP="00BC7D1B">
            <w:pPr>
              <w:rPr>
                <w:rFonts w:ascii="Arial" w:hAnsi="Arial" w:cs="Arial"/>
                <w:sz w:val="20"/>
                <w:szCs w:val="20"/>
              </w:rPr>
            </w:pPr>
          </w:p>
        </w:tc>
        <w:tc>
          <w:tcPr>
            <w:tcW w:w="2906" w:type="dxa"/>
            <w:vAlign w:val="center"/>
          </w:tcPr>
          <w:p w14:paraId="5C2A6EB3" w14:textId="77777777" w:rsidR="00D12E11" w:rsidRPr="00F7050E" w:rsidRDefault="00D12E11" w:rsidP="00BC7D1B">
            <w:pPr>
              <w:rPr>
                <w:rFonts w:ascii="Arial" w:hAnsi="Arial" w:cs="Arial"/>
                <w:sz w:val="20"/>
                <w:szCs w:val="20"/>
              </w:rPr>
            </w:pPr>
          </w:p>
        </w:tc>
        <w:tc>
          <w:tcPr>
            <w:tcW w:w="1630" w:type="dxa"/>
            <w:vAlign w:val="center"/>
          </w:tcPr>
          <w:p w14:paraId="62E5B167" w14:textId="77777777" w:rsidR="00D12E11" w:rsidRPr="00F7050E" w:rsidRDefault="00D12E11" w:rsidP="00BC7D1B">
            <w:pPr>
              <w:rPr>
                <w:rFonts w:ascii="Arial" w:hAnsi="Arial" w:cs="Arial"/>
                <w:sz w:val="20"/>
                <w:szCs w:val="20"/>
              </w:rPr>
            </w:pPr>
          </w:p>
        </w:tc>
        <w:tc>
          <w:tcPr>
            <w:tcW w:w="1772" w:type="dxa"/>
            <w:vAlign w:val="center"/>
          </w:tcPr>
          <w:p w14:paraId="20D3973C"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PDIF </w:t>
            </w:r>
          </w:p>
          <w:p w14:paraId="705D91F7"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p>
        </w:tc>
        <w:tc>
          <w:tcPr>
            <w:tcW w:w="3009" w:type="dxa"/>
            <w:vAlign w:val="center"/>
          </w:tcPr>
          <w:p w14:paraId="50B5A146" w14:textId="77777777" w:rsidR="00D12E11" w:rsidRPr="00F7050E" w:rsidRDefault="00D12E11" w:rsidP="00BC7D1B">
            <w:pPr>
              <w:rPr>
                <w:rFonts w:ascii="Arial" w:hAnsi="Arial" w:cs="Arial"/>
                <w:sz w:val="20"/>
                <w:szCs w:val="20"/>
              </w:rPr>
            </w:pPr>
          </w:p>
        </w:tc>
      </w:tr>
      <w:tr w:rsidR="00D12E11" w:rsidRPr="00F7050E" w14:paraId="2F16C098" w14:textId="77777777" w:rsidTr="00BC7D1B">
        <w:trPr>
          <w:jc w:val="center"/>
        </w:trPr>
        <w:tc>
          <w:tcPr>
            <w:tcW w:w="534" w:type="dxa"/>
            <w:vAlign w:val="center"/>
          </w:tcPr>
          <w:p w14:paraId="7DF7381E" w14:textId="77777777" w:rsidR="00D12E11" w:rsidRPr="00F7050E" w:rsidRDefault="00D12E11" w:rsidP="00BC7D1B">
            <w:pPr>
              <w:rPr>
                <w:rFonts w:ascii="Arial" w:hAnsi="Arial" w:cs="Arial"/>
                <w:sz w:val="20"/>
                <w:szCs w:val="20"/>
              </w:rPr>
            </w:pPr>
            <w:r w:rsidRPr="00F7050E">
              <w:rPr>
                <w:rFonts w:ascii="Arial" w:hAnsi="Arial" w:cs="Arial"/>
                <w:sz w:val="20"/>
                <w:szCs w:val="20"/>
              </w:rPr>
              <w:t>D8</w:t>
            </w:r>
          </w:p>
        </w:tc>
        <w:tc>
          <w:tcPr>
            <w:tcW w:w="2409" w:type="dxa"/>
            <w:vAlign w:val="center"/>
          </w:tcPr>
          <w:p w14:paraId="1030C1AD"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 xml:space="preserve">Indexation of pensions and the general point </w:t>
            </w:r>
          </w:p>
        </w:tc>
        <w:tc>
          <w:tcPr>
            <w:tcW w:w="1772" w:type="dxa"/>
            <w:vAlign w:val="center"/>
          </w:tcPr>
          <w:p w14:paraId="3982B72E" w14:textId="77777777" w:rsidR="00D12E11" w:rsidRPr="00F7050E" w:rsidRDefault="00D12E11" w:rsidP="00BC7D1B">
            <w:pPr>
              <w:rPr>
                <w:rFonts w:ascii="Arial" w:hAnsi="Arial" w:cs="Arial"/>
                <w:sz w:val="20"/>
                <w:szCs w:val="20"/>
              </w:rPr>
            </w:pPr>
          </w:p>
        </w:tc>
        <w:tc>
          <w:tcPr>
            <w:tcW w:w="2906" w:type="dxa"/>
            <w:vAlign w:val="center"/>
          </w:tcPr>
          <w:p w14:paraId="66BA356D" w14:textId="77777777" w:rsidR="00D12E11" w:rsidRPr="00F7050E" w:rsidRDefault="00D12E11" w:rsidP="00BC7D1B">
            <w:pPr>
              <w:rPr>
                <w:rFonts w:ascii="Arial" w:hAnsi="Arial" w:cs="Arial"/>
                <w:sz w:val="20"/>
                <w:szCs w:val="20"/>
              </w:rPr>
            </w:pPr>
          </w:p>
        </w:tc>
        <w:tc>
          <w:tcPr>
            <w:tcW w:w="1630" w:type="dxa"/>
            <w:vAlign w:val="center"/>
          </w:tcPr>
          <w:p w14:paraId="10A08F03" w14:textId="77777777" w:rsidR="00D12E11" w:rsidRPr="00F7050E" w:rsidRDefault="00D12E11" w:rsidP="00BC7D1B">
            <w:pPr>
              <w:rPr>
                <w:rFonts w:ascii="Arial" w:hAnsi="Arial" w:cs="Arial"/>
                <w:sz w:val="20"/>
                <w:szCs w:val="20"/>
              </w:rPr>
            </w:pPr>
          </w:p>
        </w:tc>
        <w:tc>
          <w:tcPr>
            <w:tcW w:w="1772" w:type="dxa"/>
            <w:vAlign w:val="center"/>
          </w:tcPr>
          <w:p w14:paraId="7A9B1597"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Law </w:t>
            </w:r>
            <w:r w:rsidRPr="00F7050E">
              <w:rPr>
                <w:rFonts w:ascii="Arial" w:hAnsi="Arial" w:cs="Arial"/>
                <w:i/>
                <w:sz w:val="20"/>
                <w:szCs w:val="20"/>
              </w:rPr>
              <w:t>(Annually)</w:t>
            </w:r>
          </w:p>
        </w:tc>
        <w:tc>
          <w:tcPr>
            <w:tcW w:w="3009" w:type="dxa"/>
            <w:vAlign w:val="center"/>
          </w:tcPr>
          <w:p w14:paraId="2A984834" w14:textId="77777777" w:rsidR="00D12E11" w:rsidRPr="00F7050E" w:rsidRDefault="00D12E11" w:rsidP="00BC7D1B">
            <w:pPr>
              <w:rPr>
                <w:rFonts w:ascii="Arial" w:hAnsi="Arial" w:cs="Arial"/>
                <w:sz w:val="20"/>
                <w:szCs w:val="20"/>
              </w:rPr>
            </w:pPr>
          </w:p>
        </w:tc>
      </w:tr>
      <w:tr w:rsidR="00D12E11" w:rsidRPr="00F7050E" w14:paraId="130D2849" w14:textId="77777777" w:rsidTr="00BC7D1B">
        <w:trPr>
          <w:jc w:val="center"/>
        </w:trPr>
        <w:tc>
          <w:tcPr>
            <w:tcW w:w="534" w:type="dxa"/>
            <w:vAlign w:val="center"/>
          </w:tcPr>
          <w:p w14:paraId="16E7488F" w14:textId="77777777" w:rsidR="00D12E11" w:rsidRPr="00F7050E" w:rsidRDefault="00D12E11" w:rsidP="00BC7D1B">
            <w:pPr>
              <w:rPr>
                <w:rFonts w:ascii="Arial" w:hAnsi="Arial" w:cs="Arial"/>
                <w:sz w:val="20"/>
                <w:szCs w:val="20"/>
              </w:rPr>
            </w:pPr>
            <w:r w:rsidRPr="00F7050E">
              <w:rPr>
                <w:rFonts w:ascii="Arial" w:hAnsi="Arial" w:cs="Arial"/>
                <w:sz w:val="20"/>
                <w:szCs w:val="20"/>
              </w:rPr>
              <w:t>D9</w:t>
            </w:r>
          </w:p>
        </w:tc>
        <w:tc>
          <w:tcPr>
            <w:tcW w:w="2409" w:type="dxa"/>
            <w:vAlign w:val="center"/>
          </w:tcPr>
          <w:p w14:paraId="41D75869"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sz w:val="20"/>
                <w:szCs w:val="20"/>
                <w:lang w:val="en-GB"/>
              </w:rPr>
              <w:t>Net replacement rate (percentage)</w:t>
            </w:r>
          </w:p>
        </w:tc>
        <w:tc>
          <w:tcPr>
            <w:tcW w:w="1772" w:type="dxa"/>
            <w:vAlign w:val="center"/>
          </w:tcPr>
          <w:p w14:paraId="7D679267" w14:textId="77777777" w:rsidR="00D12E11" w:rsidRPr="00F7050E" w:rsidRDefault="00D12E11" w:rsidP="00BC7D1B">
            <w:pPr>
              <w:rPr>
                <w:rFonts w:ascii="Arial" w:hAnsi="Arial" w:cs="Arial"/>
                <w:i/>
                <w:sz w:val="20"/>
                <w:szCs w:val="20"/>
              </w:rPr>
            </w:pPr>
          </w:p>
          <w:p w14:paraId="09686698"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05347B5C" w14:textId="77777777" w:rsidR="00D12E11" w:rsidRPr="00F7050E" w:rsidRDefault="00D12E11" w:rsidP="00BC7D1B">
            <w:pPr>
              <w:rPr>
                <w:rFonts w:ascii="Arial" w:hAnsi="Arial" w:cs="Arial"/>
                <w:sz w:val="20"/>
                <w:szCs w:val="20"/>
              </w:rPr>
            </w:pPr>
            <w:r w:rsidRPr="00F7050E">
              <w:rPr>
                <w:rFonts w:ascii="Arial" w:hAnsi="Arial" w:cs="Arial"/>
                <w:i/>
                <w:sz w:val="20"/>
                <w:szCs w:val="20"/>
              </w:rPr>
              <w:t xml:space="preserve"> (SPC-ISG methodology)</w:t>
            </w:r>
          </w:p>
          <w:p w14:paraId="496D3D5B" w14:textId="77777777" w:rsidR="00D12E11" w:rsidRPr="00F7050E" w:rsidRDefault="00D12E11" w:rsidP="00BC7D1B">
            <w:pPr>
              <w:rPr>
                <w:rFonts w:ascii="Arial" w:hAnsi="Arial" w:cs="Arial"/>
                <w:sz w:val="20"/>
                <w:szCs w:val="20"/>
              </w:rPr>
            </w:pPr>
          </w:p>
        </w:tc>
        <w:tc>
          <w:tcPr>
            <w:tcW w:w="2906" w:type="dxa"/>
            <w:vAlign w:val="center"/>
          </w:tcPr>
          <w:p w14:paraId="7ED7AA17"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The replacement rate is calculated as the ratio between the pension of a hypothetical worker (with 40 years of service and constant average earnings) and the previous net earnings (the average net earnings in the Republic of Serbia during the previous year, recalculated into the prices from the current year)  </w:t>
            </w:r>
          </w:p>
        </w:tc>
        <w:tc>
          <w:tcPr>
            <w:tcW w:w="1630" w:type="dxa"/>
            <w:vAlign w:val="center"/>
          </w:tcPr>
          <w:p w14:paraId="32A532FC" w14:textId="77777777" w:rsidR="00D12E11" w:rsidRPr="00F7050E" w:rsidRDefault="00D12E11" w:rsidP="00BC7D1B">
            <w:pPr>
              <w:rPr>
                <w:rFonts w:ascii="Arial" w:hAnsi="Arial" w:cs="Arial"/>
                <w:sz w:val="20"/>
                <w:szCs w:val="20"/>
              </w:rPr>
            </w:pPr>
          </w:p>
        </w:tc>
        <w:tc>
          <w:tcPr>
            <w:tcW w:w="1772" w:type="dxa"/>
            <w:vAlign w:val="center"/>
          </w:tcPr>
          <w:p w14:paraId="06A1C67E"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PDIF for the </w:t>
            </w:r>
            <w:r w:rsidRPr="00F7050E">
              <w:rPr>
                <w:rFonts w:ascii="Arial" w:hAnsi="Arial" w:cs="Arial"/>
                <w:sz w:val="20"/>
                <w:szCs w:val="20"/>
                <w:u w:val="single"/>
              </w:rPr>
              <w:t xml:space="preserve">value </w:t>
            </w:r>
            <w:r w:rsidRPr="00F7050E">
              <w:rPr>
                <w:rFonts w:ascii="Arial" w:hAnsi="Arial" w:cs="Arial"/>
                <w:sz w:val="20"/>
                <w:szCs w:val="20"/>
              </w:rPr>
              <w:t xml:space="preserve">of the general point  and SORS (or </w:t>
            </w:r>
            <w:r w:rsidRPr="00F7050E">
              <w:rPr>
                <w:rStyle w:val="Strong"/>
                <w:rFonts w:ascii="Arial" w:hAnsi="Arial" w:cs="Arial"/>
                <w:sz w:val="20"/>
                <w:szCs w:val="20"/>
              </w:rPr>
              <w:t>Central Registry for Compulsory Social Insurance</w:t>
            </w:r>
            <w:r w:rsidRPr="00F7050E">
              <w:rPr>
                <w:rFonts w:ascii="Arial" w:hAnsi="Arial" w:cs="Arial"/>
                <w:sz w:val="20"/>
                <w:szCs w:val="20"/>
              </w:rPr>
              <w:t xml:space="preserve">) for the average earnings in the Republic of Serbia </w:t>
            </w:r>
          </w:p>
          <w:p w14:paraId="07487431" w14:textId="77777777" w:rsidR="00D12E11" w:rsidRPr="00F7050E" w:rsidRDefault="00D12E11" w:rsidP="00BC7D1B">
            <w:pPr>
              <w:rPr>
                <w:rFonts w:ascii="Arial" w:hAnsi="Arial" w:cs="Arial"/>
                <w:i/>
                <w:sz w:val="20"/>
                <w:szCs w:val="20"/>
              </w:rPr>
            </w:pPr>
            <w:r w:rsidRPr="00F7050E">
              <w:rPr>
                <w:rFonts w:ascii="Arial" w:hAnsi="Arial" w:cs="Arial"/>
                <w:i/>
                <w:sz w:val="20"/>
                <w:szCs w:val="20"/>
              </w:rPr>
              <w:t>(Annual average)</w:t>
            </w:r>
          </w:p>
        </w:tc>
        <w:tc>
          <w:tcPr>
            <w:tcW w:w="3009" w:type="dxa"/>
            <w:vAlign w:val="center"/>
          </w:tcPr>
          <w:p w14:paraId="019E39EC" w14:textId="77777777" w:rsidR="00D12E11" w:rsidRPr="00F7050E" w:rsidRDefault="00D12E11" w:rsidP="00BC7D1B">
            <w:pPr>
              <w:spacing w:after="120"/>
              <w:rPr>
                <w:rFonts w:ascii="Arial" w:hAnsi="Arial" w:cs="Arial"/>
                <w:i/>
                <w:sz w:val="20"/>
                <w:szCs w:val="20"/>
              </w:rPr>
            </w:pPr>
            <w:r w:rsidRPr="00F7050E">
              <w:rPr>
                <w:rFonts w:ascii="Arial" w:hAnsi="Arial" w:cs="Arial"/>
                <w:i/>
                <w:sz w:val="20"/>
                <w:szCs w:val="20"/>
              </w:rPr>
              <w:t xml:space="preserve">Calculation needed  </w:t>
            </w:r>
          </w:p>
          <w:p w14:paraId="2E20B61A" w14:textId="77777777" w:rsidR="00D12E11" w:rsidRPr="00F7050E" w:rsidRDefault="00D12E11" w:rsidP="00BC7D1B">
            <w:pPr>
              <w:rPr>
                <w:rFonts w:ascii="Arial" w:hAnsi="Arial" w:cs="Arial"/>
                <w:sz w:val="20"/>
                <w:szCs w:val="20"/>
              </w:rPr>
            </w:pPr>
            <w:r w:rsidRPr="00F7050E">
              <w:rPr>
                <w:rFonts w:ascii="Arial" w:hAnsi="Arial" w:cs="Arial"/>
                <w:sz w:val="20"/>
                <w:szCs w:val="20"/>
              </w:rPr>
              <w:t>This is the hypothetical current Replacement Rate, which reflects the design of the pension system. This indicator has been taken from EC-ISG; however, in its present variant it has not been included into the EU List of Social Inclusion Indicators.</w:t>
            </w:r>
          </w:p>
          <w:p w14:paraId="37F6D319" w14:textId="77777777" w:rsidR="00D12E11" w:rsidRPr="00F7050E" w:rsidRDefault="00D12E11" w:rsidP="00BC7D1B">
            <w:pPr>
              <w:rPr>
                <w:rFonts w:ascii="Arial" w:hAnsi="Arial" w:cs="Arial"/>
                <w:sz w:val="20"/>
                <w:szCs w:val="20"/>
              </w:rPr>
            </w:pPr>
          </w:p>
        </w:tc>
      </w:tr>
      <w:tr w:rsidR="00D12E11" w:rsidRPr="00F7050E" w14:paraId="34094551" w14:textId="77777777" w:rsidTr="00BC7D1B">
        <w:trPr>
          <w:jc w:val="center"/>
        </w:trPr>
        <w:tc>
          <w:tcPr>
            <w:tcW w:w="534" w:type="dxa"/>
            <w:vAlign w:val="center"/>
          </w:tcPr>
          <w:p w14:paraId="7ACF2B2B" w14:textId="77777777" w:rsidR="00D12E11" w:rsidRPr="00F7050E" w:rsidRDefault="00D12E11" w:rsidP="00BC7D1B">
            <w:pPr>
              <w:rPr>
                <w:rFonts w:ascii="Arial" w:hAnsi="Arial" w:cs="Arial"/>
                <w:sz w:val="20"/>
                <w:szCs w:val="20"/>
              </w:rPr>
            </w:pPr>
            <w:r w:rsidRPr="00F7050E">
              <w:rPr>
                <w:rFonts w:ascii="Arial" w:hAnsi="Arial" w:cs="Arial"/>
                <w:sz w:val="20"/>
                <w:szCs w:val="20"/>
              </w:rPr>
              <w:t>D10</w:t>
            </w:r>
          </w:p>
        </w:tc>
        <w:tc>
          <w:tcPr>
            <w:tcW w:w="2409" w:type="dxa"/>
            <w:vAlign w:val="center"/>
          </w:tcPr>
          <w:p w14:paraId="78B808BA"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 xml:space="preserve">Projected (future) replacement rate </w:t>
            </w:r>
          </w:p>
        </w:tc>
        <w:tc>
          <w:tcPr>
            <w:tcW w:w="1772" w:type="dxa"/>
          </w:tcPr>
          <w:p w14:paraId="4733CE5E" w14:textId="77777777" w:rsidR="00D12E11" w:rsidRPr="00F7050E" w:rsidRDefault="00D12E11" w:rsidP="00BC7D1B">
            <w:pPr>
              <w:rPr>
                <w:rFonts w:ascii="Arial" w:hAnsi="Arial" w:cs="Arial"/>
                <w:i/>
                <w:sz w:val="20"/>
                <w:szCs w:val="20"/>
              </w:rPr>
            </w:pPr>
          </w:p>
          <w:p w14:paraId="2980BD4C" w14:textId="77777777" w:rsidR="00D12E11" w:rsidRPr="00F7050E" w:rsidRDefault="00D12E11" w:rsidP="00BC7D1B">
            <w:pPr>
              <w:rPr>
                <w:rFonts w:ascii="Arial" w:hAnsi="Arial" w:cs="Arial"/>
                <w:i/>
                <w:sz w:val="20"/>
                <w:szCs w:val="20"/>
              </w:rPr>
            </w:pPr>
          </w:p>
          <w:p w14:paraId="4AEADB95" w14:textId="77777777" w:rsidR="00D12E11" w:rsidRPr="00F7050E" w:rsidRDefault="00D12E11" w:rsidP="00BC7D1B">
            <w:pPr>
              <w:rPr>
                <w:rFonts w:ascii="Arial" w:hAnsi="Arial" w:cs="Arial"/>
                <w:i/>
                <w:sz w:val="20"/>
                <w:szCs w:val="20"/>
              </w:rPr>
            </w:pPr>
          </w:p>
          <w:p w14:paraId="2EF6CE34" w14:textId="77777777" w:rsidR="00D12E11" w:rsidRPr="00F7050E" w:rsidRDefault="00D12E11" w:rsidP="00BC7D1B">
            <w:pPr>
              <w:rPr>
                <w:rFonts w:ascii="Arial" w:hAnsi="Arial" w:cs="Arial"/>
                <w:i/>
                <w:sz w:val="20"/>
                <w:szCs w:val="20"/>
              </w:rPr>
            </w:pPr>
          </w:p>
          <w:p w14:paraId="4D516A05" w14:textId="77777777" w:rsidR="00D12E11" w:rsidRPr="00F7050E" w:rsidRDefault="00D12E11" w:rsidP="00BC7D1B">
            <w:pPr>
              <w:rPr>
                <w:rFonts w:ascii="Arial" w:hAnsi="Arial" w:cs="Arial"/>
                <w:i/>
                <w:sz w:val="20"/>
                <w:szCs w:val="20"/>
              </w:rPr>
            </w:pPr>
          </w:p>
          <w:p w14:paraId="475D2672"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5B98BB14" w14:textId="77777777" w:rsidR="00D12E11" w:rsidRPr="00F7050E" w:rsidRDefault="00D12E11" w:rsidP="00BC7D1B">
            <w:pPr>
              <w:rPr>
                <w:rFonts w:ascii="Arial" w:hAnsi="Arial" w:cs="Arial"/>
                <w:sz w:val="20"/>
                <w:szCs w:val="20"/>
              </w:rPr>
            </w:pPr>
            <w:r w:rsidRPr="00F7050E">
              <w:rPr>
                <w:rFonts w:ascii="Arial" w:hAnsi="Arial" w:cs="Arial"/>
                <w:i/>
                <w:sz w:val="20"/>
                <w:szCs w:val="20"/>
              </w:rPr>
              <w:t xml:space="preserve"> (modelled after EC-ISG)</w:t>
            </w:r>
          </w:p>
          <w:p w14:paraId="0D4DDC0A" w14:textId="77777777" w:rsidR="00D12E11" w:rsidRPr="00F7050E" w:rsidRDefault="00D12E11" w:rsidP="00BC7D1B">
            <w:pPr>
              <w:rPr>
                <w:rFonts w:ascii="Arial" w:hAnsi="Arial" w:cs="Arial"/>
                <w:sz w:val="20"/>
                <w:szCs w:val="20"/>
              </w:rPr>
            </w:pPr>
          </w:p>
        </w:tc>
        <w:tc>
          <w:tcPr>
            <w:tcW w:w="2906" w:type="dxa"/>
          </w:tcPr>
          <w:p w14:paraId="7EFF2314" w14:textId="77777777" w:rsidR="00D12E11" w:rsidRPr="00F7050E" w:rsidRDefault="00D12E11" w:rsidP="00BC7D1B">
            <w:pPr>
              <w:rPr>
                <w:rFonts w:ascii="Arial" w:hAnsi="Arial" w:cs="Arial"/>
                <w:sz w:val="20"/>
                <w:szCs w:val="20"/>
              </w:rPr>
            </w:pPr>
          </w:p>
        </w:tc>
        <w:tc>
          <w:tcPr>
            <w:tcW w:w="1630" w:type="dxa"/>
          </w:tcPr>
          <w:p w14:paraId="1CF19FFE" w14:textId="77777777" w:rsidR="00D12E11" w:rsidRPr="00F7050E" w:rsidRDefault="00D12E11" w:rsidP="00BC7D1B">
            <w:pPr>
              <w:rPr>
                <w:rFonts w:ascii="Arial" w:hAnsi="Arial" w:cs="Arial"/>
                <w:sz w:val="20"/>
                <w:szCs w:val="20"/>
              </w:rPr>
            </w:pPr>
          </w:p>
        </w:tc>
        <w:tc>
          <w:tcPr>
            <w:tcW w:w="1772" w:type="dxa"/>
          </w:tcPr>
          <w:p w14:paraId="7C939223" w14:textId="77777777" w:rsidR="00D12E11" w:rsidRPr="00F7050E" w:rsidRDefault="00D12E11" w:rsidP="00BC7D1B">
            <w:pPr>
              <w:rPr>
                <w:rFonts w:ascii="Arial" w:hAnsi="Arial" w:cs="Arial"/>
                <w:sz w:val="20"/>
                <w:szCs w:val="20"/>
              </w:rPr>
            </w:pPr>
          </w:p>
        </w:tc>
        <w:tc>
          <w:tcPr>
            <w:tcW w:w="3009" w:type="dxa"/>
          </w:tcPr>
          <w:p w14:paraId="445A31C4" w14:textId="77777777" w:rsidR="00D12E11" w:rsidRPr="00F7050E" w:rsidRDefault="00D12E11" w:rsidP="00BC7D1B">
            <w:pPr>
              <w:spacing w:after="120"/>
              <w:rPr>
                <w:rFonts w:ascii="Arial" w:hAnsi="Arial" w:cs="Arial"/>
                <w:i/>
                <w:sz w:val="20"/>
                <w:szCs w:val="20"/>
              </w:rPr>
            </w:pPr>
            <w:r w:rsidRPr="00F7050E">
              <w:rPr>
                <w:rFonts w:ascii="Arial" w:hAnsi="Arial" w:cs="Arial"/>
                <w:i/>
                <w:sz w:val="20"/>
                <w:szCs w:val="20"/>
              </w:rPr>
              <w:t xml:space="preserve">Calculation needed  </w:t>
            </w:r>
          </w:p>
          <w:p w14:paraId="5333F927"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The calculation of this indicator is modelled after and based upon the EU-ISG and OECD methodology; however, it is not as relevant to Serbia as it is to EU Member States, due to the ad hoc indexation of pensions and the </w:t>
            </w:r>
            <w:r w:rsidRPr="00F7050E">
              <w:rPr>
                <w:rFonts w:ascii="Arial" w:hAnsi="Arial" w:cs="Arial"/>
                <w:sz w:val="20"/>
                <w:szCs w:val="20"/>
                <w:u w:val="single"/>
              </w:rPr>
              <w:t>general point</w:t>
            </w:r>
            <w:r w:rsidRPr="00F7050E">
              <w:rPr>
                <w:rFonts w:ascii="Arial" w:hAnsi="Arial" w:cs="Arial"/>
                <w:sz w:val="20"/>
                <w:szCs w:val="20"/>
              </w:rPr>
              <w:t xml:space="preserve"> and the absence of clear vision about further steps and measures</w:t>
            </w:r>
          </w:p>
          <w:p w14:paraId="0BEA3BEA" w14:textId="77777777" w:rsidR="00D12E11" w:rsidRPr="00F7050E" w:rsidRDefault="00D12E11" w:rsidP="00BC7D1B">
            <w:pPr>
              <w:rPr>
                <w:rFonts w:ascii="Arial" w:hAnsi="Arial" w:cs="Arial"/>
                <w:sz w:val="20"/>
                <w:szCs w:val="20"/>
              </w:rPr>
            </w:pPr>
          </w:p>
        </w:tc>
      </w:tr>
      <w:tr w:rsidR="00D12E11" w:rsidRPr="00F7050E" w14:paraId="21A32D14" w14:textId="77777777" w:rsidTr="00BC7D1B">
        <w:trPr>
          <w:jc w:val="center"/>
        </w:trPr>
        <w:tc>
          <w:tcPr>
            <w:tcW w:w="534" w:type="dxa"/>
            <w:vAlign w:val="center"/>
          </w:tcPr>
          <w:p w14:paraId="62B50EF0" w14:textId="77777777" w:rsidR="00D12E11" w:rsidRPr="00F7050E" w:rsidRDefault="00D12E11" w:rsidP="00BC7D1B">
            <w:pPr>
              <w:rPr>
                <w:rFonts w:ascii="Arial" w:hAnsi="Arial" w:cs="Arial"/>
                <w:sz w:val="20"/>
                <w:szCs w:val="20"/>
              </w:rPr>
            </w:pPr>
            <w:r w:rsidRPr="00F7050E">
              <w:rPr>
                <w:rFonts w:ascii="Arial" w:hAnsi="Arial" w:cs="Arial"/>
                <w:sz w:val="20"/>
                <w:szCs w:val="20"/>
              </w:rPr>
              <w:t>D11</w:t>
            </w:r>
          </w:p>
        </w:tc>
        <w:tc>
          <w:tcPr>
            <w:tcW w:w="2409" w:type="dxa"/>
            <w:vAlign w:val="center"/>
          </w:tcPr>
          <w:p w14:paraId="570AF736"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Expected duration of retirement - life expectancy at pensionable age</w:t>
            </w:r>
          </w:p>
        </w:tc>
        <w:tc>
          <w:tcPr>
            <w:tcW w:w="1772" w:type="dxa"/>
            <w:vAlign w:val="center"/>
          </w:tcPr>
          <w:p w14:paraId="5ABAAD47" w14:textId="77777777" w:rsidR="00D12E11" w:rsidRPr="00F7050E" w:rsidRDefault="00D12E11" w:rsidP="00BC7D1B">
            <w:pPr>
              <w:rPr>
                <w:rFonts w:ascii="Arial" w:hAnsi="Arial" w:cs="Arial"/>
                <w:i/>
                <w:sz w:val="20"/>
                <w:szCs w:val="20"/>
              </w:rPr>
            </w:pPr>
          </w:p>
          <w:p w14:paraId="469674C1"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1509E28A" w14:textId="77777777" w:rsidR="00D12E11" w:rsidRPr="00F7050E" w:rsidRDefault="00D12E11" w:rsidP="00BC7D1B">
            <w:pPr>
              <w:rPr>
                <w:rFonts w:ascii="Arial" w:hAnsi="Arial" w:cs="Arial"/>
                <w:i/>
                <w:sz w:val="20"/>
                <w:szCs w:val="20"/>
              </w:rPr>
            </w:pPr>
          </w:p>
          <w:p w14:paraId="3744741E" w14:textId="77777777" w:rsidR="00D12E11" w:rsidRPr="00F7050E" w:rsidRDefault="00D12E11" w:rsidP="00BC7D1B">
            <w:pPr>
              <w:rPr>
                <w:rFonts w:ascii="Arial" w:hAnsi="Arial" w:cs="Arial"/>
                <w:sz w:val="20"/>
                <w:szCs w:val="20"/>
              </w:rPr>
            </w:pPr>
          </w:p>
          <w:p w14:paraId="58276E46"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 xml:space="preserve">WB (Milares-Pillares) p. 52 as in </w:t>
            </w:r>
          </w:p>
          <w:p w14:paraId="7BBE694A" w14:textId="77777777" w:rsidR="00D12E11" w:rsidRPr="00F7050E" w:rsidRDefault="00D12E11" w:rsidP="00BC7D1B">
            <w:pPr>
              <w:rPr>
                <w:rFonts w:ascii="Arial" w:hAnsi="Arial" w:cs="Arial"/>
                <w:sz w:val="20"/>
                <w:szCs w:val="20"/>
              </w:rPr>
            </w:pPr>
            <w:r w:rsidRPr="00F7050E">
              <w:rPr>
                <w:rFonts w:ascii="Arial" w:hAnsi="Arial" w:cs="Arial"/>
                <w:sz w:val="20"/>
                <w:szCs w:val="20"/>
              </w:rPr>
              <w:t>OECD 2011</w:t>
            </w:r>
          </w:p>
        </w:tc>
        <w:tc>
          <w:tcPr>
            <w:tcW w:w="2906" w:type="dxa"/>
            <w:vAlign w:val="center"/>
          </w:tcPr>
          <w:p w14:paraId="52DA315F"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Demographic life expectancy data at the age of retirement (65 for men, 61 for women in 2016)</w:t>
            </w:r>
          </w:p>
        </w:tc>
        <w:tc>
          <w:tcPr>
            <w:tcW w:w="1630" w:type="dxa"/>
            <w:vAlign w:val="center"/>
          </w:tcPr>
          <w:p w14:paraId="17A4DC29" w14:textId="77777777" w:rsidR="00D12E11" w:rsidRPr="00F7050E" w:rsidRDefault="00D12E11" w:rsidP="00BC7D1B">
            <w:pPr>
              <w:rPr>
                <w:rFonts w:ascii="Arial" w:hAnsi="Arial" w:cs="Arial"/>
                <w:sz w:val="20"/>
                <w:szCs w:val="20"/>
              </w:rPr>
            </w:pPr>
            <w:r w:rsidRPr="00F7050E">
              <w:rPr>
                <w:rFonts w:ascii="Arial" w:hAnsi="Arial" w:cs="Arial"/>
                <w:sz w:val="20"/>
                <w:szCs w:val="20"/>
              </w:rPr>
              <w:t>By sex</w:t>
            </w:r>
          </w:p>
          <w:p w14:paraId="2A9ED1C9" w14:textId="77777777" w:rsidR="00D12E11" w:rsidRPr="00F7050E" w:rsidRDefault="00D12E11" w:rsidP="00BC7D1B">
            <w:pPr>
              <w:rPr>
                <w:rFonts w:ascii="Arial" w:hAnsi="Arial" w:cs="Arial"/>
                <w:sz w:val="20"/>
                <w:szCs w:val="20"/>
              </w:rPr>
            </w:pPr>
          </w:p>
        </w:tc>
        <w:tc>
          <w:tcPr>
            <w:tcW w:w="1772" w:type="dxa"/>
            <w:vAlign w:val="center"/>
          </w:tcPr>
          <w:p w14:paraId="29E2CB09"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EUROSTAT </w:t>
            </w:r>
          </w:p>
          <w:p w14:paraId="7C93E8E4" w14:textId="77777777" w:rsidR="00D12E11" w:rsidRPr="00F7050E" w:rsidRDefault="00D12E11" w:rsidP="00BC7D1B">
            <w:pPr>
              <w:rPr>
                <w:rFonts w:ascii="Arial" w:hAnsi="Arial" w:cs="Arial"/>
                <w:i/>
                <w:sz w:val="20"/>
                <w:szCs w:val="20"/>
              </w:rPr>
            </w:pPr>
            <w:r w:rsidRPr="00F7050E">
              <w:rPr>
                <w:rFonts w:ascii="Arial" w:hAnsi="Arial" w:cs="Arial"/>
                <w:i/>
                <w:sz w:val="20"/>
                <w:szCs w:val="20"/>
              </w:rPr>
              <w:t>(Annually)</w:t>
            </w:r>
          </w:p>
        </w:tc>
        <w:tc>
          <w:tcPr>
            <w:tcW w:w="3009" w:type="dxa"/>
            <w:vAlign w:val="center"/>
          </w:tcPr>
          <w:p w14:paraId="515A5DC0" w14:textId="77777777" w:rsidR="00D12E11" w:rsidRPr="00F7050E" w:rsidRDefault="00D12E11" w:rsidP="00BC7D1B">
            <w:pPr>
              <w:rPr>
                <w:rFonts w:ascii="Arial" w:hAnsi="Arial" w:cs="Arial"/>
                <w:i/>
                <w:sz w:val="20"/>
                <w:szCs w:val="20"/>
              </w:rPr>
            </w:pPr>
            <w:r w:rsidRPr="00F7050E">
              <w:rPr>
                <w:rFonts w:ascii="Arial" w:hAnsi="Arial" w:cs="Arial"/>
                <w:i/>
                <w:sz w:val="20"/>
                <w:szCs w:val="20"/>
              </w:rPr>
              <w:t xml:space="preserve">Monitor the information about the life expectancy at the pensionable age limit during a given year on </w:t>
            </w:r>
            <w:r w:rsidRPr="00F7050E">
              <w:rPr>
                <w:rFonts w:ascii="Arial" w:hAnsi="Arial" w:cs="Arial"/>
                <w:sz w:val="20"/>
                <w:szCs w:val="20"/>
              </w:rPr>
              <w:t>EUROSTAT</w:t>
            </w:r>
          </w:p>
          <w:p w14:paraId="12CB7062"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 xml:space="preserve">A variant for the minimum (anticipated pension) retirement age </w:t>
            </w:r>
          </w:p>
        </w:tc>
      </w:tr>
      <w:tr w:rsidR="00D12E11" w:rsidRPr="00F7050E" w14:paraId="0F94F20F" w14:textId="77777777" w:rsidTr="00BC7D1B">
        <w:trPr>
          <w:jc w:val="center"/>
        </w:trPr>
        <w:tc>
          <w:tcPr>
            <w:tcW w:w="534" w:type="dxa"/>
            <w:vAlign w:val="center"/>
          </w:tcPr>
          <w:p w14:paraId="0C052B11"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D12</w:t>
            </w:r>
          </w:p>
        </w:tc>
        <w:tc>
          <w:tcPr>
            <w:tcW w:w="2409" w:type="dxa"/>
            <w:vAlign w:val="center"/>
          </w:tcPr>
          <w:p w14:paraId="3D51D3A3"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Net pension wealth (multiples of annual net/gross earnings)</w:t>
            </w:r>
          </w:p>
        </w:tc>
        <w:tc>
          <w:tcPr>
            <w:tcW w:w="1772" w:type="dxa"/>
            <w:vAlign w:val="center"/>
          </w:tcPr>
          <w:p w14:paraId="0730F15B" w14:textId="77777777" w:rsidR="00D12E11" w:rsidRPr="00F7050E" w:rsidRDefault="00D12E11" w:rsidP="00BC7D1B">
            <w:pPr>
              <w:rPr>
                <w:rFonts w:ascii="Arial" w:hAnsi="Arial" w:cs="Arial"/>
                <w:sz w:val="20"/>
                <w:szCs w:val="20"/>
              </w:rPr>
            </w:pPr>
          </w:p>
          <w:p w14:paraId="7BA7DB10"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718BFF0D" w14:textId="77777777" w:rsidR="00D12E11" w:rsidRPr="00F7050E" w:rsidRDefault="00D12E11" w:rsidP="00BC7D1B">
            <w:pPr>
              <w:rPr>
                <w:rFonts w:ascii="Arial" w:hAnsi="Arial" w:cs="Arial"/>
                <w:sz w:val="20"/>
                <w:szCs w:val="20"/>
              </w:rPr>
            </w:pPr>
          </w:p>
          <w:p w14:paraId="22C49ADF"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OECD </w:t>
            </w:r>
            <w:r w:rsidRPr="00F7050E">
              <w:rPr>
                <w:rFonts w:ascii="Arial" w:hAnsi="Arial" w:cs="Arial"/>
                <w:i/>
                <w:sz w:val="20"/>
                <w:szCs w:val="20"/>
              </w:rPr>
              <w:t>Pensions at a Glance</w:t>
            </w:r>
            <w:r w:rsidRPr="00F7050E">
              <w:rPr>
                <w:rFonts w:ascii="Arial" w:hAnsi="Arial" w:cs="Arial"/>
                <w:sz w:val="20"/>
                <w:szCs w:val="20"/>
              </w:rPr>
              <w:t xml:space="preserve"> (various issues), WB</w:t>
            </w:r>
          </w:p>
        </w:tc>
        <w:tc>
          <w:tcPr>
            <w:tcW w:w="2906" w:type="dxa"/>
            <w:vAlign w:val="center"/>
          </w:tcPr>
          <w:p w14:paraId="6B762E4E"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Present value of the flow of pension benefits, taking into account the replacement rate, the pension indexation, the life expectancy and the pensionable age. OECD uses a 2% discount rate. </w:t>
            </w:r>
          </w:p>
        </w:tc>
        <w:tc>
          <w:tcPr>
            <w:tcW w:w="1630" w:type="dxa"/>
            <w:vAlign w:val="center"/>
          </w:tcPr>
          <w:p w14:paraId="2FDB699D" w14:textId="77777777" w:rsidR="00D12E11" w:rsidRPr="00F7050E" w:rsidRDefault="00D12E11" w:rsidP="00BC7D1B">
            <w:pPr>
              <w:rPr>
                <w:rFonts w:ascii="Arial" w:hAnsi="Arial" w:cs="Arial"/>
                <w:sz w:val="20"/>
                <w:szCs w:val="20"/>
              </w:rPr>
            </w:pPr>
            <w:r w:rsidRPr="00F7050E">
              <w:rPr>
                <w:rFonts w:ascii="Arial" w:hAnsi="Arial" w:cs="Arial"/>
                <w:sz w:val="20"/>
                <w:szCs w:val="20"/>
              </w:rPr>
              <w:t>At the standard retirement age; the minimum retirement age</w:t>
            </w:r>
          </w:p>
        </w:tc>
        <w:tc>
          <w:tcPr>
            <w:tcW w:w="1772" w:type="dxa"/>
            <w:vAlign w:val="center"/>
          </w:tcPr>
          <w:p w14:paraId="0F6F6881" w14:textId="77777777" w:rsidR="00D12E11" w:rsidRPr="00F7050E" w:rsidRDefault="00D12E11" w:rsidP="00BC7D1B">
            <w:pPr>
              <w:rPr>
                <w:rFonts w:ascii="Arial" w:hAnsi="Arial" w:cs="Arial"/>
                <w:sz w:val="20"/>
                <w:szCs w:val="20"/>
              </w:rPr>
            </w:pPr>
            <w:r w:rsidRPr="00F7050E">
              <w:rPr>
                <w:rFonts w:ascii="Arial" w:hAnsi="Arial" w:cs="Arial"/>
                <w:sz w:val="20"/>
                <w:szCs w:val="20"/>
              </w:rPr>
              <w:t>Calculation based on the net replacement rate (D9), the indexation rules (Law) and the expected duration of retirement (D11)</w:t>
            </w:r>
          </w:p>
          <w:p w14:paraId="4008E6BE" w14:textId="77777777" w:rsidR="00D12E11" w:rsidRPr="00F7050E" w:rsidRDefault="00D12E11" w:rsidP="00BC7D1B">
            <w:pPr>
              <w:rPr>
                <w:rFonts w:ascii="Arial" w:hAnsi="Arial" w:cs="Arial"/>
                <w:sz w:val="20"/>
                <w:szCs w:val="20"/>
              </w:rPr>
            </w:pPr>
          </w:p>
          <w:p w14:paraId="3088E49C" w14:textId="77777777" w:rsidR="00D12E11" w:rsidRPr="00F7050E" w:rsidRDefault="00D12E11" w:rsidP="00BC7D1B">
            <w:pPr>
              <w:rPr>
                <w:rFonts w:ascii="Arial" w:hAnsi="Arial" w:cs="Arial"/>
                <w:i/>
                <w:sz w:val="20"/>
                <w:szCs w:val="20"/>
              </w:rPr>
            </w:pPr>
            <w:r w:rsidRPr="00F7050E">
              <w:rPr>
                <w:rFonts w:ascii="Arial" w:hAnsi="Arial" w:cs="Arial"/>
                <w:i/>
                <w:sz w:val="20"/>
                <w:szCs w:val="20"/>
              </w:rPr>
              <w:t>(Annually)</w:t>
            </w:r>
          </w:p>
        </w:tc>
        <w:tc>
          <w:tcPr>
            <w:tcW w:w="3009" w:type="dxa"/>
            <w:vAlign w:val="center"/>
          </w:tcPr>
          <w:p w14:paraId="0EB7097E" w14:textId="77777777" w:rsidR="00D12E11" w:rsidRPr="00F7050E" w:rsidRDefault="00D12E11" w:rsidP="00BC7D1B">
            <w:pPr>
              <w:pStyle w:val="NormalWeb"/>
              <w:spacing w:before="2" w:afterLines="0"/>
              <w:rPr>
                <w:rFonts w:ascii="Arial" w:hAnsi="Arial" w:cs="Arial"/>
                <w:i/>
              </w:rPr>
            </w:pPr>
            <w:r w:rsidRPr="00F7050E">
              <w:rPr>
                <w:rFonts w:ascii="Arial" w:hAnsi="Arial" w:cs="Arial"/>
                <w:i/>
              </w:rPr>
              <w:t>Calculation needed</w:t>
            </w:r>
          </w:p>
          <w:p w14:paraId="1EF3F1EE" w14:textId="77777777" w:rsidR="00D12E11" w:rsidRPr="00F7050E" w:rsidRDefault="00D12E11" w:rsidP="00BC7D1B">
            <w:pPr>
              <w:pStyle w:val="NormalWeb"/>
              <w:spacing w:before="2" w:after="2"/>
              <w:rPr>
                <w:rFonts w:ascii="Arial" w:hAnsi="Arial" w:cs="Arial"/>
              </w:rPr>
            </w:pPr>
            <w:r w:rsidRPr="00F7050E">
              <w:rPr>
                <w:rFonts w:ascii="Arial" w:hAnsi="Arial" w:cs="Arial"/>
              </w:rPr>
              <w:t xml:space="preserve">OECD calculates both the gross and the net pension wealth as a multiple of individual </w:t>
            </w:r>
            <w:r w:rsidRPr="00F7050E">
              <w:rPr>
                <w:rFonts w:ascii="Arial" w:hAnsi="Arial" w:cs="Arial"/>
                <w:i/>
                <w:iCs/>
              </w:rPr>
              <w:t xml:space="preserve">gross </w:t>
            </w:r>
            <w:r w:rsidRPr="00F7050E">
              <w:rPr>
                <w:rFonts w:ascii="Arial" w:hAnsi="Arial" w:cs="Arial"/>
              </w:rPr>
              <w:t>earnings. This indicator is modified for Serbia since it would be difficult to understand the net wealth as a multiple of gross earnings; therefore, it is defined as a multiple of net earnings (net wages). The variant used by OECD (multiples of gross earnings) should be calculated as well for the sake of comparison</w:t>
            </w:r>
          </w:p>
        </w:tc>
      </w:tr>
      <w:tr w:rsidR="00D12E11" w:rsidRPr="00F7050E" w14:paraId="3FC7173F" w14:textId="77777777" w:rsidTr="00BC7D1B">
        <w:trPr>
          <w:jc w:val="center"/>
        </w:trPr>
        <w:tc>
          <w:tcPr>
            <w:tcW w:w="534" w:type="dxa"/>
            <w:tcBorders>
              <w:bottom w:val="single" w:sz="4" w:space="0" w:color="000000"/>
            </w:tcBorders>
            <w:vAlign w:val="center"/>
          </w:tcPr>
          <w:p w14:paraId="6016DE92" w14:textId="77777777" w:rsidR="00D12E11" w:rsidRPr="00F7050E" w:rsidRDefault="00D12E11" w:rsidP="00BC7D1B">
            <w:pPr>
              <w:rPr>
                <w:rFonts w:ascii="Arial" w:hAnsi="Arial" w:cs="Arial"/>
                <w:sz w:val="20"/>
                <w:szCs w:val="20"/>
              </w:rPr>
            </w:pPr>
            <w:r w:rsidRPr="00F7050E">
              <w:rPr>
                <w:rFonts w:ascii="Arial" w:hAnsi="Arial" w:cs="Arial"/>
                <w:sz w:val="20"/>
                <w:szCs w:val="20"/>
              </w:rPr>
              <w:t>D13</w:t>
            </w:r>
          </w:p>
        </w:tc>
        <w:tc>
          <w:tcPr>
            <w:tcW w:w="2409" w:type="dxa"/>
            <w:tcBorders>
              <w:bottom w:val="single" w:sz="4" w:space="0" w:color="000000"/>
            </w:tcBorders>
            <w:vAlign w:val="center"/>
          </w:tcPr>
          <w:p w14:paraId="68657EEC" w14:textId="77777777" w:rsidR="00D12E11" w:rsidRPr="00F7050E" w:rsidRDefault="00D12E11" w:rsidP="00BC7D1B">
            <w:pPr>
              <w:pStyle w:val="Default"/>
              <w:rPr>
                <w:rFonts w:ascii="Arial" w:hAnsi="Arial" w:cs="Arial"/>
                <w:bCs/>
                <w:sz w:val="20"/>
                <w:szCs w:val="20"/>
                <w:lang w:val="en-GB"/>
              </w:rPr>
            </w:pPr>
          </w:p>
          <w:p w14:paraId="18C3158E"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Change in pension wealth</w:t>
            </w:r>
          </w:p>
          <w:p w14:paraId="0F1E98B1" w14:textId="77777777" w:rsidR="00D12E11" w:rsidRPr="00F7050E" w:rsidRDefault="00D12E11" w:rsidP="00BC7D1B">
            <w:pPr>
              <w:pStyle w:val="Default"/>
              <w:rPr>
                <w:rFonts w:ascii="Arial" w:hAnsi="Arial" w:cs="Arial"/>
                <w:bCs/>
                <w:sz w:val="20"/>
                <w:szCs w:val="20"/>
                <w:lang w:val="en-GB"/>
              </w:rPr>
            </w:pPr>
          </w:p>
        </w:tc>
        <w:tc>
          <w:tcPr>
            <w:tcW w:w="1772" w:type="dxa"/>
            <w:tcBorders>
              <w:bottom w:val="single" w:sz="4" w:space="0" w:color="000000"/>
            </w:tcBorders>
            <w:vAlign w:val="center"/>
          </w:tcPr>
          <w:p w14:paraId="23D4894E"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2BA4485C" w14:textId="77777777" w:rsidR="00D12E11" w:rsidRPr="00F7050E" w:rsidRDefault="00D12E11" w:rsidP="00BC7D1B">
            <w:pPr>
              <w:rPr>
                <w:rFonts w:ascii="Arial" w:hAnsi="Arial" w:cs="Arial"/>
                <w:sz w:val="20"/>
                <w:szCs w:val="20"/>
              </w:rPr>
            </w:pPr>
          </w:p>
          <w:p w14:paraId="5878AEC9" w14:textId="77777777" w:rsidR="00D12E11" w:rsidRPr="00F7050E" w:rsidRDefault="00D12E11" w:rsidP="00BC7D1B">
            <w:pPr>
              <w:rPr>
                <w:rFonts w:ascii="Arial" w:hAnsi="Arial" w:cs="Arial"/>
                <w:sz w:val="20"/>
                <w:szCs w:val="20"/>
              </w:rPr>
            </w:pPr>
            <w:r w:rsidRPr="00F7050E">
              <w:rPr>
                <w:rFonts w:ascii="Arial" w:hAnsi="Arial" w:cs="Arial"/>
                <w:sz w:val="20"/>
                <w:szCs w:val="20"/>
              </w:rPr>
              <w:t>WB indicators, OECD (2013)</w:t>
            </w:r>
          </w:p>
        </w:tc>
        <w:tc>
          <w:tcPr>
            <w:tcW w:w="2906" w:type="dxa"/>
            <w:tcBorders>
              <w:bottom w:val="single" w:sz="4" w:space="0" w:color="000000"/>
            </w:tcBorders>
            <w:vAlign w:val="center"/>
          </w:tcPr>
          <w:p w14:paraId="28D64C28" w14:textId="77777777" w:rsidR="00D12E11" w:rsidRPr="00F7050E" w:rsidRDefault="00D12E11" w:rsidP="00BC7D1B">
            <w:pPr>
              <w:rPr>
                <w:rFonts w:ascii="Arial" w:hAnsi="Arial" w:cs="Arial"/>
                <w:sz w:val="20"/>
                <w:szCs w:val="20"/>
              </w:rPr>
            </w:pPr>
          </w:p>
        </w:tc>
        <w:tc>
          <w:tcPr>
            <w:tcW w:w="1630" w:type="dxa"/>
            <w:tcBorders>
              <w:bottom w:val="single" w:sz="4" w:space="0" w:color="000000"/>
            </w:tcBorders>
            <w:vAlign w:val="center"/>
          </w:tcPr>
          <w:p w14:paraId="40346D07" w14:textId="77777777" w:rsidR="00D12E11" w:rsidRPr="00F7050E" w:rsidRDefault="00D12E11" w:rsidP="00BC7D1B">
            <w:pPr>
              <w:rPr>
                <w:rFonts w:ascii="Arial" w:hAnsi="Arial" w:cs="Arial"/>
                <w:sz w:val="20"/>
                <w:szCs w:val="20"/>
              </w:rPr>
            </w:pPr>
          </w:p>
        </w:tc>
        <w:tc>
          <w:tcPr>
            <w:tcW w:w="1772" w:type="dxa"/>
            <w:tcBorders>
              <w:bottom w:val="single" w:sz="4" w:space="0" w:color="000000"/>
            </w:tcBorders>
            <w:vAlign w:val="center"/>
          </w:tcPr>
          <w:p w14:paraId="36477EDC" w14:textId="77777777" w:rsidR="00D12E11" w:rsidRPr="00F7050E" w:rsidRDefault="00D12E11" w:rsidP="00BC7D1B">
            <w:pPr>
              <w:rPr>
                <w:rFonts w:ascii="Arial" w:hAnsi="Arial" w:cs="Arial"/>
                <w:sz w:val="20"/>
                <w:szCs w:val="20"/>
              </w:rPr>
            </w:pPr>
          </w:p>
        </w:tc>
        <w:tc>
          <w:tcPr>
            <w:tcW w:w="3009" w:type="dxa"/>
            <w:tcBorders>
              <w:bottom w:val="single" w:sz="4" w:space="0" w:color="000000"/>
            </w:tcBorders>
            <w:vAlign w:val="center"/>
          </w:tcPr>
          <w:p w14:paraId="6FDA852D" w14:textId="77777777" w:rsidR="00D12E11" w:rsidRPr="00F7050E" w:rsidRDefault="00D12E11" w:rsidP="00BC7D1B">
            <w:pPr>
              <w:spacing w:after="120"/>
              <w:rPr>
                <w:rFonts w:ascii="Arial" w:hAnsi="Arial" w:cs="Arial"/>
                <w:i/>
                <w:sz w:val="20"/>
                <w:szCs w:val="20"/>
              </w:rPr>
            </w:pPr>
            <w:r w:rsidRPr="00F7050E">
              <w:rPr>
                <w:rFonts w:ascii="Arial" w:hAnsi="Arial" w:cs="Arial"/>
                <w:i/>
                <w:sz w:val="20"/>
                <w:szCs w:val="20"/>
              </w:rPr>
              <w:t xml:space="preserve">Calculation needed  </w:t>
            </w:r>
          </w:p>
          <w:p w14:paraId="2D340596" w14:textId="77777777" w:rsidR="00D12E11" w:rsidRPr="00F7050E" w:rsidRDefault="00D12E11" w:rsidP="00BC7D1B">
            <w:pPr>
              <w:rPr>
                <w:rFonts w:ascii="Arial" w:hAnsi="Arial" w:cs="Arial"/>
                <w:i/>
                <w:sz w:val="20"/>
                <w:szCs w:val="20"/>
              </w:rPr>
            </w:pPr>
          </w:p>
        </w:tc>
      </w:tr>
      <w:tr w:rsidR="00D12E11" w:rsidRPr="00F7050E" w14:paraId="6EC939E5" w14:textId="77777777" w:rsidTr="00BC7D1B">
        <w:trPr>
          <w:jc w:val="center"/>
        </w:trPr>
        <w:tc>
          <w:tcPr>
            <w:tcW w:w="534" w:type="dxa"/>
            <w:tcBorders>
              <w:bottom w:val="single" w:sz="4" w:space="0" w:color="000000"/>
            </w:tcBorders>
            <w:vAlign w:val="center"/>
          </w:tcPr>
          <w:p w14:paraId="53D397DD" w14:textId="77777777" w:rsidR="00D12E11" w:rsidRPr="00F7050E" w:rsidRDefault="00D12E11" w:rsidP="00BC7D1B">
            <w:pPr>
              <w:rPr>
                <w:rFonts w:ascii="Arial" w:hAnsi="Arial" w:cs="Arial"/>
                <w:sz w:val="20"/>
                <w:szCs w:val="20"/>
              </w:rPr>
            </w:pPr>
            <w:r w:rsidRPr="00F7050E">
              <w:rPr>
                <w:rFonts w:ascii="Arial" w:hAnsi="Arial" w:cs="Arial"/>
                <w:sz w:val="20"/>
                <w:szCs w:val="20"/>
              </w:rPr>
              <w:t>D14</w:t>
            </w:r>
          </w:p>
        </w:tc>
        <w:tc>
          <w:tcPr>
            <w:tcW w:w="2409" w:type="dxa"/>
            <w:tcBorders>
              <w:bottom w:val="single" w:sz="4" w:space="0" w:color="000000"/>
            </w:tcBorders>
            <w:vAlign w:val="center"/>
          </w:tcPr>
          <w:p w14:paraId="7775DA2A"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Nominal contribution rate to  PDIF</w:t>
            </w:r>
          </w:p>
        </w:tc>
        <w:tc>
          <w:tcPr>
            <w:tcW w:w="1772" w:type="dxa"/>
            <w:tcBorders>
              <w:bottom w:val="single" w:sz="4" w:space="0" w:color="000000"/>
            </w:tcBorders>
            <w:vAlign w:val="center"/>
          </w:tcPr>
          <w:p w14:paraId="7F3F7823" w14:textId="77777777" w:rsidR="00D12E11" w:rsidRPr="00F7050E" w:rsidRDefault="00D12E11" w:rsidP="00BC7D1B">
            <w:pPr>
              <w:rPr>
                <w:rFonts w:ascii="Arial" w:hAnsi="Arial" w:cs="Arial"/>
                <w:i/>
                <w:sz w:val="20"/>
                <w:szCs w:val="20"/>
              </w:rPr>
            </w:pPr>
          </w:p>
          <w:p w14:paraId="40F0D2B9"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71D0CE5B" w14:textId="77777777" w:rsidR="00D12E11" w:rsidRPr="00F7050E" w:rsidRDefault="00D12E11" w:rsidP="00BC7D1B">
            <w:pPr>
              <w:rPr>
                <w:rFonts w:ascii="Arial" w:hAnsi="Arial" w:cs="Arial"/>
                <w:sz w:val="20"/>
                <w:szCs w:val="20"/>
              </w:rPr>
            </w:pPr>
          </w:p>
        </w:tc>
        <w:tc>
          <w:tcPr>
            <w:tcW w:w="2906" w:type="dxa"/>
            <w:tcBorders>
              <w:bottom w:val="single" w:sz="4" w:space="0" w:color="000000"/>
            </w:tcBorders>
            <w:vAlign w:val="center"/>
          </w:tcPr>
          <w:p w14:paraId="72898060"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Administrative contribution rate to PDIF. If it changes during a year, then the annual average is calculated </w:t>
            </w:r>
          </w:p>
        </w:tc>
        <w:tc>
          <w:tcPr>
            <w:tcW w:w="1630" w:type="dxa"/>
            <w:tcBorders>
              <w:bottom w:val="single" w:sz="4" w:space="0" w:color="000000"/>
            </w:tcBorders>
            <w:vAlign w:val="center"/>
          </w:tcPr>
          <w:p w14:paraId="200EE4E1" w14:textId="77777777" w:rsidR="00D12E11" w:rsidRPr="00F7050E" w:rsidRDefault="00D12E11" w:rsidP="00BC7D1B">
            <w:pPr>
              <w:rPr>
                <w:rFonts w:ascii="Arial" w:hAnsi="Arial" w:cs="Arial"/>
                <w:sz w:val="20"/>
                <w:szCs w:val="20"/>
              </w:rPr>
            </w:pPr>
          </w:p>
        </w:tc>
        <w:tc>
          <w:tcPr>
            <w:tcW w:w="1772" w:type="dxa"/>
            <w:tcBorders>
              <w:bottom w:val="single" w:sz="4" w:space="0" w:color="000000"/>
            </w:tcBorders>
            <w:vAlign w:val="center"/>
          </w:tcPr>
          <w:p w14:paraId="766F44E8"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Law on Compulsory Social Insurance Contributions </w:t>
            </w:r>
          </w:p>
        </w:tc>
        <w:tc>
          <w:tcPr>
            <w:tcW w:w="3009" w:type="dxa"/>
            <w:tcBorders>
              <w:bottom w:val="single" w:sz="4" w:space="0" w:color="000000"/>
            </w:tcBorders>
            <w:vAlign w:val="center"/>
          </w:tcPr>
          <w:p w14:paraId="25B368D3" w14:textId="77777777" w:rsidR="00D12E11" w:rsidRPr="00F7050E" w:rsidRDefault="00D12E11" w:rsidP="00BC7D1B">
            <w:pPr>
              <w:rPr>
                <w:rFonts w:ascii="Arial" w:hAnsi="Arial" w:cs="Arial"/>
                <w:i/>
                <w:sz w:val="20"/>
                <w:szCs w:val="20"/>
              </w:rPr>
            </w:pPr>
          </w:p>
        </w:tc>
      </w:tr>
      <w:tr w:rsidR="00D12E11" w:rsidRPr="00F7050E" w14:paraId="1242CF94" w14:textId="77777777" w:rsidTr="00DA33FF">
        <w:trPr>
          <w:trHeight w:val="510"/>
          <w:jc w:val="center"/>
        </w:trPr>
        <w:tc>
          <w:tcPr>
            <w:tcW w:w="14032" w:type="dxa"/>
            <w:gridSpan w:val="7"/>
            <w:shd w:val="clear" w:color="auto" w:fill="808080" w:themeFill="background1" w:themeFillShade="80"/>
            <w:vAlign w:val="center"/>
          </w:tcPr>
          <w:p w14:paraId="38BEFED4" w14:textId="77777777" w:rsidR="00D12E11" w:rsidRPr="00DA33FF" w:rsidRDefault="00D12E11" w:rsidP="00BC7D1B">
            <w:pPr>
              <w:jc w:val="center"/>
              <w:rPr>
                <w:rFonts w:ascii="Arial" w:hAnsi="Arial" w:cs="Arial"/>
                <w:b/>
                <w:color w:val="FFFFFF" w:themeColor="background1"/>
                <w:sz w:val="20"/>
                <w:szCs w:val="20"/>
              </w:rPr>
            </w:pPr>
            <w:r w:rsidRPr="00DA33FF">
              <w:rPr>
                <w:rFonts w:ascii="Arial" w:hAnsi="Arial" w:cs="Arial"/>
                <w:b/>
                <w:color w:val="FFFFFF" w:themeColor="background1"/>
                <w:sz w:val="20"/>
                <w:szCs w:val="20"/>
              </w:rPr>
              <w:t xml:space="preserve">PERFORMANCE/OUTCOME INDICATORS </w:t>
            </w:r>
          </w:p>
        </w:tc>
      </w:tr>
      <w:tr w:rsidR="00D12E11" w:rsidRPr="00F7050E" w14:paraId="3F9772E0" w14:textId="77777777" w:rsidTr="00BC7D1B">
        <w:trPr>
          <w:trHeight w:val="454"/>
          <w:jc w:val="center"/>
        </w:trPr>
        <w:tc>
          <w:tcPr>
            <w:tcW w:w="14032" w:type="dxa"/>
            <w:gridSpan w:val="7"/>
            <w:shd w:val="clear" w:color="auto" w:fill="CCFFFF"/>
            <w:vAlign w:val="center"/>
          </w:tcPr>
          <w:p w14:paraId="28221BF6" w14:textId="77777777" w:rsidR="00D12E11" w:rsidRPr="00DA33FF" w:rsidRDefault="00D12E11" w:rsidP="00BC7D1B">
            <w:pPr>
              <w:jc w:val="center"/>
              <w:rPr>
                <w:rFonts w:ascii="Arial" w:hAnsi="Arial" w:cs="Arial"/>
                <w:b/>
                <w:color w:val="FFFFFF" w:themeColor="background1"/>
                <w:sz w:val="20"/>
                <w:szCs w:val="20"/>
              </w:rPr>
            </w:pPr>
            <w:r w:rsidRPr="00DA33FF">
              <w:rPr>
                <w:rFonts w:ascii="Arial" w:hAnsi="Arial" w:cs="Arial"/>
                <w:b/>
                <w:sz w:val="20"/>
                <w:szCs w:val="20"/>
              </w:rPr>
              <w:t>NUMBER OF PENSIONERS AND COVERAGE</w:t>
            </w:r>
          </w:p>
        </w:tc>
      </w:tr>
      <w:tr w:rsidR="00D12E11" w:rsidRPr="00F7050E" w14:paraId="484D41E6" w14:textId="77777777" w:rsidTr="00BC7D1B">
        <w:trPr>
          <w:trHeight w:val="454"/>
          <w:jc w:val="center"/>
        </w:trPr>
        <w:tc>
          <w:tcPr>
            <w:tcW w:w="534" w:type="dxa"/>
            <w:tcBorders>
              <w:bottom w:val="single" w:sz="4" w:space="0" w:color="000000"/>
            </w:tcBorders>
            <w:vAlign w:val="center"/>
          </w:tcPr>
          <w:p w14:paraId="301ED24B"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P/S</w:t>
            </w:r>
          </w:p>
        </w:tc>
        <w:tc>
          <w:tcPr>
            <w:tcW w:w="2409" w:type="dxa"/>
            <w:tcBorders>
              <w:bottom w:val="single" w:sz="4" w:space="0" w:color="000000"/>
            </w:tcBorders>
            <w:vAlign w:val="center"/>
          </w:tcPr>
          <w:p w14:paraId="297655B3"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Indicator Title</w:t>
            </w:r>
          </w:p>
          <w:p w14:paraId="3BC26E52" w14:textId="77777777" w:rsidR="00D12E11" w:rsidRPr="00F7050E" w:rsidRDefault="00D12E11" w:rsidP="00BC7D1B">
            <w:pPr>
              <w:jc w:val="center"/>
              <w:rPr>
                <w:rFonts w:ascii="Arial" w:hAnsi="Arial" w:cs="Arial"/>
                <w:b/>
                <w:i/>
                <w:sz w:val="20"/>
                <w:szCs w:val="20"/>
              </w:rPr>
            </w:pPr>
            <w:r w:rsidRPr="00F7050E">
              <w:rPr>
                <w:rFonts w:ascii="Arial" w:hAnsi="Arial" w:cs="Arial"/>
                <w:b/>
                <w:sz w:val="20"/>
                <w:szCs w:val="20"/>
              </w:rPr>
              <w:t xml:space="preserve"> </w:t>
            </w:r>
            <w:r w:rsidRPr="00F7050E">
              <w:rPr>
                <w:rFonts w:ascii="Arial" w:hAnsi="Arial" w:cs="Arial"/>
                <w:b/>
                <w:i/>
                <w:sz w:val="20"/>
                <w:szCs w:val="20"/>
              </w:rPr>
              <w:t>(Unit)</w:t>
            </w:r>
          </w:p>
        </w:tc>
        <w:tc>
          <w:tcPr>
            <w:tcW w:w="1772" w:type="dxa"/>
            <w:tcBorders>
              <w:bottom w:val="single" w:sz="4" w:space="0" w:color="000000"/>
            </w:tcBorders>
            <w:vAlign w:val="center"/>
          </w:tcPr>
          <w:p w14:paraId="2D0F25C5"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 xml:space="preserve">Indicator Type </w:t>
            </w:r>
            <w:r w:rsidRPr="00F7050E">
              <w:rPr>
                <w:rFonts w:ascii="Arial" w:hAnsi="Arial" w:cs="Arial"/>
                <w:b/>
                <w:i/>
                <w:sz w:val="20"/>
                <w:szCs w:val="20"/>
              </w:rPr>
              <w:t>(Origin)</w:t>
            </w:r>
            <w:r w:rsidRPr="00F7050E">
              <w:rPr>
                <w:rFonts w:ascii="Arial" w:hAnsi="Arial" w:cs="Arial"/>
                <w:b/>
                <w:sz w:val="20"/>
                <w:szCs w:val="20"/>
              </w:rPr>
              <w:t xml:space="preserve"> </w:t>
            </w:r>
          </w:p>
        </w:tc>
        <w:tc>
          <w:tcPr>
            <w:tcW w:w="2906" w:type="dxa"/>
            <w:tcBorders>
              <w:bottom w:val="single" w:sz="4" w:space="0" w:color="000000"/>
            </w:tcBorders>
            <w:vAlign w:val="center"/>
          </w:tcPr>
          <w:p w14:paraId="3928B236"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Definitions</w:t>
            </w:r>
          </w:p>
        </w:tc>
        <w:tc>
          <w:tcPr>
            <w:tcW w:w="1630" w:type="dxa"/>
            <w:tcBorders>
              <w:bottom w:val="single" w:sz="4" w:space="0" w:color="000000"/>
            </w:tcBorders>
            <w:vAlign w:val="center"/>
          </w:tcPr>
          <w:p w14:paraId="69498B92"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Disaggregation</w:t>
            </w:r>
          </w:p>
        </w:tc>
        <w:tc>
          <w:tcPr>
            <w:tcW w:w="1772" w:type="dxa"/>
            <w:tcBorders>
              <w:bottom w:val="single" w:sz="4" w:space="0" w:color="000000"/>
            </w:tcBorders>
            <w:vAlign w:val="center"/>
          </w:tcPr>
          <w:p w14:paraId="457C4498"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 xml:space="preserve">Data Source </w:t>
            </w:r>
            <w:r w:rsidRPr="00F7050E">
              <w:rPr>
                <w:rFonts w:ascii="Arial" w:hAnsi="Arial" w:cs="Arial"/>
                <w:b/>
                <w:i/>
                <w:sz w:val="20"/>
                <w:szCs w:val="20"/>
              </w:rPr>
              <w:t>(Time Frame)</w:t>
            </w:r>
          </w:p>
        </w:tc>
        <w:tc>
          <w:tcPr>
            <w:tcW w:w="3009" w:type="dxa"/>
            <w:tcBorders>
              <w:bottom w:val="single" w:sz="4" w:space="0" w:color="000000"/>
            </w:tcBorders>
            <w:vAlign w:val="center"/>
          </w:tcPr>
          <w:p w14:paraId="4B604BEB" w14:textId="77777777" w:rsidR="00D12E11" w:rsidRPr="00F7050E" w:rsidRDefault="00D12E11" w:rsidP="00BC7D1B">
            <w:pPr>
              <w:jc w:val="center"/>
              <w:rPr>
                <w:rFonts w:ascii="Arial" w:hAnsi="Arial" w:cs="Arial"/>
                <w:b/>
                <w:sz w:val="20"/>
                <w:szCs w:val="20"/>
                <w:highlight w:val="yellow"/>
              </w:rPr>
            </w:pPr>
            <w:r w:rsidRPr="00F7050E">
              <w:rPr>
                <w:rFonts w:ascii="Arial" w:hAnsi="Arial" w:cs="Arial"/>
                <w:b/>
                <w:sz w:val="20"/>
                <w:szCs w:val="20"/>
              </w:rPr>
              <w:t>Data Availability and Comments</w:t>
            </w:r>
          </w:p>
        </w:tc>
      </w:tr>
      <w:tr w:rsidR="00D12E11" w:rsidRPr="00F7050E" w14:paraId="3EFC8D0B" w14:textId="77777777" w:rsidTr="00BC7D1B">
        <w:trPr>
          <w:trHeight w:val="454"/>
          <w:jc w:val="center"/>
        </w:trPr>
        <w:tc>
          <w:tcPr>
            <w:tcW w:w="534" w:type="dxa"/>
            <w:vAlign w:val="center"/>
          </w:tcPr>
          <w:p w14:paraId="56E5F1FD"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tcPr>
          <w:p w14:paraId="4E816428" w14:textId="77777777" w:rsidR="00D12E11" w:rsidRPr="00F7050E" w:rsidRDefault="00D12E11" w:rsidP="00BC7D1B">
            <w:pPr>
              <w:rPr>
                <w:rFonts w:ascii="Arial" w:hAnsi="Arial" w:cs="Arial"/>
                <w:sz w:val="20"/>
                <w:szCs w:val="20"/>
              </w:rPr>
            </w:pPr>
          </w:p>
          <w:p w14:paraId="54EC25ED" w14:textId="77777777" w:rsidR="00D12E11" w:rsidRPr="00F7050E" w:rsidRDefault="00D12E11" w:rsidP="00BC7D1B">
            <w:pPr>
              <w:rPr>
                <w:rFonts w:ascii="Arial" w:hAnsi="Arial" w:cs="Arial"/>
                <w:sz w:val="20"/>
                <w:szCs w:val="20"/>
              </w:rPr>
            </w:pPr>
            <w:r w:rsidRPr="00F7050E">
              <w:rPr>
                <w:rFonts w:ascii="Arial" w:hAnsi="Arial" w:cs="Arial"/>
                <w:sz w:val="20"/>
                <w:szCs w:val="20"/>
              </w:rPr>
              <w:t>Pension coverage of older people (percentage)</w:t>
            </w:r>
          </w:p>
          <w:p w14:paraId="0277D54F" w14:textId="77777777" w:rsidR="00D12E11" w:rsidRPr="00F7050E" w:rsidRDefault="00D12E11" w:rsidP="00BC7D1B">
            <w:pPr>
              <w:rPr>
                <w:rFonts w:ascii="Arial" w:hAnsi="Arial" w:cs="Arial"/>
                <w:sz w:val="20"/>
                <w:szCs w:val="20"/>
              </w:rPr>
            </w:pPr>
          </w:p>
          <w:p w14:paraId="4A3EF3DE" w14:textId="77777777" w:rsidR="00D12E11" w:rsidRPr="00F7050E" w:rsidRDefault="00D12E11" w:rsidP="00BC7D1B">
            <w:pPr>
              <w:rPr>
                <w:rFonts w:ascii="Arial" w:hAnsi="Arial" w:cs="Arial"/>
                <w:sz w:val="20"/>
                <w:szCs w:val="20"/>
              </w:rPr>
            </w:pPr>
          </w:p>
        </w:tc>
        <w:tc>
          <w:tcPr>
            <w:tcW w:w="1772" w:type="dxa"/>
          </w:tcPr>
          <w:p w14:paraId="6C1E6005" w14:textId="77777777" w:rsidR="00D12E11" w:rsidRPr="00F7050E" w:rsidRDefault="00D12E11" w:rsidP="00BC7D1B">
            <w:pPr>
              <w:rPr>
                <w:rFonts w:ascii="Arial" w:hAnsi="Arial" w:cs="Arial"/>
                <w:i/>
                <w:sz w:val="20"/>
                <w:szCs w:val="20"/>
              </w:rPr>
            </w:pPr>
          </w:p>
          <w:p w14:paraId="64567E86" w14:textId="77777777" w:rsidR="00D12E11" w:rsidRPr="00F7050E" w:rsidRDefault="00D12E11" w:rsidP="00BC7D1B">
            <w:pPr>
              <w:rPr>
                <w:rFonts w:ascii="Arial" w:hAnsi="Arial" w:cs="Arial"/>
                <w:i/>
                <w:sz w:val="20"/>
                <w:szCs w:val="20"/>
              </w:rPr>
            </w:pPr>
          </w:p>
          <w:p w14:paraId="6540CB4C"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01C3FCAD" w14:textId="77777777" w:rsidR="00D12E11" w:rsidRPr="00F7050E" w:rsidRDefault="00D12E11" w:rsidP="00BC7D1B">
            <w:pPr>
              <w:rPr>
                <w:rFonts w:ascii="Arial" w:hAnsi="Arial" w:cs="Arial"/>
                <w:sz w:val="20"/>
                <w:szCs w:val="20"/>
              </w:rPr>
            </w:pPr>
          </w:p>
        </w:tc>
        <w:tc>
          <w:tcPr>
            <w:tcW w:w="2906" w:type="dxa"/>
          </w:tcPr>
          <w:p w14:paraId="56C1390F"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Pensioners above the mandatory retirement limit relative to the population </w:t>
            </w:r>
            <w:r w:rsidRPr="00F7050E">
              <w:rPr>
                <w:rFonts w:ascii="Arial" w:hAnsi="Arial" w:cs="Arial"/>
                <w:sz w:val="20"/>
                <w:szCs w:val="20"/>
              </w:rPr>
              <w:lastRenderedPageBreak/>
              <w:t>above the mandatory retirement limit</w:t>
            </w:r>
          </w:p>
          <w:p w14:paraId="4DB6E7D7" w14:textId="77777777" w:rsidR="00D12E11" w:rsidRPr="00F7050E" w:rsidRDefault="00D12E11" w:rsidP="00BC7D1B">
            <w:pPr>
              <w:rPr>
                <w:rFonts w:ascii="Arial" w:hAnsi="Arial" w:cs="Arial"/>
                <w:sz w:val="20"/>
                <w:szCs w:val="20"/>
              </w:rPr>
            </w:pPr>
          </w:p>
        </w:tc>
        <w:tc>
          <w:tcPr>
            <w:tcW w:w="1630" w:type="dxa"/>
          </w:tcPr>
          <w:p w14:paraId="7CE90974"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By sex</w:t>
            </w:r>
          </w:p>
          <w:p w14:paraId="131CABFE" w14:textId="77777777" w:rsidR="00D12E11" w:rsidRPr="00F7050E" w:rsidRDefault="00D12E11" w:rsidP="00BC7D1B">
            <w:pPr>
              <w:rPr>
                <w:rFonts w:ascii="Arial" w:hAnsi="Arial" w:cs="Arial"/>
                <w:sz w:val="20"/>
                <w:szCs w:val="20"/>
              </w:rPr>
            </w:pPr>
          </w:p>
          <w:p w14:paraId="4DFEE4B2" w14:textId="77777777" w:rsidR="00D12E11" w:rsidRPr="00F7050E" w:rsidRDefault="00D12E11" w:rsidP="00BC7D1B">
            <w:pPr>
              <w:rPr>
                <w:rFonts w:ascii="Arial" w:hAnsi="Arial" w:cs="Arial"/>
                <w:sz w:val="20"/>
                <w:szCs w:val="20"/>
              </w:rPr>
            </w:pPr>
            <w:r w:rsidRPr="00F7050E">
              <w:rPr>
                <w:rFonts w:ascii="Arial" w:hAnsi="Arial" w:cs="Arial"/>
                <w:sz w:val="20"/>
                <w:szCs w:val="20"/>
              </w:rPr>
              <w:t>For age groups 65+, 75+, 80+</w:t>
            </w:r>
          </w:p>
        </w:tc>
        <w:tc>
          <w:tcPr>
            <w:tcW w:w="1772" w:type="dxa"/>
          </w:tcPr>
          <w:p w14:paraId="46986E0F"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r w:rsidRPr="00F7050E">
              <w:rPr>
                <w:rFonts w:ascii="Arial" w:hAnsi="Arial" w:cs="Arial"/>
                <w:color w:val="231F20"/>
                <w:sz w:val="20"/>
                <w:szCs w:val="20"/>
              </w:rPr>
              <w:t xml:space="preserve">Report OS-5) and SORS (demographic estimates by sex </w:t>
            </w:r>
            <w:r w:rsidRPr="00F7050E">
              <w:rPr>
                <w:rFonts w:ascii="Arial" w:hAnsi="Arial" w:cs="Arial"/>
                <w:color w:val="231F20"/>
                <w:sz w:val="20"/>
                <w:szCs w:val="20"/>
              </w:rPr>
              <w:lastRenderedPageBreak/>
              <w:t>and age brackets). Second source: SILC</w:t>
            </w:r>
          </w:p>
        </w:tc>
        <w:tc>
          <w:tcPr>
            <w:tcW w:w="3009" w:type="dxa"/>
          </w:tcPr>
          <w:p w14:paraId="60C316C8" w14:textId="77777777" w:rsidR="00D12E11" w:rsidRPr="00F7050E" w:rsidRDefault="00D12E11" w:rsidP="00BC7D1B">
            <w:pPr>
              <w:widowControl w:val="0"/>
              <w:autoSpaceDE w:val="0"/>
              <w:autoSpaceDN w:val="0"/>
              <w:adjustRightInd w:val="0"/>
              <w:spacing w:before="120"/>
              <w:rPr>
                <w:rFonts w:ascii="Arial" w:hAnsi="Arial" w:cs="Arial"/>
                <w:i/>
                <w:color w:val="231F20"/>
                <w:sz w:val="20"/>
                <w:szCs w:val="20"/>
              </w:rPr>
            </w:pPr>
            <w:r w:rsidRPr="00F7050E">
              <w:rPr>
                <w:rFonts w:ascii="Arial" w:hAnsi="Arial" w:cs="Arial"/>
                <w:i/>
                <w:color w:val="231F20"/>
                <w:sz w:val="20"/>
                <w:szCs w:val="20"/>
              </w:rPr>
              <w:lastRenderedPageBreak/>
              <w:t xml:space="preserve">Calculation needed </w:t>
            </w:r>
          </w:p>
          <w:p w14:paraId="374DCE9F" w14:textId="77777777" w:rsidR="00D12E11" w:rsidRPr="00F7050E" w:rsidRDefault="00D12E11" w:rsidP="00BC7D1B">
            <w:pPr>
              <w:widowControl w:val="0"/>
              <w:autoSpaceDE w:val="0"/>
              <w:autoSpaceDN w:val="0"/>
              <w:adjustRightInd w:val="0"/>
              <w:spacing w:before="120"/>
              <w:rPr>
                <w:rFonts w:ascii="Arial" w:hAnsi="Arial" w:cs="Arial"/>
                <w:sz w:val="20"/>
                <w:szCs w:val="20"/>
              </w:rPr>
            </w:pPr>
            <w:r w:rsidRPr="00F7050E">
              <w:rPr>
                <w:rFonts w:ascii="Arial" w:hAnsi="Arial" w:cs="Arial"/>
                <w:color w:val="231F20"/>
                <w:sz w:val="20"/>
                <w:szCs w:val="20"/>
              </w:rPr>
              <w:t xml:space="preserve">Over the course of previous years, the information provided </w:t>
            </w:r>
            <w:r w:rsidRPr="00F7050E">
              <w:rPr>
                <w:rFonts w:ascii="Arial" w:hAnsi="Arial" w:cs="Arial"/>
                <w:color w:val="231F20"/>
                <w:sz w:val="20"/>
                <w:szCs w:val="20"/>
              </w:rPr>
              <w:lastRenderedPageBreak/>
              <w:t xml:space="preserve">by PDIF, classified by age groups (Report OS-5), was not completely consistent with the total number of pensioners, as reported by PDIF </w:t>
            </w:r>
          </w:p>
        </w:tc>
      </w:tr>
      <w:tr w:rsidR="00D12E11" w:rsidRPr="00F7050E" w14:paraId="3A031262" w14:textId="77777777" w:rsidTr="00BC7D1B">
        <w:trPr>
          <w:trHeight w:val="454"/>
          <w:jc w:val="center"/>
        </w:trPr>
        <w:tc>
          <w:tcPr>
            <w:tcW w:w="534" w:type="dxa"/>
            <w:vAlign w:val="center"/>
          </w:tcPr>
          <w:p w14:paraId="79BBAC52"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lastRenderedPageBreak/>
              <w:t>P</w:t>
            </w:r>
          </w:p>
        </w:tc>
        <w:tc>
          <w:tcPr>
            <w:tcW w:w="2409" w:type="dxa"/>
            <w:vAlign w:val="center"/>
          </w:tcPr>
          <w:p w14:paraId="2FCEB103" w14:textId="77777777" w:rsidR="00D12E11" w:rsidRPr="00F7050E" w:rsidRDefault="00D12E11" w:rsidP="00BC7D1B">
            <w:pPr>
              <w:widowControl w:val="0"/>
              <w:autoSpaceDE w:val="0"/>
              <w:autoSpaceDN w:val="0"/>
              <w:adjustRightInd w:val="0"/>
              <w:rPr>
                <w:rFonts w:ascii="Arial" w:hAnsi="Arial" w:cs="Arial"/>
                <w:sz w:val="20"/>
                <w:szCs w:val="20"/>
              </w:rPr>
            </w:pPr>
            <w:r w:rsidRPr="00F7050E">
              <w:rPr>
                <w:rFonts w:ascii="Arial" w:hAnsi="Arial" w:cs="Arial"/>
                <w:sz w:val="20"/>
                <w:szCs w:val="20"/>
              </w:rPr>
              <w:t xml:space="preserve">Gender Gap in non-coverage rate </w:t>
            </w:r>
          </w:p>
          <w:p w14:paraId="2769973C" w14:textId="77777777" w:rsidR="00D12E11" w:rsidRPr="00F7050E" w:rsidRDefault="00D12E11" w:rsidP="00BC7D1B">
            <w:pPr>
              <w:widowControl w:val="0"/>
              <w:autoSpaceDE w:val="0"/>
              <w:autoSpaceDN w:val="0"/>
              <w:adjustRightInd w:val="0"/>
              <w:rPr>
                <w:rFonts w:ascii="Arial" w:hAnsi="Arial" w:cs="Arial"/>
                <w:b/>
                <w:sz w:val="20"/>
                <w:szCs w:val="20"/>
              </w:rPr>
            </w:pPr>
          </w:p>
        </w:tc>
        <w:tc>
          <w:tcPr>
            <w:tcW w:w="1772" w:type="dxa"/>
            <w:vAlign w:val="center"/>
          </w:tcPr>
          <w:p w14:paraId="18DB95CB"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3B0E3AAE" w14:textId="77777777" w:rsidR="00D12E11" w:rsidRPr="00F7050E" w:rsidRDefault="00D12E11" w:rsidP="00BC7D1B">
            <w:pPr>
              <w:rPr>
                <w:rFonts w:ascii="Arial" w:hAnsi="Arial" w:cs="Arial"/>
                <w:sz w:val="20"/>
                <w:szCs w:val="20"/>
              </w:rPr>
            </w:pPr>
          </w:p>
          <w:p w14:paraId="2BEDE5F3" w14:textId="77777777" w:rsidR="00D12E11" w:rsidRPr="00F7050E" w:rsidRDefault="00D12E11" w:rsidP="00BC7D1B">
            <w:pPr>
              <w:rPr>
                <w:rFonts w:ascii="Arial" w:hAnsi="Arial" w:cs="Arial"/>
                <w:b/>
                <w:sz w:val="20"/>
                <w:szCs w:val="20"/>
              </w:rPr>
            </w:pPr>
            <w:r w:rsidRPr="00F7050E">
              <w:rPr>
                <w:rFonts w:ascii="Arial" w:hAnsi="Arial" w:cs="Arial"/>
                <w:sz w:val="20"/>
                <w:szCs w:val="20"/>
              </w:rPr>
              <w:t>(Pension adequacy report)</w:t>
            </w:r>
          </w:p>
        </w:tc>
        <w:tc>
          <w:tcPr>
            <w:tcW w:w="2906" w:type="dxa"/>
            <w:vAlign w:val="center"/>
          </w:tcPr>
          <w:p w14:paraId="609B72B8" w14:textId="77777777" w:rsidR="00D12E11" w:rsidRPr="00F7050E" w:rsidRDefault="00D12E11" w:rsidP="00BC7D1B">
            <w:pPr>
              <w:rPr>
                <w:rFonts w:ascii="Arial" w:hAnsi="Arial" w:cs="Arial"/>
                <w:b/>
                <w:sz w:val="20"/>
                <w:szCs w:val="20"/>
              </w:rPr>
            </w:pPr>
            <w:r w:rsidRPr="00F7050E">
              <w:rPr>
                <w:rFonts w:ascii="Arial" w:hAnsi="Arial" w:cs="Arial"/>
                <w:sz w:val="20"/>
                <w:szCs w:val="20"/>
              </w:rPr>
              <w:t xml:space="preserve">Participation of male pensioners above the mandatory retirement limit relative to the male population above the mandatory retirement limit minus the participation of female pensioners above the mandatory retirement limit relative to the female population above the mandatory retirement limit </w:t>
            </w:r>
          </w:p>
        </w:tc>
        <w:tc>
          <w:tcPr>
            <w:tcW w:w="1630" w:type="dxa"/>
            <w:vAlign w:val="center"/>
          </w:tcPr>
          <w:p w14:paraId="468CD5B5" w14:textId="77777777" w:rsidR="00D12E11" w:rsidRPr="00F7050E" w:rsidRDefault="00D12E11" w:rsidP="00BC7D1B">
            <w:pPr>
              <w:rPr>
                <w:rFonts w:ascii="Arial" w:hAnsi="Arial" w:cs="Arial"/>
                <w:b/>
                <w:sz w:val="20"/>
                <w:szCs w:val="20"/>
              </w:rPr>
            </w:pPr>
          </w:p>
        </w:tc>
        <w:tc>
          <w:tcPr>
            <w:tcW w:w="1772" w:type="dxa"/>
            <w:vAlign w:val="center"/>
          </w:tcPr>
          <w:p w14:paraId="23EF6AEE"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r w:rsidRPr="00F7050E">
              <w:rPr>
                <w:rFonts w:ascii="Arial" w:hAnsi="Arial" w:cs="Arial"/>
                <w:color w:val="231F20"/>
                <w:sz w:val="20"/>
                <w:szCs w:val="20"/>
              </w:rPr>
              <w:t>Report OS-5) and SORS (demographic estimates by sex and age brackets). Second source: SILC</w:t>
            </w:r>
          </w:p>
        </w:tc>
        <w:tc>
          <w:tcPr>
            <w:tcW w:w="3009" w:type="dxa"/>
            <w:vAlign w:val="center"/>
          </w:tcPr>
          <w:p w14:paraId="32E5EEB3"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Idem</w:t>
            </w:r>
          </w:p>
        </w:tc>
      </w:tr>
      <w:tr w:rsidR="00D12E11" w:rsidRPr="00F7050E" w14:paraId="4F4A95A3" w14:textId="77777777" w:rsidTr="00BC7D1B">
        <w:trPr>
          <w:trHeight w:val="454"/>
          <w:jc w:val="center"/>
        </w:trPr>
        <w:tc>
          <w:tcPr>
            <w:tcW w:w="534" w:type="dxa"/>
            <w:vAlign w:val="center"/>
          </w:tcPr>
          <w:p w14:paraId="22E50CC6"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vAlign w:val="center"/>
          </w:tcPr>
          <w:p w14:paraId="4827D33C" w14:textId="77777777" w:rsidR="00D12E11" w:rsidRPr="00F7050E" w:rsidRDefault="00D12E11" w:rsidP="00BC7D1B">
            <w:pPr>
              <w:rPr>
                <w:rFonts w:ascii="Arial" w:hAnsi="Arial" w:cs="Arial"/>
                <w:bCs/>
                <w:sz w:val="20"/>
                <w:szCs w:val="20"/>
              </w:rPr>
            </w:pPr>
            <w:r w:rsidRPr="00F7050E">
              <w:rPr>
                <w:rFonts w:ascii="Arial" w:hAnsi="Arial" w:cs="Arial"/>
                <w:bCs/>
                <w:sz w:val="20"/>
                <w:szCs w:val="20"/>
              </w:rPr>
              <w:t>Total number of pensioners</w:t>
            </w:r>
          </w:p>
        </w:tc>
        <w:tc>
          <w:tcPr>
            <w:tcW w:w="1772" w:type="dxa"/>
            <w:vAlign w:val="center"/>
          </w:tcPr>
          <w:p w14:paraId="3ADF6D54"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287202C3" w14:textId="77777777" w:rsidR="00D12E11" w:rsidRPr="00F7050E" w:rsidRDefault="00D12E11" w:rsidP="00BC7D1B">
            <w:pPr>
              <w:rPr>
                <w:rFonts w:ascii="Arial" w:hAnsi="Arial" w:cs="Arial"/>
                <w:i/>
                <w:sz w:val="20"/>
                <w:szCs w:val="20"/>
              </w:rPr>
            </w:pPr>
          </w:p>
        </w:tc>
        <w:tc>
          <w:tcPr>
            <w:tcW w:w="2906" w:type="dxa"/>
            <w:vAlign w:val="center"/>
          </w:tcPr>
          <w:p w14:paraId="38E0C51D" w14:textId="77777777" w:rsidR="00D12E11" w:rsidRPr="00F7050E" w:rsidRDefault="00D12E11" w:rsidP="00BC7D1B">
            <w:pPr>
              <w:rPr>
                <w:rFonts w:ascii="Arial" w:hAnsi="Arial" w:cs="Arial"/>
                <w:sz w:val="20"/>
                <w:szCs w:val="20"/>
              </w:rPr>
            </w:pPr>
          </w:p>
        </w:tc>
        <w:tc>
          <w:tcPr>
            <w:tcW w:w="1630" w:type="dxa"/>
            <w:vAlign w:val="center"/>
          </w:tcPr>
          <w:p w14:paraId="21F6ADF2" w14:textId="77777777" w:rsidR="00D12E11" w:rsidRPr="00F7050E" w:rsidRDefault="00D12E11" w:rsidP="00BC7D1B">
            <w:pPr>
              <w:rPr>
                <w:rFonts w:ascii="Arial" w:hAnsi="Arial" w:cs="Arial"/>
                <w:sz w:val="20"/>
                <w:szCs w:val="20"/>
              </w:rPr>
            </w:pPr>
          </w:p>
        </w:tc>
        <w:tc>
          <w:tcPr>
            <w:tcW w:w="1772" w:type="dxa"/>
            <w:vAlign w:val="center"/>
          </w:tcPr>
          <w:p w14:paraId="0F7BF08A"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p>
          <w:p w14:paraId="20C78685" w14:textId="77777777" w:rsidR="00D12E11" w:rsidRPr="00F7050E" w:rsidRDefault="00D12E11" w:rsidP="00BC7D1B">
            <w:pPr>
              <w:rPr>
                <w:rFonts w:ascii="Arial" w:hAnsi="Arial" w:cs="Arial"/>
                <w:i/>
                <w:sz w:val="20"/>
                <w:szCs w:val="20"/>
              </w:rPr>
            </w:pPr>
            <w:r w:rsidRPr="00F7050E">
              <w:rPr>
                <w:rFonts w:ascii="Arial" w:hAnsi="Arial" w:cs="Arial"/>
                <w:i/>
                <w:sz w:val="20"/>
                <w:szCs w:val="20"/>
              </w:rPr>
              <w:t>(End of year, annual average)</w:t>
            </w:r>
          </w:p>
        </w:tc>
        <w:tc>
          <w:tcPr>
            <w:tcW w:w="3009" w:type="dxa"/>
            <w:vAlign w:val="center"/>
          </w:tcPr>
          <w:p w14:paraId="2180727C"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xml:space="preserve"> Annual Bulletin</w:t>
            </w:r>
          </w:p>
          <w:p w14:paraId="57B4D48A" w14:textId="77777777" w:rsidR="00D12E11" w:rsidRPr="00F7050E" w:rsidRDefault="00D12E11" w:rsidP="00BC7D1B">
            <w:pPr>
              <w:rPr>
                <w:rFonts w:ascii="Arial" w:hAnsi="Arial" w:cs="Arial"/>
                <w:sz w:val="20"/>
                <w:szCs w:val="20"/>
              </w:rPr>
            </w:pPr>
            <w:r w:rsidRPr="00F7050E">
              <w:rPr>
                <w:rFonts w:ascii="Arial" w:hAnsi="Arial" w:cs="Arial"/>
                <w:sz w:val="20"/>
                <w:szCs w:val="20"/>
              </w:rPr>
              <w:t>PDIF publishes information indicating the factual situation on December 31st. It would be beneficial if information regarding the annual average were also published</w:t>
            </w:r>
          </w:p>
        </w:tc>
      </w:tr>
      <w:tr w:rsidR="00D12E11" w:rsidRPr="00F7050E" w14:paraId="14F3A1FD" w14:textId="77777777" w:rsidTr="00BC7D1B">
        <w:trPr>
          <w:trHeight w:val="454"/>
          <w:jc w:val="center"/>
        </w:trPr>
        <w:tc>
          <w:tcPr>
            <w:tcW w:w="534" w:type="dxa"/>
            <w:tcBorders>
              <w:bottom w:val="single" w:sz="4" w:space="0" w:color="000000"/>
            </w:tcBorders>
            <w:vAlign w:val="center"/>
          </w:tcPr>
          <w:p w14:paraId="7B5B7071"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tcBorders>
              <w:bottom w:val="single" w:sz="4" w:space="0" w:color="000000"/>
            </w:tcBorders>
            <w:vAlign w:val="center"/>
          </w:tcPr>
          <w:p w14:paraId="7DF5A445"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 xml:space="preserve">Structure of beneficiaries by pension type </w:t>
            </w:r>
          </w:p>
        </w:tc>
        <w:tc>
          <w:tcPr>
            <w:tcW w:w="1772" w:type="dxa"/>
            <w:tcBorders>
              <w:bottom w:val="single" w:sz="4" w:space="0" w:color="000000"/>
            </w:tcBorders>
            <w:vAlign w:val="center"/>
          </w:tcPr>
          <w:p w14:paraId="53ABE9C5" w14:textId="77777777" w:rsidR="00D12E11" w:rsidRPr="00F7050E" w:rsidRDefault="00D12E11" w:rsidP="00BC7D1B">
            <w:pPr>
              <w:framePr w:hSpace="180" w:wrap="around" w:vAnchor="page" w:hAnchor="margin" w:x="-459" w:y="615"/>
              <w:rPr>
                <w:rFonts w:ascii="Arial" w:hAnsi="Arial" w:cs="Arial"/>
                <w:sz w:val="20"/>
                <w:szCs w:val="20"/>
              </w:rPr>
            </w:pPr>
          </w:p>
          <w:p w14:paraId="05340A67"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387FD11C" w14:textId="77777777" w:rsidR="00D12E11" w:rsidRPr="00F7050E" w:rsidRDefault="00D12E11" w:rsidP="00BC7D1B">
            <w:pPr>
              <w:framePr w:hSpace="180" w:wrap="around" w:vAnchor="page" w:hAnchor="margin" w:x="-459" w:y="615"/>
              <w:rPr>
                <w:rFonts w:ascii="Arial" w:hAnsi="Arial" w:cs="Arial"/>
                <w:i/>
                <w:sz w:val="20"/>
                <w:szCs w:val="20"/>
              </w:rPr>
            </w:pPr>
          </w:p>
        </w:tc>
        <w:tc>
          <w:tcPr>
            <w:tcW w:w="2906" w:type="dxa"/>
            <w:tcBorders>
              <w:bottom w:val="single" w:sz="4" w:space="0" w:color="000000"/>
            </w:tcBorders>
            <w:vAlign w:val="center"/>
          </w:tcPr>
          <w:p w14:paraId="1A85E1C9"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Old age, disability, survivors', </w:t>
            </w:r>
            <w:r w:rsidRPr="00F7050E">
              <w:rPr>
                <w:rFonts w:ascii="Arial" w:hAnsi="Arial" w:cs="Arial"/>
                <w:bCs/>
                <w:sz w:val="20"/>
                <w:szCs w:val="20"/>
                <w:lang w:val="en-GB"/>
              </w:rPr>
              <w:t>accelerated retirement scheme pensions</w:t>
            </w:r>
            <w:r w:rsidRPr="00F7050E">
              <w:rPr>
                <w:rFonts w:ascii="Arial" w:hAnsi="Arial" w:cs="Arial"/>
                <w:sz w:val="20"/>
                <w:szCs w:val="20"/>
                <w:lang w:val="en-GB"/>
              </w:rPr>
              <w:t xml:space="preserve">/according to special regulations </w:t>
            </w:r>
          </w:p>
        </w:tc>
        <w:tc>
          <w:tcPr>
            <w:tcW w:w="1630" w:type="dxa"/>
            <w:tcBorders>
              <w:bottom w:val="single" w:sz="4" w:space="0" w:color="000000"/>
            </w:tcBorders>
            <w:vAlign w:val="center"/>
          </w:tcPr>
          <w:p w14:paraId="1D33A1DB" w14:textId="77777777" w:rsidR="00D12E11" w:rsidRPr="00F7050E" w:rsidRDefault="00D12E11" w:rsidP="00BC7D1B">
            <w:pPr>
              <w:pStyle w:val="Default"/>
              <w:rPr>
                <w:rFonts w:ascii="Arial" w:hAnsi="Arial" w:cs="Arial"/>
                <w:sz w:val="20"/>
                <w:szCs w:val="20"/>
                <w:highlight w:val="yellow"/>
                <w:lang w:val="en-GB"/>
              </w:rPr>
            </w:pPr>
            <w:r w:rsidRPr="00F7050E">
              <w:rPr>
                <w:rFonts w:ascii="Arial" w:hAnsi="Arial" w:cs="Arial"/>
                <w:sz w:val="20"/>
                <w:szCs w:val="20"/>
                <w:lang w:val="en-GB"/>
              </w:rPr>
              <w:t xml:space="preserve">By type of coverage (employees, </w:t>
            </w:r>
          </w:p>
          <w:p w14:paraId="60D50D1F"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self-employed, farmers)</w:t>
            </w:r>
          </w:p>
          <w:p w14:paraId="686551CD" w14:textId="77777777" w:rsidR="00D12E11" w:rsidRPr="00F7050E" w:rsidRDefault="00D12E11" w:rsidP="00BC7D1B">
            <w:pPr>
              <w:pStyle w:val="Default"/>
              <w:rPr>
                <w:rFonts w:ascii="Arial" w:hAnsi="Arial" w:cs="Arial"/>
                <w:sz w:val="20"/>
                <w:szCs w:val="20"/>
                <w:lang w:val="en-GB"/>
              </w:rPr>
            </w:pPr>
          </w:p>
        </w:tc>
        <w:tc>
          <w:tcPr>
            <w:tcW w:w="1772" w:type="dxa"/>
            <w:tcBorders>
              <w:bottom w:val="single" w:sz="4" w:space="0" w:color="000000"/>
            </w:tcBorders>
            <w:vAlign w:val="center"/>
          </w:tcPr>
          <w:p w14:paraId="120002C3"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p>
          <w:p w14:paraId="2576ABCA" w14:textId="77777777" w:rsidR="00D12E11" w:rsidRPr="00F7050E" w:rsidRDefault="00D12E11" w:rsidP="00BC7D1B">
            <w:pPr>
              <w:rPr>
                <w:rFonts w:ascii="Arial" w:hAnsi="Arial" w:cs="Arial"/>
                <w:sz w:val="20"/>
                <w:szCs w:val="20"/>
              </w:rPr>
            </w:pPr>
          </w:p>
          <w:p w14:paraId="54A919A8" w14:textId="77777777" w:rsidR="00D12E11" w:rsidRPr="00F7050E" w:rsidRDefault="00D12E11" w:rsidP="00BC7D1B">
            <w:pPr>
              <w:rPr>
                <w:rFonts w:ascii="Arial" w:hAnsi="Arial" w:cs="Arial"/>
                <w:sz w:val="20"/>
                <w:szCs w:val="20"/>
              </w:rPr>
            </w:pPr>
            <w:r w:rsidRPr="00F7050E">
              <w:rPr>
                <w:rFonts w:ascii="Arial" w:hAnsi="Arial" w:cs="Arial"/>
                <w:i/>
                <w:sz w:val="20"/>
                <w:szCs w:val="20"/>
              </w:rPr>
              <w:t>(end of year, annual average)</w:t>
            </w:r>
          </w:p>
        </w:tc>
        <w:tc>
          <w:tcPr>
            <w:tcW w:w="3009" w:type="dxa"/>
            <w:tcBorders>
              <w:bottom w:val="single" w:sz="4" w:space="0" w:color="000000"/>
            </w:tcBorders>
            <w:vAlign w:val="center"/>
          </w:tcPr>
          <w:p w14:paraId="764A217D"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Idem</w:t>
            </w:r>
          </w:p>
        </w:tc>
      </w:tr>
      <w:tr w:rsidR="00D12E11" w:rsidRPr="00F7050E" w14:paraId="0BB3A278" w14:textId="77777777" w:rsidTr="00BC7D1B">
        <w:trPr>
          <w:trHeight w:val="454"/>
          <w:jc w:val="center"/>
        </w:trPr>
        <w:tc>
          <w:tcPr>
            <w:tcW w:w="534" w:type="dxa"/>
            <w:vAlign w:val="center"/>
          </w:tcPr>
          <w:p w14:paraId="619A17D6"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vAlign w:val="center"/>
          </w:tcPr>
          <w:p w14:paraId="6F915E08" w14:textId="77777777" w:rsidR="00D12E11" w:rsidRPr="00F7050E" w:rsidRDefault="00D12E11" w:rsidP="00BC7D1B">
            <w:pPr>
              <w:rPr>
                <w:rFonts w:ascii="Arial" w:hAnsi="Arial" w:cs="Arial"/>
                <w:bCs/>
                <w:sz w:val="20"/>
                <w:szCs w:val="20"/>
                <w:highlight w:val="green"/>
              </w:rPr>
            </w:pPr>
            <w:r w:rsidRPr="00F7050E">
              <w:rPr>
                <w:rFonts w:ascii="Arial" w:hAnsi="Arial" w:cs="Arial"/>
                <w:bCs/>
                <w:sz w:val="20"/>
                <w:szCs w:val="20"/>
              </w:rPr>
              <w:t>Share of pensioners with 40+ years  of service</w:t>
            </w:r>
          </w:p>
        </w:tc>
        <w:tc>
          <w:tcPr>
            <w:tcW w:w="1772" w:type="dxa"/>
            <w:vAlign w:val="center"/>
          </w:tcPr>
          <w:p w14:paraId="36D14B53"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164370B8" w14:textId="77777777" w:rsidR="00D12E11" w:rsidRPr="00F7050E" w:rsidRDefault="00D12E11" w:rsidP="00BC7D1B">
            <w:pPr>
              <w:rPr>
                <w:rFonts w:ascii="Arial" w:hAnsi="Arial" w:cs="Arial"/>
                <w:i/>
                <w:sz w:val="20"/>
                <w:szCs w:val="20"/>
              </w:rPr>
            </w:pPr>
          </w:p>
        </w:tc>
        <w:tc>
          <w:tcPr>
            <w:tcW w:w="2906" w:type="dxa"/>
            <w:vAlign w:val="center"/>
          </w:tcPr>
          <w:p w14:paraId="3447F3D9" w14:textId="77777777" w:rsidR="00D12E11" w:rsidRPr="00F7050E" w:rsidRDefault="00D12E11" w:rsidP="00BC7D1B">
            <w:pPr>
              <w:rPr>
                <w:rFonts w:ascii="Arial" w:hAnsi="Arial" w:cs="Arial"/>
                <w:sz w:val="20"/>
                <w:szCs w:val="20"/>
              </w:rPr>
            </w:pPr>
          </w:p>
        </w:tc>
        <w:tc>
          <w:tcPr>
            <w:tcW w:w="1630" w:type="dxa"/>
            <w:vAlign w:val="center"/>
          </w:tcPr>
          <w:p w14:paraId="47629DBB" w14:textId="77777777" w:rsidR="00D12E11" w:rsidRPr="00F7050E" w:rsidRDefault="00D12E11" w:rsidP="00BC7D1B">
            <w:pPr>
              <w:rPr>
                <w:rFonts w:ascii="Arial" w:hAnsi="Arial" w:cs="Arial"/>
                <w:sz w:val="20"/>
                <w:szCs w:val="20"/>
              </w:rPr>
            </w:pPr>
          </w:p>
        </w:tc>
        <w:tc>
          <w:tcPr>
            <w:tcW w:w="1772" w:type="dxa"/>
            <w:vAlign w:val="center"/>
          </w:tcPr>
          <w:p w14:paraId="2D49D6DE"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PDIF </w:t>
            </w:r>
          </w:p>
        </w:tc>
        <w:tc>
          <w:tcPr>
            <w:tcW w:w="3009" w:type="dxa"/>
            <w:vAlign w:val="center"/>
          </w:tcPr>
          <w:p w14:paraId="04C4C484" w14:textId="77777777" w:rsidR="00D12E11" w:rsidRPr="00F7050E" w:rsidRDefault="00D12E11" w:rsidP="00BC7D1B">
            <w:pPr>
              <w:spacing w:after="120"/>
              <w:rPr>
                <w:rFonts w:ascii="Arial" w:hAnsi="Arial" w:cs="Arial"/>
                <w:i/>
                <w:sz w:val="20"/>
                <w:szCs w:val="20"/>
              </w:rPr>
            </w:pPr>
          </w:p>
        </w:tc>
      </w:tr>
      <w:tr w:rsidR="00D12E11" w:rsidRPr="00F7050E" w14:paraId="0448DDD4" w14:textId="77777777" w:rsidTr="00BC7D1B">
        <w:trPr>
          <w:trHeight w:val="454"/>
          <w:jc w:val="center"/>
        </w:trPr>
        <w:tc>
          <w:tcPr>
            <w:tcW w:w="534" w:type="dxa"/>
            <w:vAlign w:val="center"/>
          </w:tcPr>
          <w:p w14:paraId="056C9703"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vAlign w:val="center"/>
          </w:tcPr>
          <w:p w14:paraId="31E9F128" w14:textId="77777777" w:rsidR="00D12E11" w:rsidRPr="00F7050E" w:rsidRDefault="00D12E11" w:rsidP="00BC7D1B">
            <w:pPr>
              <w:rPr>
                <w:rFonts w:ascii="Arial" w:hAnsi="Arial" w:cs="Arial"/>
                <w:bCs/>
                <w:sz w:val="20"/>
                <w:szCs w:val="20"/>
                <w:highlight w:val="green"/>
              </w:rPr>
            </w:pPr>
            <w:r w:rsidRPr="00F7050E">
              <w:rPr>
                <w:rFonts w:ascii="Arial" w:hAnsi="Arial" w:cs="Arial"/>
                <w:bCs/>
                <w:sz w:val="20"/>
                <w:szCs w:val="20"/>
              </w:rPr>
              <w:t xml:space="preserve">Composition of survivors' pensions beneficiaries </w:t>
            </w:r>
          </w:p>
        </w:tc>
        <w:tc>
          <w:tcPr>
            <w:tcW w:w="1772" w:type="dxa"/>
            <w:vAlign w:val="center"/>
          </w:tcPr>
          <w:p w14:paraId="76D565AB"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73AA3EAA" w14:textId="77777777" w:rsidR="00D12E11" w:rsidRPr="00F7050E" w:rsidRDefault="00D12E11" w:rsidP="00BC7D1B">
            <w:pPr>
              <w:rPr>
                <w:rFonts w:ascii="Arial" w:hAnsi="Arial" w:cs="Arial"/>
                <w:sz w:val="20"/>
                <w:szCs w:val="20"/>
              </w:rPr>
            </w:pPr>
          </w:p>
        </w:tc>
        <w:tc>
          <w:tcPr>
            <w:tcW w:w="2906" w:type="dxa"/>
            <w:vAlign w:val="center"/>
          </w:tcPr>
          <w:p w14:paraId="6532EF2D" w14:textId="77777777" w:rsidR="00D12E11" w:rsidRPr="00F7050E" w:rsidRDefault="00D12E11" w:rsidP="00BC7D1B">
            <w:pPr>
              <w:rPr>
                <w:rFonts w:ascii="Arial" w:hAnsi="Arial" w:cs="Arial"/>
                <w:sz w:val="20"/>
                <w:szCs w:val="20"/>
              </w:rPr>
            </w:pPr>
          </w:p>
        </w:tc>
        <w:tc>
          <w:tcPr>
            <w:tcW w:w="1630" w:type="dxa"/>
            <w:vAlign w:val="center"/>
          </w:tcPr>
          <w:p w14:paraId="6E0E6F15"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By number of beneficiaries, children beneficiaries </w:t>
            </w:r>
          </w:p>
        </w:tc>
        <w:tc>
          <w:tcPr>
            <w:tcW w:w="1772" w:type="dxa"/>
            <w:vAlign w:val="center"/>
          </w:tcPr>
          <w:p w14:paraId="3AC85B63"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PDIF </w:t>
            </w:r>
          </w:p>
        </w:tc>
        <w:tc>
          <w:tcPr>
            <w:tcW w:w="3009" w:type="dxa"/>
            <w:vAlign w:val="center"/>
          </w:tcPr>
          <w:p w14:paraId="3366A807"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xml:space="preserve">, additional processing needed </w:t>
            </w:r>
          </w:p>
        </w:tc>
      </w:tr>
      <w:tr w:rsidR="00D12E11" w:rsidRPr="00F7050E" w14:paraId="2051180C" w14:textId="77777777" w:rsidTr="00BC7D1B">
        <w:trPr>
          <w:trHeight w:val="454"/>
          <w:jc w:val="center"/>
        </w:trPr>
        <w:tc>
          <w:tcPr>
            <w:tcW w:w="534" w:type="dxa"/>
            <w:vAlign w:val="center"/>
          </w:tcPr>
          <w:p w14:paraId="7A72B3DA"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lastRenderedPageBreak/>
              <w:t>S</w:t>
            </w:r>
          </w:p>
        </w:tc>
        <w:tc>
          <w:tcPr>
            <w:tcW w:w="2409" w:type="dxa"/>
            <w:vAlign w:val="center"/>
          </w:tcPr>
          <w:p w14:paraId="1D6AA7FC" w14:textId="77777777" w:rsidR="00D12E11" w:rsidRPr="00F7050E" w:rsidRDefault="00D12E11" w:rsidP="00BC7D1B">
            <w:pPr>
              <w:rPr>
                <w:rFonts w:ascii="Arial" w:hAnsi="Arial" w:cs="Arial"/>
                <w:bCs/>
                <w:sz w:val="20"/>
                <w:szCs w:val="20"/>
              </w:rPr>
            </w:pPr>
            <w:r w:rsidRPr="00F7050E">
              <w:rPr>
                <w:rFonts w:ascii="Arial" w:hAnsi="Arial" w:cs="Arial"/>
                <w:bCs/>
                <w:sz w:val="20"/>
                <w:szCs w:val="20"/>
              </w:rPr>
              <w:t>Number of pensioners (percentage of total population)</w:t>
            </w:r>
          </w:p>
        </w:tc>
        <w:tc>
          <w:tcPr>
            <w:tcW w:w="1772" w:type="dxa"/>
            <w:vAlign w:val="center"/>
          </w:tcPr>
          <w:p w14:paraId="1FBB36B5"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6C2E6E28" w14:textId="77777777" w:rsidR="00D12E11" w:rsidRPr="00F7050E" w:rsidRDefault="00D12E11" w:rsidP="00BC7D1B">
            <w:pPr>
              <w:rPr>
                <w:rFonts w:ascii="Arial" w:hAnsi="Arial" w:cs="Arial"/>
                <w:sz w:val="20"/>
                <w:szCs w:val="20"/>
              </w:rPr>
            </w:pPr>
          </w:p>
        </w:tc>
        <w:tc>
          <w:tcPr>
            <w:tcW w:w="2906" w:type="dxa"/>
            <w:vAlign w:val="center"/>
          </w:tcPr>
          <w:p w14:paraId="4C44DB68"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Total number of pensioners/total population (in the same year)         </w:t>
            </w:r>
          </w:p>
        </w:tc>
        <w:tc>
          <w:tcPr>
            <w:tcW w:w="1630" w:type="dxa"/>
            <w:vAlign w:val="center"/>
          </w:tcPr>
          <w:p w14:paraId="08A20DC2" w14:textId="77777777" w:rsidR="00D12E11" w:rsidRPr="00F7050E" w:rsidRDefault="00D12E11" w:rsidP="00BC7D1B">
            <w:pPr>
              <w:rPr>
                <w:rFonts w:ascii="Arial" w:hAnsi="Arial" w:cs="Arial"/>
                <w:sz w:val="20"/>
                <w:szCs w:val="20"/>
              </w:rPr>
            </w:pPr>
          </w:p>
        </w:tc>
        <w:tc>
          <w:tcPr>
            <w:tcW w:w="1772" w:type="dxa"/>
            <w:vAlign w:val="center"/>
          </w:tcPr>
          <w:p w14:paraId="4BF6914F" w14:textId="77777777" w:rsidR="00D12E11" w:rsidRPr="00F7050E" w:rsidRDefault="00D12E11" w:rsidP="00BC7D1B">
            <w:pPr>
              <w:rPr>
                <w:rFonts w:ascii="Arial" w:hAnsi="Arial" w:cs="Arial"/>
                <w:sz w:val="20"/>
                <w:szCs w:val="20"/>
              </w:rPr>
            </w:pPr>
            <w:r w:rsidRPr="00F7050E">
              <w:rPr>
                <w:rFonts w:ascii="Arial" w:hAnsi="Arial" w:cs="Arial"/>
                <w:sz w:val="20"/>
                <w:szCs w:val="20"/>
              </w:rPr>
              <w:t>PDIF and SORS</w:t>
            </w:r>
          </w:p>
        </w:tc>
        <w:tc>
          <w:tcPr>
            <w:tcW w:w="3009" w:type="dxa"/>
            <w:vAlign w:val="center"/>
          </w:tcPr>
          <w:p w14:paraId="4D3168A1" w14:textId="77777777" w:rsidR="00D12E11" w:rsidRPr="00F7050E" w:rsidRDefault="00D12E11" w:rsidP="00BC7D1B">
            <w:pPr>
              <w:spacing w:after="120"/>
              <w:rPr>
                <w:rFonts w:ascii="Arial" w:hAnsi="Arial" w:cs="Arial"/>
                <w:i/>
                <w:sz w:val="20"/>
                <w:szCs w:val="20"/>
              </w:rPr>
            </w:pPr>
            <w:r w:rsidRPr="00F7050E">
              <w:rPr>
                <w:rFonts w:ascii="Arial" w:hAnsi="Arial" w:cs="Arial"/>
                <w:i/>
                <w:sz w:val="20"/>
                <w:szCs w:val="20"/>
              </w:rPr>
              <w:t>Calculation needed</w:t>
            </w:r>
          </w:p>
          <w:p w14:paraId="7B87B5A9" w14:textId="77777777" w:rsidR="00D12E11" w:rsidRPr="00F7050E" w:rsidRDefault="00D12E11" w:rsidP="00BC7D1B">
            <w:pPr>
              <w:rPr>
                <w:rFonts w:ascii="Arial" w:hAnsi="Arial" w:cs="Arial"/>
                <w:sz w:val="20"/>
                <w:szCs w:val="20"/>
                <w:highlight w:val="yellow"/>
              </w:rPr>
            </w:pPr>
            <w:r w:rsidRPr="00F7050E">
              <w:rPr>
                <w:rFonts w:ascii="Arial" w:hAnsi="Arial" w:cs="Arial"/>
                <w:sz w:val="20"/>
                <w:szCs w:val="20"/>
              </w:rPr>
              <w:t>PDIF current data indicate the factual situation at the end of the year, and demographic data indicate the  annual average</w:t>
            </w:r>
          </w:p>
        </w:tc>
      </w:tr>
      <w:tr w:rsidR="00D12E11" w:rsidRPr="00F7050E" w14:paraId="6E2C4929" w14:textId="77777777" w:rsidTr="00BC7D1B">
        <w:trPr>
          <w:trHeight w:val="454"/>
          <w:jc w:val="center"/>
        </w:trPr>
        <w:tc>
          <w:tcPr>
            <w:tcW w:w="534" w:type="dxa"/>
            <w:vAlign w:val="center"/>
          </w:tcPr>
          <w:p w14:paraId="62143D61"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vAlign w:val="center"/>
          </w:tcPr>
          <w:p w14:paraId="3D8394D8" w14:textId="77777777" w:rsidR="00D12E11" w:rsidRPr="00F7050E" w:rsidRDefault="00D12E11" w:rsidP="00BC7D1B">
            <w:pPr>
              <w:pStyle w:val="Default"/>
              <w:spacing w:before="120"/>
              <w:rPr>
                <w:rFonts w:ascii="Arial" w:hAnsi="Arial" w:cs="Arial"/>
                <w:sz w:val="20"/>
                <w:szCs w:val="20"/>
                <w:lang w:val="en-GB"/>
              </w:rPr>
            </w:pPr>
            <w:r w:rsidRPr="00F7050E">
              <w:rPr>
                <w:rFonts w:ascii="Arial" w:hAnsi="Arial" w:cs="Arial"/>
                <w:sz w:val="20"/>
                <w:szCs w:val="20"/>
                <w:lang w:val="en-GB"/>
              </w:rPr>
              <w:t xml:space="preserve">Coverage of working population/labour force with PDIF </w:t>
            </w:r>
          </w:p>
        </w:tc>
        <w:tc>
          <w:tcPr>
            <w:tcW w:w="1772" w:type="dxa"/>
            <w:vAlign w:val="center"/>
          </w:tcPr>
          <w:p w14:paraId="7BF1FDCE" w14:textId="77777777" w:rsidR="00D12E11" w:rsidRPr="00F7050E" w:rsidRDefault="00D12E11" w:rsidP="00BC7D1B">
            <w:pPr>
              <w:rPr>
                <w:rFonts w:ascii="Arial" w:hAnsi="Arial" w:cs="Arial"/>
                <w:sz w:val="20"/>
                <w:szCs w:val="20"/>
              </w:rPr>
            </w:pPr>
          </w:p>
          <w:p w14:paraId="0DA2B1CA"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358B3FDE" w14:textId="77777777" w:rsidR="00D12E11" w:rsidRPr="00F7050E" w:rsidRDefault="00D12E11" w:rsidP="00BC7D1B">
            <w:pPr>
              <w:rPr>
                <w:rFonts w:ascii="Arial" w:hAnsi="Arial" w:cs="Arial"/>
                <w:i/>
                <w:sz w:val="20"/>
                <w:szCs w:val="20"/>
              </w:rPr>
            </w:pPr>
          </w:p>
        </w:tc>
        <w:tc>
          <w:tcPr>
            <w:tcW w:w="2906" w:type="dxa"/>
            <w:vAlign w:val="center"/>
          </w:tcPr>
          <w:p w14:paraId="3A1DE4F1" w14:textId="77777777" w:rsidR="00D12E11" w:rsidRPr="00F7050E" w:rsidRDefault="00D12E11" w:rsidP="00BC7D1B">
            <w:pPr>
              <w:rPr>
                <w:rFonts w:ascii="Arial" w:hAnsi="Arial" w:cs="Arial"/>
                <w:sz w:val="20"/>
                <w:szCs w:val="20"/>
              </w:rPr>
            </w:pPr>
          </w:p>
        </w:tc>
        <w:tc>
          <w:tcPr>
            <w:tcW w:w="1630" w:type="dxa"/>
            <w:vAlign w:val="center"/>
          </w:tcPr>
          <w:p w14:paraId="27E4BB5B" w14:textId="77777777" w:rsidR="00D12E11" w:rsidRPr="00F7050E" w:rsidRDefault="00D12E11" w:rsidP="00BC7D1B">
            <w:pPr>
              <w:rPr>
                <w:rFonts w:ascii="Arial" w:hAnsi="Arial" w:cs="Arial"/>
                <w:sz w:val="20"/>
                <w:szCs w:val="20"/>
              </w:rPr>
            </w:pPr>
          </w:p>
        </w:tc>
        <w:tc>
          <w:tcPr>
            <w:tcW w:w="1772" w:type="dxa"/>
            <w:vAlign w:val="center"/>
          </w:tcPr>
          <w:p w14:paraId="0CF468AE"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SORS (registered employment rate and demographic data), </w:t>
            </w:r>
            <w:r w:rsidRPr="00F7050E">
              <w:rPr>
                <w:rStyle w:val="Strong"/>
                <w:rFonts w:ascii="Arial" w:hAnsi="Arial" w:cs="Arial"/>
                <w:sz w:val="20"/>
                <w:szCs w:val="20"/>
              </w:rPr>
              <w:t>Central Registry for Compulsory Social Insurance</w:t>
            </w:r>
          </w:p>
        </w:tc>
        <w:tc>
          <w:tcPr>
            <w:tcW w:w="3009" w:type="dxa"/>
            <w:vAlign w:val="center"/>
          </w:tcPr>
          <w:p w14:paraId="17608DCA" w14:textId="77777777" w:rsidR="00D12E11" w:rsidRPr="00F7050E" w:rsidRDefault="00D12E11" w:rsidP="00BC7D1B">
            <w:pPr>
              <w:rPr>
                <w:rFonts w:ascii="Arial" w:hAnsi="Arial" w:cs="Arial"/>
                <w:i/>
                <w:sz w:val="20"/>
                <w:szCs w:val="20"/>
              </w:rPr>
            </w:pPr>
            <w:r w:rsidRPr="00F7050E">
              <w:rPr>
                <w:rFonts w:ascii="Arial" w:hAnsi="Arial" w:cs="Arial"/>
                <w:i/>
                <w:sz w:val="20"/>
                <w:szCs w:val="20"/>
              </w:rPr>
              <w:t>Calculation needed</w:t>
            </w:r>
          </w:p>
        </w:tc>
      </w:tr>
      <w:tr w:rsidR="00D12E11" w:rsidRPr="00F7050E" w14:paraId="3387B273" w14:textId="77777777" w:rsidTr="00BC7D1B">
        <w:trPr>
          <w:trHeight w:val="454"/>
          <w:jc w:val="center"/>
        </w:trPr>
        <w:tc>
          <w:tcPr>
            <w:tcW w:w="534" w:type="dxa"/>
            <w:vAlign w:val="center"/>
          </w:tcPr>
          <w:p w14:paraId="33FF8E60"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6E05C2AD" w14:textId="77777777" w:rsidR="00D12E11" w:rsidRPr="00F7050E" w:rsidRDefault="00D12E11" w:rsidP="00BC7D1B">
            <w:pPr>
              <w:pStyle w:val="Default"/>
              <w:spacing w:before="120"/>
              <w:rPr>
                <w:rFonts w:ascii="Arial" w:hAnsi="Arial" w:cs="Arial"/>
                <w:sz w:val="20"/>
                <w:szCs w:val="20"/>
                <w:lang w:val="en-GB"/>
              </w:rPr>
            </w:pPr>
            <w:r w:rsidRPr="00F7050E">
              <w:rPr>
                <w:rFonts w:ascii="Arial" w:hAnsi="Arial" w:cs="Arial"/>
                <w:sz w:val="20"/>
                <w:szCs w:val="20"/>
                <w:lang w:val="en-GB"/>
              </w:rPr>
              <w:t>Average number of "paid service years" by age groups</w:t>
            </w:r>
          </w:p>
        </w:tc>
        <w:tc>
          <w:tcPr>
            <w:tcW w:w="1772" w:type="dxa"/>
          </w:tcPr>
          <w:p w14:paraId="6E0A63D3" w14:textId="77777777" w:rsidR="00D12E11" w:rsidRPr="00F7050E" w:rsidRDefault="00D12E11" w:rsidP="00BC7D1B">
            <w:pPr>
              <w:rPr>
                <w:rFonts w:ascii="Arial" w:hAnsi="Arial" w:cs="Arial"/>
                <w:i/>
                <w:sz w:val="20"/>
                <w:szCs w:val="20"/>
              </w:rPr>
            </w:pPr>
          </w:p>
          <w:p w14:paraId="1FA494F5" w14:textId="77777777" w:rsidR="00D12E11" w:rsidRPr="00F7050E" w:rsidRDefault="00D12E11" w:rsidP="00BC7D1B">
            <w:pPr>
              <w:rPr>
                <w:rFonts w:ascii="Arial" w:hAnsi="Arial" w:cs="Arial"/>
                <w:i/>
                <w:sz w:val="20"/>
                <w:szCs w:val="20"/>
              </w:rPr>
            </w:pPr>
          </w:p>
          <w:p w14:paraId="07F345DC"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1ACBCE02" w14:textId="77777777" w:rsidR="00D12E11" w:rsidRPr="00F7050E" w:rsidRDefault="00D12E11" w:rsidP="00BC7D1B">
            <w:pPr>
              <w:rPr>
                <w:rFonts w:ascii="Arial" w:hAnsi="Arial" w:cs="Arial"/>
                <w:i/>
                <w:sz w:val="20"/>
                <w:szCs w:val="20"/>
              </w:rPr>
            </w:pPr>
          </w:p>
        </w:tc>
        <w:tc>
          <w:tcPr>
            <w:tcW w:w="2906" w:type="dxa"/>
          </w:tcPr>
          <w:p w14:paraId="17AAE856" w14:textId="77777777" w:rsidR="00D12E11" w:rsidRPr="00F7050E" w:rsidRDefault="00D12E11" w:rsidP="00BC7D1B">
            <w:pPr>
              <w:rPr>
                <w:rFonts w:ascii="Arial" w:hAnsi="Arial" w:cs="Arial"/>
                <w:sz w:val="20"/>
                <w:szCs w:val="20"/>
              </w:rPr>
            </w:pPr>
          </w:p>
        </w:tc>
        <w:tc>
          <w:tcPr>
            <w:tcW w:w="1630" w:type="dxa"/>
          </w:tcPr>
          <w:p w14:paraId="129FFB45" w14:textId="77777777" w:rsidR="00D12E11" w:rsidRPr="00F7050E" w:rsidRDefault="00D12E11" w:rsidP="00BC7D1B">
            <w:pPr>
              <w:rPr>
                <w:rFonts w:ascii="Arial" w:hAnsi="Arial" w:cs="Arial"/>
                <w:sz w:val="20"/>
                <w:szCs w:val="20"/>
              </w:rPr>
            </w:pPr>
          </w:p>
        </w:tc>
        <w:tc>
          <w:tcPr>
            <w:tcW w:w="1772" w:type="dxa"/>
          </w:tcPr>
          <w:p w14:paraId="1E77393F" w14:textId="77777777" w:rsidR="00D12E11" w:rsidRPr="00F7050E" w:rsidRDefault="00D12E11" w:rsidP="00BC7D1B">
            <w:pPr>
              <w:rPr>
                <w:rFonts w:ascii="Arial" w:hAnsi="Arial" w:cs="Arial"/>
                <w:sz w:val="20"/>
                <w:szCs w:val="20"/>
              </w:rPr>
            </w:pPr>
          </w:p>
        </w:tc>
        <w:tc>
          <w:tcPr>
            <w:tcW w:w="3009" w:type="dxa"/>
          </w:tcPr>
          <w:p w14:paraId="5EDBDBAF" w14:textId="77777777" w:rsidR="00D12E11" w:rsidRPr="00F7050E" w:rsidRDefault="00D12E11" w:rsidP="00BC7D1B">
            <w:pPr>
              <w:rPr>
                <w:rFonts w:ascii="Arial" w:hAnsi="Arial" w:cs="Arial"/>
                <w:sz w:val="20"/>
                <w:szCs w:val="20"/>
              </w:rPr>
            </w:pPr>
            <w:r w:rsidRPr="00F7050E">
              <w:rPr>
                <w:rFonts w:ascii="Arial" w:hAnsi="Arial" w:cs="Arial"/>
                <w:sz w:val="20"/>
                <w:szCs w:val="20"/>
              </w:rPr>
              <w:t>Currently there are no sources from which this information could be obtained. Both the SILC questionnaire and the LFS questionnaire contain a question about the total number of service years, but they do not differentiate between the actual and the formal number of service years. In the absence of information about the formal (registered) number of service years, the number of total service years may also be informative.</w:t>
            </w:r>
          </w:p>
        </w:tc>
      </w:tr>
      <w:tr w:rsidR="00D12E11" w:rsidRPr="00F7050E" w14:paraId="5C2DD8B3" w14:textId="77777777" w:rsidTr="00BC7D1B">
        <w:trPr>
          <w:trHeight w:val="510"/>
          <w:jc w:val="center"/>
        </w:trPr>
        <w:tc>
          <w:tcPr>
            <w:tcW w:w="14032" w:type="dxa"/>
            <w:gridSpan w:val="7"/>
            <w:shd w:val="clear" w:color="auto" w:fill="CCFFFF"/>
            <w:vAlign w:val="center"/>
          </w:tcPr>
          <w:p w14:paraId="77D5B280"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ADEQUACY</w:t>
            </w:r>
          </w:p>
        </w:tc>
      </w:tr>
      <w:tr w:rsidR="00D12E11" w:rsidRPr="00F7050E" w14:paraId="6C44EA5D" w14:textId="77777777" w:rsidTr="00BC7D1B">
        <w:trPr>
          <w:trHeight w:val="454"/>
          <w:jc w:val="center"/>
        </w:trPr>
        <w:tc>
          <w:tcPr>
            <w:tcW w:w="534" w:type="dxa"/>
            <w:tcBorders>
              <w:bottom w:val="single" w:sz="4" w:space="0" w:color="000000"/>
            </w:tcBorders>
            <w:vAlign w:val="center"/>
          </w:tcPr>
          <w:p w14:paraId="65DF4323"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P/S</w:t>
            </w:r>
          </w:p>
        </w:tc>
        <w:tc>
          <w:tcPr>
            <w:tcW w:w="2409" w:type="dxa"/>
            <w:tcBorders>
              <w:bottom w:val="single" w:sz="4" w:space="0" w:color="000000"/>
            </w:tcBorders>
            <w:vAlign w:val="center"/>
          </w:tcPr>
          <w:p w14:paraId="411F7613"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Indicator Title</w:t>
            </w:r>
          </w:p>
          <w:p w14:paraId="6F018101"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 xml:space="preserve"> (Measure Unit)</w:t>
            </w:r>
          </w:p>
        </w:tc>
        <w:tc>
          <w:tcPr>
            <w:tcW w:w="1772" w:type="dxa"/>
            <w:tcBorders>
              <w:bottom w:val="single" w:sz="4" w:space="0" w:color="000000"/>
            </w:tcBorders>
            <w:vAlign w:val="center"/>
          </w:tcPr>
          <w:p w14:paraId="27BEF5DB"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Indicator Type (Origin)</w:t>
            </w:r>
          </w:p>
        </w:tc>
        <w:tc>
          <w:tcPr>
            <w:tcW w:w="2906" w:type="dxa"/>
            <w:tcBorders>
              <w:bottom w:val="single" w:sz="4" w:space="0" w:color="000000"/>
            </w:tcBorders>
            <w:vAlign w:val="center"/>
          </w:tcPr>
          <w:p w14:paraId="63EA9B03"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Definitions</w:t>
            </w:r>
          </w:p>
        </w:tc>
        <w:tc>
          <w:tcPr>
            <w:tcW w:w="1630" w:type="dxa"/>
            <w:tcBorders>
              <w:bottom w:val="single" w:sz="4" w:space="0" w:color="000000"/>
            </w:tcBorders>
            <w:vAlign w:val="center"/>
          </w:tcPr>
          <w:p w14:paraId="3A49B4BB"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Disaggregation</w:t>
            </w:r>
          </w:p>
        </w:tc>
        <w:tc>
          <w:tcPr>
            <w:tcW w:w="1772" w:type="dxa"/>
            <w:tcBorders>
              <w:bottom w:val="single" w:sz="4" w:space="0" w:color="000000"/>
            </w:tcBorders>
            <w:vAlign w:val="center"/>
          </w:tcPr>
          <w:p w14:paraId="38A74054"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 xml:space="preserve"> Data Source (Time Frame)</w:t>
            </w:r>
          </w:p>
        </w:tc>
        <w:tc>
          <w:tcPr>
            <w:tcW w:w="3009" w:type="dxa"/>
            <w:tcBorders>
              <w:bottom w:val="single" w:sz="4" w:space="0" w:color="000000"/>
            </w:tcBorders>
            <w:vAlign w:val="center"/>
          </w:tcPr>
          <w:p w14:paraId="035B9A8E"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 xml:space="preserve">Data Availability and Comments </w:t>
            </w:r>
          </w:p>
        </w:tc>
      </w:tr>
      <w:tr w:rsidR="00D12E11" w:rsidRPr="00F7050E" w14:paraId="68009A85" w14:textId="77777777" w:rsidTr="00DA33FF">
        <w:trPr>
          <w:trHeight w:val="392"/>
          <w:jc w:val="center"/>
        </w:trPr>
        <w:tc>
          <w:tcPr>
            <w:tcW w:w="14032" w:type="dxa"/>
            <w:gridSpan w:val="7"/>
            <w:shd w:val="clear" w:color="auto" w:fill="808080" w:themeFill="background1" w:themeFillShade="80"/>
            <w:vAlign w:val="center"/>
          </w:tcPr>
          <w:p w14:paraId="2ADFD524" w14:textId="77777777" w:rsidR="00D12E11" w:rsidRPr="00DA33FF" w:rsidRDefault="00D12E11" w:rsidP="00BC7D1B">
            <w:pPr>
              <w:jc w:val="center"/>
              <w:rPr>
                <w:rFonts w:ascii="Arial" w:hAnsi="Arial" w:cs="Arial"/>
                <w:b/>
                <w:color w:val="FFFFFF" w:themeColor="background1"/>
                <w:sz w:val="20"/>
                <w:szCs w:val="20"/>
              </w:rPr>
            </w:pPr>
            <w:r w:rsidRPr="00DA33FF">
              <w:rPr>
                <w:rFonts w:ascii="Arial" w:hAnsi="Arial" w:cs="Arial"/>
                <w:b/>
                <w:color w:val="FFFFFF" w:themeColor="background1"/>
                <w:sz w:val="20"/>
                <w:szCs w:val="20"/>
              </w:rPr>
              <w:t xml:space="preserve">OLDER AGE ADEQACY </w:t>
            </w:r>
          </w:p>
        </w:tc>
      </w:tr>
      <w:tr w:rsidR="00D12E11" w:rsidRPr="00F7050E" w14:paraId="57E9D342" w14:textId="77777777" w:rsidTr="00BC7D1B">
        <w:trPr>
          <w:trHeight w:val="340"/>
          <w:jc w:val="center"/>
        </w:trPr>
        <w:tc>
          <w:tcPr>
            <w:tcW w:w="14032" w:type="dxa"/>
            <w:gridSpan w:val="7"/>
            <w:vAlign w:val="center"/>
          </w:tcPr>
          <w:p w14:paraId="7A34D55A" w14:textId="77777777" w:rsidR="00D12E11" w:rsidRPr="00F7050E" w:rsidRDefault="00D12E11" w:rsidP="00BC7D1B">
            <w:pPr>
              <w:pStyle w:val="Default"/>
              <w:rPr>
                <w:rFonts w:ascii="Arial" w:hAnsi="Arial" w:cs="Arial"/>
                <w:sz w:val="20"/>
                <w:szCs w:val="20"/>
                <w:lang w:val="en-GB"/>
              </w:rPr>
            </w:pPr>
            <w:r w:rsidRPr="00F7050E">
              <w:rPr>
                <w:rFonts w:ascii="Arial" w:hAnsi="Arial" w:cs="Arial"/>
                <w:b/>
                <w:i/>
                <w:sz w:val="20"/>
                <w:szCs w:val="20"/>
                <w:lang w:val="en-GB"/>
              </w:rPr>
              <w:t>Poverty Reduction/Prevention</w:t>
            </w:r>
          </w:p>
        </w:tc>
      </w:tr>
      <w:tr w:rsidR="00D12E11" w:rsidRPr="00F7050E" w14:paraId="0DFDB9A1" w14:textId="77777777" w:rsidTr="00BC7D1B">
        <w:trPr>
          <w:trHeight w:val="454"/>
          <w:jc w:val="center"/>
        </w:trPr>
        <w:tc>
          <w:tcPr>
            <w:tcW w:w="534" w:type="dxa"/>
            <w:vAlign w:val="center"/>
          </w:tcPr>
          <w:p w14:paraId="405A64AB"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lastRenderedPageBreak/>
              <w:t>P</w:t>
            </w:r>
          </w:p>
        </w:tc>
        <w:tc>
          <w:tcPr>
            <w:tcW w:w="2409" w:type="dxa"/>
          </w:tcPr>
          <w:p w14:paraId="66D4B7DB" w14:textId="77777777" w:rsidR="00D12E11" w:rsidRPr="00F7050E" w:rsidRDefault="00D12E11" w:rsidP="00BC7D1B">
            <w:pPr>
              <w:rPr>
                <w:rFonts w:ascii="Arial" w:hAnsi="Arial" w:cs="Arial"/>
                <w:sz w:val="20"/>
                <w:szCs w:val="20"/>
              </w:rPr>
            </w:pPr>
          </w:p>
          <w:p w14:paraId="099E2E32" w14:textId="77777777" w:rsidR="00D12E11" w:rsidRPr="00F7050E" w:rsidRDefault="00D12E11" w:rsidP="00BC7D1B">
            <w:pPr>
              <w:rPr>
                <w:rFonts w:ascii="Arial" w:hAnsi="Arial" w:cs="Arial"/>
                <w:sz w:val="20"/>
                <w:szCs w:val="20"/>
              </w:rPr>
            </w:pPr>
            <w:r w:rsidRPr="00F7050E">
              <w:rPr>
                <w:rFonts w:ascii="Arial" w:hAnsi="Arial" w:cs="Arial"/>
                <w:sz w:val="20"/>
                <w:szCs w:val="20"/>
              </w:rPr>
              <w:t>At-risk-of-poverty rate of older people (65+)</w:t>
            </w:r>
          </w:p>
          <w:p w14:paraId="145EDB48" w14:textId="77777777" w:rsidR="00D12E11" w:rsidRPr="00F7050E" w:rsidRDefault="00D12E11" w:rsidP="00BC7D1B">
            <w:pPr>
              <w:rPr>
                <w:rFonts w:ascii="Arial" w:hAnsi="Arial" w:cs="Arial"/>
                <w:b/>
                <w:sz w:val="20"/>
                <w:szCs w:val="20"/>
              </w:rPr>
            </w:pPr>
          </w:p>
          <w:p w14:paraId="160F0597" w14:textId="77777777" w:rsidR="00D12E11" w:rsidRPr="00F7050E" w:rsidRDefault="00D12E11" w:rsidP="00BC7D1B">
            <w:pPr>
              <w:rPr>
                <w:rFonts w:ascii="Arial" w:hAnsi="Arial" w:cs="Arial"/>
                <w:b/>
                <w:sz w:val="20"/>
                <w:szCs w:val="20"/>
              </w:rPr>
            </w:pPr>
          </w:p>
        </w:tc>
        <w:tc>
          <w:tcPr>
            <w:tcW w:w="1772" w:type="dxa"/>
          </w:tcPr>
          <w:p w14:paraId="595640AE" w14:textId="77777777" w:rsidR="00D12E11" w:rsidRPr="00F7050E" w:rsidRDefault="00D12E11" w:rsidP="00BC7D1B">
            <w:pPr>
              <w:rPr>
                <w:rFonts w:ascii="Arial" w:hAnsi="Arial" w:cs="Arial"/>
                <w:i/>
                <w:sz w:val="20"/>
                <w:szCs w:val="20"/>
              </w:rPr>
            </w:pPr>
            <w:r w:rsidRPr="00F7050E">
              <w:rPr>
                <w:rFonts w:ascii="Arial" w:hAnsi="Arial" w:cs="Arial"/>
                <w:i/>
                <w:sz w:val="20"/>
                <w:szCs w:val="20"/>
              </w:rPr>
              <w:t>Adequate pensions</w:t>
            </w:r>
          </w:p>
          <w:p w14:paraId="5CFC3058" w14:textId="77777777" w:rsidR="00D12E11" w:rsidRPr="00F7050E" w:rsidRDefault="00D12E11" w:rsidP="00BC7D1B">
            <w:pPr>
              <w:rPr>
                <w:rFonts w:ascii="Arial" w:hAnsi="Arial" w:cs="Arial"/>
                <w:i/>
                <w:sz w:val="20"/>
                <w:szCs w:val="20"/>
              </w:rPr>
            </w:pPr>
            <w:r w:rsidRPr="00F7050E">
              <w:rPr>
                <w:rFonts w:ascii="Arial" w:hAnsi="Arial" w:cs="Arial"/>
                <w:i/>
                <w:sz w:val="20"/>
                <w:szCs w:val="20"/>
              </w:rPr>
              <w:t>-  Primary EU indicator</w:t>
            </w:r>
          </w:p>
          <w:p w14:paraId="51D797B4" w14:textId="77777777" w:rsidR="00D12E11" w:rsidRPr="00F7050E" w:rsidRDefault="00D12E11" w:rsidP="00BC7D1B">
            <w:pPr>
              <w:rPr>
                <w:rFonts w:ascii="Arial" w:hAnsi="Arial" w:cs="Arial"/>
                <w:i/>
                <w:sz w:val="20"/>
                <w:szCs w:val="20"/>
              </w:rPr>
            </w:pPr>
          </w:p>
          <w:p w14:paraId="56E3B845" w14:textId="77777777" w:rsidR="00D12E11" w:rsidRPr="00F7050E" w:rsidRDefault="00D12E11" w:rsidP="00BC7D1B">
            <w:pPr>
              <w:jc w:val="center"/>
              <w:rPr>
                <w:rFonts w:ascii="Arial" w:hAnsi="Arial" w:cs="Arial"/>
                <w:b/>
                <w:i/>
                <w:sz w:val="20"/>
                <w:szCs w:val="20"/>
              </w:rPr>
            </w:pPr>
          </w:p>
        </w:tc>
        <w:tc>
          <w:tcPr>
            <w:tcW w:w="2906" w:type="dxa"/>
          </w:tcPr>
          <w:p w14:paraId="79210DC6"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r w:rsidRPr="00F7050E">
              <w:rPr>
                <w:rFonts w:ascii="Arial" w:hAnsi="Arial" w:cs="Arial"/>
                <w:sz w:val="20"/>
                <w:szCs w:val="20"/>
                <w:lang w:val="en-GB"/>
              </w:rPr>
              <w:t>Risk of poverty (at the 60 % threshold of equivalised disposable income) for people aged 65+</w:t>
            </w:r>
          </w:p>
          <w:p w14:paraId="041A558D" w14:textId="77777777" w:rsidR="00D12E11" w:rsidRPr="00F7050E" w:rsidRDefault="00D12E11" w:rsidP="00BC7D1B">
            <w:pPr>
              <w:rPr>
                <w:rFonts w:ascii="Arial" w:hAnsi="Arial" w:cs="Arial"/>
                <w:b/>
                <w:sz w:val="20"/>
                <w:szCs w:val="20"/>
              </w:rPr>
            </w:pPr>
            <w:r w:rsidRPr="00F7050E">
              <w:rPr>
                <w:rFonts w:ascii="Arial" w:hAnsi="Arial" w:cs="Arial"/>
                <w:sz w:val="20"/>
                <w:szCs w:val="20"/>
              </w:rPr>
              <w:t xml:space="preserve">Complemented by composition of income </w:t>
            </w:r>
          </w:p>
        </w:tc>
        <w:tc>
          <w:tcPr>
            <w:tcW w:w="1630" w:type="dxa"/>
          </w:tcPr>
          <w:p w14:paraId="0150B601" w14:textId="77777777" w:rsidR="00D12E11" w:rsidRPr="00F7050E" w:rsidRDefault="00D12E11" w:rsidP="00BC7D1B">
            <w:pPr>
              <w:rPr>
                <w:rFonts w:ascii="Arial" w:hAnsi="Arial" w:cs="Arial"/>
                <w:b/>
                <w:sz w:val="20"/>
                <w:szCs w:val="20"/>
              </w:rPr>
            </w:pPr>
            <w:r w:rsidRPr="00F7050E">
              <w:rPr>
                <w:rFonts w:ascii="Arial" w:hAnsi="Arial" w:cs="Arial"/>
                <w:sz w:val="20"/>
                <w:szCs w:val="20"/>
              </w:rPr>
              <w:t>By sex</w:t>
            </w:r>
          </w:p>
        </w:tc>
        <w:tc>
          <w:tcPr>
            <w:tcW w:w="1772" w:type="dxa"/>
          </w:tcPr>
          <w:p w14:paraId="1062E52F"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3CFF04FB" w14:textId="77777777" w:rsidR="00D12E11" w:rsidRPr="00F7050E" w:rsidRDefault="00D12E11" w:rsidP="00BC7D1B">
            <w:pPr>
              <w:jc w:val="center"/>
              <w:rPr>
                <w:rFonts w:ascii="Arial" w:hAnsi="Arial" w:cs="Arial"/>
                <w:b/>
                <w:sz w:val="20"/>
                <w:szCs w:val="20"/>
              </w:rPr>
            </w:pPr>
          </w:p>
        </w:tc>
        <w:tc>
          <w:tcPr>
            <w:tcW w:w="3009" w:type="dxa"/>
          </w:tcPr>
          <w:p w14:paraId="1E6EEC69"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EUROSTAT</w:t>
            </w:r>
            <w:r w:rsidRPr="00F7050E">
              <w:rPr>
                <w:rFonts w:ascii="Arial" w:hAnsi="Arial" w:cs="Arial"/>
                <w:i/>
                <w:sz w:val="20"/>
                <w:szCs w:val="20"/>
                <w:lang w:val="en-GB"/>
              </w:rPr>
              <w:t xml:space="preserve"> data for 2013, 2014 and 2015</w:t>
            </w:r>
          </w:p>
          <w:p w14:paraId="2070446C"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Poverty rate of 65+ provides a key indication of the capacity of pension systems to provide adequate income to older people. Should be compared with AROP of the general population</w:t>
            </w:r>
          </w:p>
        </w:tc>
      </w:tr>
      <w:tr w:rsidR="00D12E11" w:rsidRPr="00F7050E" w14:paraId="78A9DD00" w14:textId="77777777" w:rsidTr="00BC7D1B">
        <w:trPr>
          <w:trHeight w:val="454"/>
          <w:jc w:val="center"/>
        </w:trPr>
        <w:tc>
          <w:tcPr>
            <w:tcW w:w="534" w:type="dxa"/>
            <w:vAlign w:val="center"/>
          </w:tcPr>
          <w:p w14:paraId="59C71986"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462B00D2" w14:textId="77777777" w:rsidR="00D12E11" w:rsidRPr="00F7050E" w:rsidRDefault="00D12E11" w:rsidP="00BC7D1B">
            <w:pPr>
              <w:pStyle w:val="Default"/>
              <w:rPr>
                <w:rFonts w:ascii="Arial" w:hAnsi="Arial" w:cs="Arial"/>
                <w:bCs/>
                <w:sz w:val="20"/>
                <w:szCs w:val="20"/>
                <w:lang w:val="en-GB"/>
              </w:rPr>
            </w:pPr>
          </w:p>
          <w:p w14:paraId="7ACB5BA4"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bCs/>
                <w:color w:val="auto"/>
                <w:sz w:val="20"/>
                <w:szCs w:val="20"/>
                <w:lang w:val="en-GB"/>
              </w:rPr>
              <w:t>At-risk-of-poverty rate of older people (60+, 75+)</w:t>
            </w:r>
          </w:p>
          <w:p w14:paraId="66879D3C" w14:textId="77777777" w:rsidR="00D12E11" w:rsidRPr="00F7050E" w:rsidRDefault="00D12E11" w:rsidP="00BC7D1B">
            <w:pPr>
              <w:pStyle w:val="Default"/>
              <w:rPr>
                <w:rFonts w:ascii="Arial" w:hAnsi="Arial" w:cs="Arial"/>
                <w:bCs/>
                <w:sz w:val="20"/>
                <w:szCs w:val="20"/>
                <w:lang w:val="en-GB"/>
              </w:rPr>
            </w:pPr>
          </w:p>
        </w:tc>
        <w:tc>
          <w:tcPr>
            <w:tcW w:w="1772" w:type="dxa"/>
          </w:tcPr>
          <w:p w14:paraId="7BA7EDF8" w14:textId="77777777" w:rsidR="00D12E11" w:rsidRPr="00F7050E" w:rsidRDefault="00D12E11" w:rsidP="00BC7D1B">
            <w:pPr>
              <w:framePr w:hSpace="180" w:wrap="around" w:vAnchor="page" w:hAnchor="margin" w:x="-459" w:y="615"/>
              <w:rPr>
                <w:rFonts w:ascii="Arial" w:hAnsi="Arial" w:cs="Arial"/>
                <w:i/>
                <w:sz w:val="20"/>
                <w:szCs w:val="20"/>
              </w:rPr>
            </w:pPr>
            <w:r w:rsidRPr="00F7050E">
              <w:rPr>
                <w:rFonts w:ascii="Arial" w:hAnsi="Arial" w:cs="Arial"/>
                <w:i/>
                <w:sz w:val="20"/>
                <w:szCs w:val="20"/>
              </w:rPr>
              <w:t xml:space="preserve">Adequate Pensions </w:t>
            </w:r>
          </w:p>
          <w:p w14:paraId="746147DD" w14:textId="77777777" w:rsidR="00D12E11" w:rsidRPr="00F7050E" w:rsidRDefault="00D12E11" w:rsidP="00BC7D1B">
            <w:pPr>
              <w:framePr w:hSpace="180" w:wrap="around" w:vAnchor="page" w:hAnchor="margin" w:x="-459" w:y="615"/>
              <w:rPr>
                <w:rFonts w:ascii="Arial" w:hAnsi="Arial" w:cs="Arial"/>
                <w:sz w:val="20"/>
                <w:szCs w:val="20"/>
              </w:rPr>
            </w:pPr>
            <w:r w:rsidRPr="00F7050E">
              <w:rPr>
                <w:rFonts w:ascii="Arial" w:hAnsi="Arial" w:cs="Arial"/>
                <w:i/>
                <w:sz w:val="20"/>
                <w:szCs w:val="20"/>
              </w:rPr>
              <w:t>- Secondary EU Indicator</w:t>
            </w:r>
          </w:p>
        </w:tc>
        <w:tc>
          <w:tcPr>
            <w:tcW w:w="2906" w:type="dxa"/>
          </w:tcPr>
          <w:p w14:paraId="530EE464"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Risk of poverty for people aged 0-59, 0-74, 60+, 75+</w:t>
            </w:r>
          </w:p>
          <w:p w14:paraId="7D5CBAF3" w14:textId="77777777" w:rsidR="00D12E11" w:rsidRPr="00F7050E" w:rsidRDefault="00D12E11" w:rsidP="00BC7D1B">
            <w:pPr>
              <w:pStyle w:val="Default"/>
              <w:rPr>
                <w:rFonts w:ascii="Arial" w:hAnsi="Arial" w:cs="Arial"/>
                <w:sz w:val="20"/>
                <w:szCs w:val="20"/>
                <w:lang w:val="en-GB"/>
              </w:rPr>
            </w:pPr>
          </w:p>
        </w:tc>
        <w:tc>
          <w:tcPr>
            <w:tcW w:w="1630" w:type="dxa"/>
          </w:tcPr>
          <w:p w14:paraId="697CE852"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r w:rsidRPr="00F7050E">
              <w:rPr>
                <w:rFonts w:ascii="Arial" w:hAnsi="Arial" w:cs="Arial"/>
                <w:sz w:val="20"/>
                <w:szCs w:val="20"/>
                <w:lang w:val="en-GB"/>
              </w:rPr>
              <w:t xml:space="preserve">Age: 0-59, 0-74, 60+, 75+ </w:t>
            </w:r>
          </w:p>
          <w:p w14:paraId="77E98F4A"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By sex </w:t>
            </w:r>
          </w:p>
        </w:tc>
        <w:tc>
          <w:tcPr>
            <w:tcW w:w="1772" w:type="dxa"/>
          </w:tcPr>
          <w:p w14:paraId="562B139A"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4D9BCF64" w14:textId="77777777" w:rsidR="00D12E11" w:rsidRPr="00F7050E" w:rsidRDefault="00D12E11" w:rsidP="00BC7D1B">
            <w:pPr>
              <w:pStyle w:val="Default"/>
              <w:rPr>
                <w:rFonts w:ascii="Arial" w:hAnsi="Arial" w:cs="Arial"/>
                <w:sz w:val="20"/>
                <w:szCs w:val="20"/>
                <w:lang w:val="en-GB"/>
              </w:rPr>
            </w:pPr>
          </w:p>
        </w:tc>
        <w:tc>
          <w:tcPr>
            <w:tcW w:w="3009" w:type="dxa"/>
          </w:tcPr>
          <w:p w14:paraId="6D6FFE00"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 xml:space="preserve">EUROSTAT </w:t>
            </w:r>
            <w:r w:rsidRPr="00F7050E">
              <w:rPr>
                <w:rFonts w:ascii="Arial" w:hAnsi="Arial" w:cs="Arial"/>
                <w:i/>
                <w:sz w:val="20"/>
                <w:szCs w:val="20"/>
              </w:rPr>
              <w:t xml:space="preserve">data for 2013, 2014 and  2015 </w:t>
            </w:r>
          </w:p>
          <w:p w14:paraId="7C703B8F" w14:textId="77777777" w:rsidR="00D12E11" w:rsidRPr="00F7050E" w:rsidRDefault="00D12E11" w:rsidP="00BC7D1B">
            <w:pPr>
              <w:rPr>
                <w:rFonts w:ascii="Arial" w:hAnsi="Arial" w:cs="Arial"/>
                <w:sz w:val="20"/>
                <w:szCs w:val="20"/>
              </w:rPr>
            </w:pPr>
            <w:r w:rsidRPr="00F7050E">
              <w:rPr>
                <w:rFonts w:ascii="Arial" w:hAnsi="Arial" w:cs="Arial"/>
                <w:sz w:val="20"/>
                <w:szCs w:val="20"/>
              </w:rPr>
              <w:t>These breakdowns allow to isolate the specific situations of different age groups more specifically than the primary indicator.</w:t>
            </w:r>
          </w:p>
        </w:tc>
      </w:tr>
      <w:tr w:rsidR="00D12E11" w:rsidRPr="00F7050E" w14:paraId="1EB83EB4" w14:textId="77777777" w:rsidTr="00BC7D1B">
        <w:trPr>
          <w:trHeight w:val="454"/>
          <w:jc w:val="center"/>
        </w:trPr>
        <w:tc>
          <w:tcPr>
            <w:tcW w:w="534" w:type="dxa"/>
            <w:vAlign w:val="center"/>
          </w:tcPr>
          <w:p w14:paraId="2790332D"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620807A8" w14:textId="77777777" w:rsidR="00D12E11" w:rsidRPr="00F7050E" w:rsidRDefault="00D12E11" w:rsidP="00BC7D1B">
            <w:pPr>
              <w:pStyle w:val="Default"/>
              <w:rPr>
                <w:rFonts w:ascii="Arial" w:hAnsi="Arial" w:cs="Arial"/>
                <w:bCs/>
                <w:color w:val="auto"/>
                <w:sz w:val="20"/>
                <w:szCs w:val="20"/>
                <w:lang w:val="en-GB"/>
              </w:rPr>
            </w:pPr>
            <w:r w:rsidRPr="00F7050E">
              <w:rPr>
                <w:rFonts w:ascii="Arial" w:hAnsi="Arial" w:cs="Arial"/>
                <w:bCs/>
                <w:color w:val="auto"/>
                <w:sz w:val="20"/>
                <w:szCs w:val="20"/>
                <w:lang w:val="en-GB"/>
              </w:rPr>
              <w:t xml:space="preserve">At-risk-of-poverty rate of older people according to the household type </w:t>
            </w:r>
          </w:p>
        </w:tc>
        <w:tc>
          <w:tcPr>
            <w:tcW w:w="1772" w:type="dxa"/>
          </w:tcPr>
          <w:p w14:paraId="691AAEB7" w14:textId="77777777" w:rsidR="00D12E11" w:rsidRPr="00F7050E" w:rsidRDefault="00D12E11" w:rsidP="00BC7D1B">
            <w:pPr>
              <w:spacing w:before="120" w:after="120"/>
              <w:rPr>
                <w:rFonts w:ascii="Arial" w:hAnsi="Arial" w:cs="Arial"/>
                <w:i/>
                <w:sz w:val="20"/>
                <w:szCs w:val="20"/>
              </w:rPr>
            </w:pPr>
            <w:r w:rsidRPr="00F7050E">
              <w:rPr>
                <w:rFonts w:ascii="Arial" w:hAnsi="Arial" w:cs="Arial"/>
                <w:i/>
                <w:sz w:val="20"/>
                <w:szCs w:val="20"/>
              </w:rPr>
              <w:t>Country-specific</w:t>
            </w:r>
          </w:p>
        </w:tc>
        <w:tc>
          <w:tcPr>
            <w:tcW w:w="2906" w:type="dxa"/>
          </w:tcPr>
          <w:p w14:paraId="3FAD97E5" w14:textId="77777777" w:rsidR="00D12E11" w:rsidRPr="00F7050E" w:rsidRDefault="00D12E11" w:rsidP="00BC7D1B">
            <w:pPr>
              <w:pStyle w:val="Default"/>
              <w:spacing w:before="120" w:after="120"/>
              <w:rPr>
                <w:rFonts w:ascii="Arial" w:hAnsi="Arial" w:cs="Arial"/>
                <w:sz w:val="20"/>
                <w:szCs w:val="20"/>
                <w:lang w:val="en-GB"/>
              </w:rPr>
            </w:pPr>
          </w:p>
        </w:tc>
        <w:tc>
          <w:tcPr>
            <w:tcW w:w="1630" w:type="dxa"/>
          </w:tcPr>
          <w:p w14:paraId="01A8F7E0" w14:textId="77777777" w:rsidR="00D12E11" w:rsidRPr="00F7050E" w:rsidRDefault="00D12E11" w:rsidP="00BC7D1B">
            <w:pPr>
              <w:spacing w:before="120" w:after="120"/>
              <w:rPr>
                <w:rFonts w:ascii="Arial" w:hAnsi="Arial" w:cs="Arial"/>
                <w:sz w:val="20"/>
                <w:szCs w:val="20"/>
              </w:rPr>
            </w:pPr>
          </w:p>
        </w:tc>
        <w:tc>
          <w:tcPr>
            <w:tcW w:w="1772" w:type="dxa"/>
          </w:tcPr>
          <w:p w14:paraId="4A39EB05"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2AFA03D3" w14:textId="77777777" w:rsidR="00D12E11" w:rsidRPr="00F7050E" w:rsidRDefault="00D12E11" w:rsidP="00BC7D1B">
            <w:pPr>
              <w:pStyle w:val="Default"/>
              <w:spacing w:before="120" w:after="120"/>
              <w:rPr>
                <w:rFonts w:ascii="Arial" w:hAnsi="Arial" w:cs="Arial"/>
                <w:sz w:val="20"/>
                <w:szCs w:val="20"/>
                <w:lang w:val="en-GB"/>
              </w:rPr>
            </w:pPr>
          </w:p>
        </w:tc>
        <w:tc>
          <w:tcPr>
            <w:tcW w:w="3009" w:type="dxa"/>
          </w:tcPr>
          <w:p w14:paraId="54716EE6" w14:textId="77777777" w:rsidR="00D12E11" w:rsidRPr="00F7050E" w:rsidRDefault="00D12E11" w:rsidP="00BC7D1B">
            <w:pPr>
              <w:spacing w:before="120" w:after="120"/>
              <w:rPr>
                <w:rFonts w:ascii="Arial" w:hAnsi="Arial" w:cs="Arial"/>
                <w:i/>
                <w:sz w:val="20"/>
                <w:szCs w:val="20"/>
              </w:rPr>
            </w:pPr>
            <w:r w:rsidRPr="00F7050E">
              <w:rPr>
                <w:rFonts w:ascii="Arial" w:hAnsi="Arial" w:cs="Arial"/>
                <w:i/>
                <w:sz w:val="20"/>
                <w:szCs w:val="20"/>
              </w:rPr>
              <w:t>Additional calculation needed</w:t>
            </w:r>
          </w:p>
        </w:tc>
      </w:tr>
      <w:tr w:rsidR="00D12E11" w:rsidRPr="00F7050E" w14:paraId="48B12753" w14:textId="77777777" w:rsidTr="00BC7D1B">
        <w:trPr>
          <w:trHeight w:val="454"/>
          <w:jc w:val="center"/>
        </w:trPr>
        <w:tc>
          <w:tcPr>
            <w:tcW w:w="534" w:type="dxa"/>
            <w:vAlign w:val="center"/>
          </w:tcPr>
          <w:p w14:paraId="1D4A4E5E"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46AD30DC"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bCs/>
                <w:color w:val="auto"/>
                <w:sz w:val="20"/>
                <w:szCs w:val="20"/>
                <w:lang w:val="en-GB"/>
              </w:rPr>
              <w:t xml:space="preserve">At-risk-of-poverty gap of older people </w:t>
            </w:r>
          </w:p>
          <w:p w14:paraId="7D38310C" w14:textId="77777777" w:rsidR="00D12E11" w:rsidRPr="00F7050E" w:rsidRDefault="00D12E11" w:rsidP="00BC7D1B">
            <w:pPr>
              <w:pStyle w:val="Default"/>
              <w:rPr>
                <w:rFonts w:ascii="Arial" w:hAnsi="Arial" w:cs="Arial"/>
                <w:bCs/>
                <w:color w:val="0000FF"/>
                <w:sz w:val="20"/>
                <w:szCs w:val="20"/>
                <w:lang w:val="en-GB"/>
              </w:rPr>
            </w:pPr>
          </w:p>
        </w:tc>
        <w:tc>
          <w:tcPr>
            <w:tcW w:w="1772" w:type="dxa"/>
          </w:tcPr>
          <w:p w14:paraId="6FBEA459" w14:textId="77777777" w:rsidR="00D12E11" w:rsidRPr="00F7050E" w:rsidRDefault="00D12E11" w:rsidP="00BC7D1B">
            <w:pPr>
              <w:rPr>
                <w:rFonts w:ascii="Arial" w:hAnsi="Arial" w:cs="Arial"/>
                <w:i/>
                <w:sz w:val="20"/>
                <w:szCs w:val="20"/>
              </w:rPr>
            </w:pPr>
            <w:r w:rsidRPr="00F7050E">
              <w:rPr>
                <w:rFonts w:ascii="Arial" w:hAnsi="Arial" w:cs="Arial"/>
                <w:i/>
                <w:sz w:val="20"/>
                <w:szCs w:val="20"/>
              </w:rPr>
              <w:t xml:space="preserve">Adequate Pensions </w:t>
            </w:r>
          </w:p>
          <w:p w14:paraId="7FB3E86F" w14:textId="77777777" w:rsidR="00D12E11" w:rsidRPr="00F7050E" w:rsidRDefault="00D12E11" w:rsidP="00BC7D1B">
            <w:pPr>
              <w:rPr>
                <w:rFonts w:ascii="Arial" w:hAnsi="Arial" w:cs="Arial"/>
                <w:sz w:val="20"/>
                <w:szCs w:val="20"/>
              </w:rPr>
            </w:pPr>
            <w:r w:rsidRPr="00F7050E">
              <w:rPr>
                <w:rFonts w:ascii="Arial" w:hAnsi="Arial" w:cs="Arial"/>
                <w:i/>
                <w:sz w:val="20"/>
                <w:szCs w:val="20"/>
              </w:rPr>
              <w:t>- Secondary EU Indicator</w:t>
            </w:r>
          </w:p>
        </w:tc>
        <w:tc>
          <w:tcPr>
            <w:tcW w:w="2906" w:type="dxa"/>
          </w:tcPr>
          <w:p w14:paraId="33E8DF23"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Poverty gap by age brackets (for 65+ and 75+) at the 60% threshold </w:t>
            </w:r>
          </w:p>
          <w:p w14:paraId="07C52273" w14:textId="77777777" w:rsidR="00D12E11" w:rsidRPr="00F7050E" w:rsidRDefault="00D12E11" w:rsidP="00BC7D1B">
            <w:pPr>
              <w:pStyle w:val="Default"/>
              <w:rPr>
                <w:rFonts w:ascii="Arial" w:hAnsi="Arial" w:cs="Arial"/>
                <w:sz w:val="20"/>
                <w:szCs w:val="20"/>
                <w:lang w:val="en-GB"/>
              </w:rPr>
            </w:pPr>
          </w:p>
        </w:tc>
        <w:tc>
          <w:tcPr>
            <w:tcW w:w="1630" w:type="dxa"/>
          </w:tcPr>
          <w:p w14:paraId="30C75C5C"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65+, 75+</w:t>
            </w:r>
          </w:p>
        </w:tc>
        <w:tc>
          <w:tcPr>
            <w:tcW w:w="1772" w:type="dxa"/>
          </w:tcPr>
          <w:p w14:paraId="6B2F134E"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08048808" w14:textId="77777777" w:rsidR="00D12E11" w:rsidRPr="00F7050E" w:rsidRDefault="00D12E11" w:rsidP="00BC7D1B">
            <w:pPr>
              <w:pStyle w:val="Default"/>
              <w:rPr>
                <w:rFonts w:ascii="Arial" w:hAnsi="Arial" w:cs="Arial"/>
                <w:sz w:val="20"/>
                <w:szCs w:val="20"/>
                <w:lang w:val="en-GB"/>
              </w:rPr>
            </w:pPr>
          </w:p>
        </w:tc>
        <w:tc>
          <w:tcPr>
            <w:tcW w:w="3009" w:type="dxa"/>
          </w:tcPr>
          <w:p w14:paraId="30E35594" w14:textId="77777777" w:rsidR="00D12E11" w:rsidRPr="00F7050E" w:rsidRDefault="00D12E11" w:rsidP="00BC7D1B">
            <w:pPr>
              <w:pStyle w:val="Default"/>
              <w:rPr>
                <w:rFonts w:ascii="Arial" w:hAnsi="Arial" w:cs="Arial"/>
                <w:i/>
                <w:sz w:val="20"/>
                <w:szCs w:val="20"/>
                <w:lang w:val="en-GB"/>
              </w:rPr>
            </w:pPr>
            <w:r w:rsidRPr="00F7050E">
              <w:rPr>
                <w:rFonts w:ascii="Arial" w:hAnsi="Arial" w:cs="Arial"/>
                <w:sz w:val="20"/>
                <w:szCs w:val="20"/>
                <w:lang w:val="en-GB"/>
              </w:rPr>
              <w:t>EUROSTAT</w:t>
            </w:r>
            <w:r w:rsidRPr="00F7050E">
              <w:rPr>
                <w:rFonts w:ascii="Arial" w:hAnsi="Arial" w:cs="Arial"/>
                <w:i/>
                <w:sz w:val="20"/>
                <w:szCs w:val="20"/>
                <w:lang w:val="en-GB"/>
              </w:rPr>
              <w:t xml:space="preserve"> data for 2013, 2014 and 2015</w:t>
            </w:r>
          </w:p>
          <w:p w14:paraId="1C56CADC" w14:textId="77777777" w:rsidR="00D12E11" w:rsidRPr="00F7050E" w:rsidRDefault="00D12E11" w:rsidP="00BC7D1B">
            <w:pPr>
              <w:pStyle w:val="Default"/>
              <w:rPr>
                <w:rFonts w:ascii="Arial" w:hAnsi="Arial" w:cs="Arial"/>
                <w:sz w:val="20"/>
                <w:szCs w:val="20"/>
              </w:rPr>
            </w:pPr>
            <w:r w:rsidRPr="00F7050E">
              <w:rPr>
                <w:rFonts w:ascii="Arial" w:hAnsi="Arial" w:cs="Arial"/>
                <w:sz w:val="20"/>
                <w:szCs w:val="20"/>
                <w:lang w:val="en-GB"/>
              </w:rPr>
              <w:t xml:space="preserve">This indicator complements indicators on poverty rates and is complementary to sensitivity analysis </w:t>
            </w:r>
          </w:p>
        </w:tc>
      </w:tr>
      <w:tr w:rsidR="00D12E11" w:rsidRPr="00F7050E" w14:paraId="58BB0DAD" w14:textId="77777777" w:rsidTr="00BC7D1B">
        <w:trPr>
          <w:trHeight w:val="454"/>
          <w:jc w:val="center"/>
        </w:trPr>
        <w:tc>
          <w:tcPr>
            <w:tcW w:w="534" w:type="dxa"/>
            <w:vAlign w:val="center"/>
          </w:tcPr>
          <w:p w14:paraId="4F3E66FB"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vAlign w:val="center"/>
          </w:tcPr>
          <w:p w14:paraId="28017E22" w14:textId="77777777" w:rsidR="00D12E11" w:rsidRPr="00F7050E" w:rsidRDefault="00D12E11" w:rsidP="00BC7D1B">
            <w:pPr>
              <w:rPr>
                <w:rFonts w:ascii="Arial" w:hAnsi="Arial" w:cs="Arial"/>
                <w:sz w:val="20"/>
                <w:szCs w:val="20"/>
              </w:rPr>
            </w:pPr>
          </w:p>
          <w:p w14:paraId="5C5094C0" w14:textId="77777777" w:rsidR="00D12E11" w:rsidRPr="00F7050E" w:rsidRDefault="00D12E11" w:rsidP="00BC7D1B">
            <w:pPr>
              <w:rPr>
                <w:rFonts w:ascii="Arial" w:hAnsi="Arial" w:cs="Arial"/>
                <w:sz w:val="20"/>
                <w:szCs w:val="20"/>
              </w:rPr>
            </w:pPr>
            <w:r w:rsidRPr="00F7050E">
              <w:rPr>
                <w:rFonts w:ascii="Arial" w:hAnsi="Arial" w:cs="Arial"/>
                <w:sz w:val="20"/>
                <w:szCs w:val="20"/>
              </w:rPr>
              <w:t>Poverty rate of older people  (percentage)</w:t>
            </w:r>
          </w:p>
        </w:tc>
        <w:tc>
          <w:tcPr>
            <w:tcW w:w="1772" w:type="dxa"/>
            <w:vAlign w:val="center"/>
          </w:tcPr>
          <w:p w14:paraId="1A675EA5" w14:textId="77777777" w:rsidR="00D12E11" w:rsidRPr="00F7050E" w:rsidRDefault="00D12E11" w:rsidP="00BC7D1B">
            <w:pPr>
              <w:rPr>
                <w:rFonts w:ascii="Arial" w:hAnsi="Arial" w:cs="Arial"/>
                <w:sz w:val="20"/>
                <w:szCs w:val="20"/>
              </w:rPr>
            </w:pPr>
          </w:p>
          <w:p w14:paraId="0AA6B211"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tc>
        <w:tc>
          <w:tcPr>
            <w:tcW w:w="2906" w:type="dxa"/>
            <w:vAlign w:val="center"/>
          </w:tcPr>
          <w:p w14:paraId="3809ECA6"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Absolute poverty by expenditure </w:t>
            </w:r>
          </w:p>
        </w:tc>
        <w:tc>
          <w:tcPr>
            <w:tcW w:w="1630" w:type="dxa"/>
            <w:vAlign w:val="center"/>
          </w:tcPr>
          <w:p w14:paraId="6FC8782A" w14:textId="77777777" w:rsidR="00D12E11" w:rsidRPr="00F7050E" w:rsidRDefault="00D12E11" w:rsidP="00BC7D1B">
            <w:pPr>
              <w:rPr>
                <w:rFonts w:ascii="Arial" w:hAnsi="Arial" w:cs="Arial"/>
                <w:sz w:val="20"/>
                <w:szCs w:val="20"/>
              </w:rPr>
            </w:pPr>
            <w:r w:rsidRPr="00F7050E">
              <w:rPr>
                <w:rFonts w:ascii="Arial" w:hAnsi="Arial" w:cs="Arial"/>
                <w:sz w:val="20"/>
                <w:szCs w:val="20"/>
              </w:rPr>
              <w:t>By sex, age groups (65+,75+), household type</w:t>
            </w:r>
          </w:p>
        </w:tc>
        <w:tc>
          <w:tcPr>
            <w:tcW w:w="1772" w:type="dxa"/>
            <w:vAlign w:val="center"/>
          </w:tcPr>
          <w:p w14:paraId="78B6D79E" w14:textId="77777777" w:rsidR="00D12E11" w:rsidRPr="00F7050E" w:rsidRDefault="00D12E11" w:rsidP="00BC7D1B">
            <w:pPr>
              <w:rPr>
                <w:rFonts w:ascii="Arial" w:hAnsi="Arial" w:cs="Arial"/>
                <w:sz w:val="20"/>
                <w:szCs w:val="20"/>
              </w:rPr>
            </w:pPr>
            <w:r w:rsidRPr="00F7050E">
              <w:rPr>
                <w:rFonts w:ascii="Arial" w:hAnsi="Arial" w:cs="Arial"/>
                <w:b/>
                <w:sz w:val="20"/>
                <w:szCs w:val="20"/>
              </w:rPr>
              <w:t>SHC</w:t>
            </w:r>
            <w:r w:rsidRPr="00F7050E">
              <w:rPr>
                <w:rFonts w:ascii="Arial" w:hAnsi="Arial" w:cs="Arial"/>
                <w:sz w:val="20"/>
                <w:szCs w:val="20"/>
              </w:rPr>
              <w:t xml:space="preserve"> (Survey on Household Consumption) </w:t>
            </w:r>
          </w:p>
          <w:p w14:paraId="197ACC0D" w14:textId="77777777" w:rsidR="00D12E11" w:rsidRPr="00F7050E" w:rsidRDefault="00D12E11" w:rsidP="00BC7D1B">
            <w:pPr>
              <w:rPr>
                <w:rFonts w:ascii="Arial" w:hAnsi="Arial" w:cs="Arial"/>
                <w:sz w:val="20"/>
                <w:szCs w:val="20"/>
              </w:rPr>
            </w:pPr>
            <w:r w:rsidRPr="00F7050E">
              <w:rPr>
                <w:rFonts w:ascii="Arial" w:hAnsi="Arial" w:cs="Arial"/>
                <w:sz w:val="20"/>
                <w:szCs w:val="20"/>
              </w:rPr>
              <w:t>(</w:t>
            </w:r>
            <w:r w:rsidRPr="00F7050E">
              <w:rPr>
                <w:rFonts w:ascii="Arial" w:hAnsi="Arial" w:cs="Arial"/>
                <w:i/>
                <w:sz w:val="20"/>
                <w:szCs w:val="20"/>
              </w:rPr>
              <w:t>Annually)</w:t>
            </w:r>
          </w:p>
        </w:tc>
        <w:tc>
          <w:tcPr>
            <w:tcW w:w="3009" w:type="dxa"/>
            <w:vAlign w:val="center"/>
          </w:tcPr>
          <w:p w14:paraId="16F2C7BF" w14:textId="77777777" w:rsidR="00D12E11" w:rsidRPr="00F7050E" w:rsidRDefault="00D12E11" w:rsidP="00BC7D1B">
            <w:pPr>
              <w:spacing w:after="120"/>
              <w:rPr>
                <w:rFonts w:ascii="Arial" w:hAnsi="Arial" w:cs="Arial"/>
                <w:i/>
                <w:sz w:val="20"/>
                <w:szCs w:val="20"/>
              </w:rPr>
            </w:pPr>
            <w:r w:rsidRPr="00F7050E">
              <w:rPr>
                <w:rFonts w:ascii="Arial" w:hAnsi="Arial" w:cs="Arial"/>
                <w:i/>
                <w:sz w:val="20"/>
                <w:szCs w:val="20"/>
              </w:rPr>
              <w:t>Absolute poverty is currently not covered by the official statistics</w:t>
            </w:r>
          </w:p>
          <w:p w14:paraId="7AE5A6A0" w14:textId="77777777" w:rsidR="00D12E11" w:rsidRPr="00F7050E" w:rsidRDefault="00D12E11" w:rsidP="00BC7D1B">
            <w:pPr>
              <w:spacing w:after="120"/>
              <w:rPr>
                <w:rFonts w:ascii="Arial" w:hAnsi="Arial" w:cs="Arial"/>
                <w:sz w:val="20"/>
                <w:szCs w:val="20"/>
              </w:rPr>
            </w:pPr>
            <w:r w:rsidRPr="00F7050E">
              <w:rPr>
                <w:rFonts w:ascii="Arial" w:hAnsi="Arial" w:cs="Arial"/>
                <w:sz w:val="20"/>
                <w:szCs w:val="20"/>
              </w:rPr>
              <w:t>Bearing in mind that a significant part of Serbia's population cannot meet even its basic needs, this indicator needs to be monitored as an indicator complementing the at-risk-of-poverty rate</w:t>
            </w:r>
          </w:p>
          <w:p w14:paraId="573649D3" w14:textId="77777777" w:rsidR="00D12E11" w:rsidRPr="00F7050E" w:rsidRDefault="00D12E11" w:rsidP="00BC7D1B">
            <w:pPr>
              <w:spacing w:after="120"/>
              <w:rPr>
                <w:rFonts w:ascii="Arial" w:hAnsi="Arial" w:cs="Arial"/>
                <w:sz w:val="20"/>
                <w:szCs w:val="20"/>
              </w:rPr>
            </w:pPr>
          </w:p>
        </w:tc>
      </w:tr>
      <w:tr w:rsidR="00D12E11" w:rsidRPr="00F7050E" w14:paraId="5A4D71E3" w14:textId="77777777" w:rsidTr="00BC7D1B">
        <w:trPr>
          <w:trHeight w:val="454"/>
          <w:jc w:val="center"/>
        </w:trPr>
        <w:tc>
          <w:tcPr>
            <w:tcW w:w="534" w:type="dxa"/>
            <w:vAlign w:val="center"/>
          </w:tcPr>
          <w:p w14:paraId="1B088083"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lastRenderedPageBreak/>
              <w:t>S</w:t>
            </w:r>
          </w:p>
        </w:tc>
        <w:tc>
          <w:tcPr>
            <w:tcW w:w="2409" w:type="dxa"/>
          </w:tcPr>
          <w:p w14:paraId="3036F330" w14:textId="77777777" w:rsidR="00D12E11" w:rsidRPr="00F7050E" w:rsidRDefault="00D12E11" w:rsidP="00BC7D1B">
            <w:pPr>
              <w:rPr>
                <w:rFonts w:ascii="Arial" w:hAnsi="Arial" w:cs="Arial"/>
                <w:sz w:val="20"/>
                <w:szCs w:val="20"/>
              </w:rPr>
            </w:pPr>
            <w:r w:rsidRPr="00F7050E">
              <w:rPr>
                <w:rFonts w:ascii="Arial" w:hAnsi="Arial" w:cs="Arial"/>
                <w:sz w:val="20"/>
                <w:szCs w:val="20"/>
              </w:rPr>
              <w:t>Severe material deprivation of older people (percentage)</w:t>
            </w:r>
          </w:p>
        </w:tc>
        <w:tc>
          <w:tcPr>
            <w:tcW w:w="1772" w:type="dxa"/>
          </w:tcPr>
          <w:p w14:paraId="471C4ADC" w14:textId="77777777" w:rsidR="00D12E11" w:rsidRPr="00F7050E" w:rsidRDefault="00D12E11" w:rsidP="00BC7D1B">
            <w:pPr>
              <w:spacing w:after="120"/>
              <w:rPr>
                <w:rFonts w:ascii="Arial" w:hAnsi="Arial" w:cs="Arial"/>
                <w:sz w:val="20"/>
                <w:szCs w:val="20"/>
              </w:rPr>
            </w:pPr>
            <w:r w:rsidRPr="00F7050E">
              <w:rPr>
                <w:rFonts w:ascii="Arial" w:hAnsi="Arial" w:cs="Arial"/>
                <w:i/>
                <w:sz w:val="20"/>
                <w:szCs w:val="20"/>
              </w:rPr>
              <w:t>Country-specific</w:t>
            </w:r>
            <w:r w:rsidRPr="00F7050E">
              <w:rPr>
                <w:rFonts w:ascii="Arial" w:hAnsi="Arial" w:cs="Arial"/>
                <w:sz w:val="20"/>
                <w:szCs w:val="20"/>
              </w:rPr>
              <w:t xml:space="preserve"> (</w:t>
            </w:r>
            <w:r w:rsidRPr="00F7050E">
              <w:rPr>
                <w:rFonts w:ascii="Arial" w:hAnsi="Arial" w:cs="Arial"/>
                <w:b/>
                <w:sz w:val="20"/>
                <w:szCs w:val="20"/>
              </w:rPr>
              <w:t>ISG</w:t>
            </w:r>
            <w:r w:rsidRPr="00F7050E">
              <w:rPr>
                <w:rFonts w:ascii="Arial" w:hAnsi="Arial" w:cs="Arial"/>
                <w:sz w:val="20"/>
                <w:szCs w:val="20"/>
              </w:rPr>
              <w:t xml:space="preserve"> (Indicators Sub-Group) is considering the inclusion of this indicator)</w:t>
            </w:r>
          </w:p>
        </w:tc>
        <w:tc>
          <w:tcPr>
            <w:tcW w:w="2906" w:type="dxa"/>
          </w:tcPr>
          <w:p w14:paraId="2370AC45" w14:textId="77777777" w:rsidR="00D12E11" w:rsidRPr="00F7050E" w:rsidRDefault="00D12E11" w:rsidP="00BC7D1B">
            <w:pPr>
              <w:rPr>
                <w:rFonts w:ascii="Arial" w:hAnsi="Arial" w:cs="Arial"/>
                <w:sz w:val="20"/>
                <w:szCs w:val="20"/>
              </w:rPr>
            </w:pPr>
          </w:p>
        </w:tc>
        <w:tc>
          <w:tcPr>
            <w:tcW w:w="1630" w:type="dxa"/>
          </w:tcPr>
          <w:p w14:paraId="348D9E72" w14:textId="77777777" w:rsidR="00D12E11" w:rsidRPr="00F7050E" w:rsidRDefault="00D12E11" w:rsidP="00BC7D1B">
            <w:pPr>
              <w:rPr>
                <w:rFonts w:ascii="Arial" w:hAnsi="Arial" w:cs="Arial"/>
                <w:sz w:val="20"/>
                <w:szCs w:val="20"/>
              </w:rPr>
            </w:pPr>
            <w:r w:rsidRPr="00F7050E">
              <w:rPr>
                <w:rFonts w:ascii="Arial" w:hAnsi="Arial" w:cs="Arial"/>
                <w:sz w:val="20"/>
                <w:szCs w:val="20"/>
              </w:rPr>
              <w:t>65+, 75+, by sex</w:t>
            </w:r>
          </w:p>
        </w:tc>
        <w:tc>
          <w:tcPr>
            <w:tcW w:w="1772" w:type="dxa"/>
          </w:tcPr>
          <w:p w14:paraId="38044AEA" w14:textId="77777777" w:rsidR="00D12E11" w:rsidRPr="00F7050E" w:rsidRDefault="00D12E11" w:rsidP="00BC7D1B">
            <w:pPr>
              <w:rPr>
                <w:rFonts w:ascii="Arial" w:hAnsi="Arial" w:cs="Arial"/>
                <w:sz w:val="20"/>
                <w:szCs w:val="20"/>
              </w:rPr>
            </w:pPr>
          </w:p>
        </w:tc>
        <w:tc>
          <w:tcPr>
            <w:tcW w:w="3009" w:type="dxa"/>
          </w:tcPr>
          <w:p w14:paraId="17BAC223" w14:textId="77777777" w:rsidR="00D12E11" w:rsidRPr="00F7050E" w:rsidRDefault="00D12E11" w:rsidP="00BC7D1B">
            <w:pPr>
              <w:rPr>
                <w:rFonts w:ascii="Arial" w:hAnsi="Arial" w:cs="Arial"/>
                <w:i/>
                <w:sz w:val="20"/>
                <w:szCs w:val="20"/>
              </w:rPr>
            </w:pPr>
            <w:r w:rsidRPr="00F7050E">
              <w:rPr>
                <w:rFonts w:ascii="Arial" w:hAnsi="Arial" w:cs="Arial"/>
                <w:sz w:val="20"/>
                <w:szCs w:val="20"/>
              </w:rPr>
              <w:t>EUROSTAT</w:t>
            </w:r>
            <w:r w:rsidRPr="00F7050E">
              <w:rPr>
                <w:rFonts w:ascii="Arial" w:hAnsi="Arial" w:cs="Arial"/>
                <w:i/>
                <w:sz w:val="20"/>
                <w:szCs w:val="20"/>
              </w:rPr>
              <w:t xml:space="preserve"> data for 2013, 2014 and 2015</w:t>
            </w:r>
          </w:p>
          <w:p w14:paraId="72B664FF" w14:textId="77777777" w:rsidR="00D12E11" w:rsidRPr="00F7050E" w:rsidRDefault="00D12E11" w:rsidP="00BC7D1B">
            <w:pPr>
              <w:rPr>
                <w:rFonts w:ascii="Arial" w:hAnsi="Arial" w:cs="Arial"/>
                <w:sz w:val="20"/>
                <w:szCs w:val="20"/>
              </w:rPr>
            </w:pPr>
            <w:r w:rsidRPr="00F7050E">
              <w:rPr>
                <w:rFonts w:ascii="Arial" w:hAnsi="Arial" w:cs="Arial"/>
                <w:sz w:val="20"/>
                <w:szCs w:val="20"/>
              </w:rPr>
              <w:t>Compare with the severe material deprivation of the total population</w:t>
            </w:r>
          </w:p>
        </w:tc>
      </w:tr>
      <w:tr w:rsidR="00D12E11" w:rsidRPr="00F7050E" w14:paraId="6BD023EC" w14:textId="77777777" w:rsidTr="00BC7D1B">
        <w:trPr>
          <w:trHeight w:val="454"/>
          <w:jc w:val="center"/>
        </w:trPr>
        <w:tc>
          <w:tcPr>
            <w:tcW w:w="534" w:type="dxa"/>
            <w:vAlign w:val="center"/>
          </w:tcPr>
          <w:p w14:paraId="6816F6FE"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vAlign w:val="center"/>
          </w:tcPr>
          <w:p w14:paraId="540E4CD5"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At-risk-of-poverty or social exclusion rate for older people (AROPE 65+)</w:t>
            </w:r>
          </w:p>
          <w:p w14:paraId="43A66A0F" w14:textId="77777777" w:rsidR="00D12E11" w:rsidRPr="00F7050E" w:rsidRDefault="00D12E11" w:rsidP="00BC7D1B">
            <w:pPr>
              <w:pStyle w:val="Default"/>
              <w:rPr>
                <w:rFonts w:ascii="Arial" w:hAnsi="Arial" w:cs="Arial"/>
                <w:bCs/>
                <w:sz w:val="20"/>
                <w:szCs w:val="20"/>
                <w:lang w:val="en-GB"/>
              </w:rPr>
            </w:pPr>
          </w:p>
        </w:tc>
        <w:tc>
          <w:tcPr>
            <w:tcW w:w="1772" w:type="dxa"/>
            <w:vAlign w:val="center"/>
          </w:tcPr>
          <w:p w14:paraId="623FA3C1" w14:textId="77777777" w:rsidR="00D12E11" w:rsidRPr="00F7050E" w:rsidRDefault="00D12E11" w:rsidP="00BC7D1B">
            <w:pPr>
              <w:rPr>
                <w:rFonts w:ascii="Arial" w:hAnsi="Arial" w:cs="Arial"/>
                <w:i/>
                <w:sz w:val="20"/>
                <w:szCs w:val="20"/>
              </w:rPr>
            </w:pPr>
            <w:r w:rsidRPr="00F7050E">
              <w:rPr>
                <w:rFonts w:ascii="Arial" w:hAnsi="Arial" w:cs="Arial"/>
                <w:i/>
                <w:sz w:val="20"/>
                <w:szCs w:val="20"/>
              </w:rPr>
              <w:t>Dashboard Indicator</w:t>
            </w:r>
          </w:p>
        </w:tc>
        <w:tc>
          <w:tcPr>
            <w:tcW w:w="2906" w:type="dxa"/>
            <w:vAlign w:val="center"/>
          </w:tcPr>
          <w:p w14:paraId="3E7A08F1" w14:textId="77777777" w:rsidR="00D12E11" w:rsidRPr="00F7050E" w:rsidRDefault="00D12E11" w:rsidP="00BC7D1B">
            <w:pPr>
              <w:widowControl w:val="0"/>
              <w:autoSpaceDE w:val="0"/>
              <w:autoSpaceDN w:val="0"/>
              <w:adjustRightInd w:val="0"/>
              <w:rPr>
                <w:rFonts w:ascii="Arial" w:hAnsi="Arial" w:cs="Arial"/>
                <w:sz w:val="20"/>
                <w:szCs w:val="20"/>
                <w:highlight w:val="lightGray"/>
              </w:rPr>
            </w:pPr>
          </w:p>
        </w:tc>
        <w:tc>
          <w:tcPr>
            <w:tcW w:w="1630" w:type="dxa"/>
            <w:vAlign w:val="center"/>
          </w:tcPr>
          <w:p w14:paraId="6AB5D99E" w14:textId="77777777" w:rsidR="00D12E11" w:rsidRPr="00F7050E" w:rsidRDefault="00D12E11" w:rsidP="00BC7D1B">
            <w:pPr>
              <w:jc w:val="center"/>
              <w:rPr>
                <w:rFonts w:ascii="Arial" w:hAnsi="Arial" w:cs="Arial"/>
                <w:sz w:val="20"/>
                <w:szCs w:val="20"/>
              </w:rPr>
            </w:pPr>
          </w:p>
        </w:tc>
        <w:tc>
          <w:tcPr>
            <w:tcW w:w="1772" w:type="dxa"/>
            <w:vAlign w:val="center"/>
          </w:tcPr>
          <w:p w14:paraId="5D6A7AF5" w14:textId="77777777" w:rsidR="00D12E11" w:rsidRPr="00F7050E" w:rsidRDefault="00D12E11" w:rsidP="00BC7D1B">
            <w:pPr>
              <w:jc w:val="center"/>
              <w:rPr>
                <w:rFonts w:ascii="Arial" w:hAnsi="Arial" w:cs="Arial"/>
                <w:sz w:val="20"/>
                <w:szCs w:val="20"/>
              </w:rPr>
            </w:pPr>
          </w:p>
        </w:tc>
        <w:tc>
          <w:tcPr>
            <w:tcW w:w="3009" w:type="dxa"/>
            <w:vAlign w:val="center"/>
          </w:tcPr>
          <w:p w14:paraId="58FBECCF"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EUROSTAT</w:t>
            </w:r>
            <w:r w:rsidRPr="00F7050E">
              <w:rPr>
                <w:rFonts w:ascii="Arial" w:hAnsi="Arial" w:cs="Arial"/>
                <w:i/>
                <w:sz w:val="20"/>
                <w:szCs w:val="20"/>
                <w:lang w:val="en-GB"/>
              </w:rPr>
              <w:t xml:space="preserve"> data for 2013, 2014 and 2015</w:t>
            </w:r>
          </w:p>
          <w:p w14:paraId="53B898F0" w14:textId="77777777" w:rsidR="00D12E11" w:rsidRPr="00F7050E" w:rsidRDefault="00D12E11" w:rsidP="00BC7D1B">
            <w:pPr>
              <w:rPr>
                <w:rFonts w:ascii="Arial" w:hAnsi="Arial" w:cs="Arial"/>
                <w:sz w:val="20"/>
                <w:szCs w:val="20"/>
              </w:rPr>
            </w:pPr>
            <w:r w:rsidRPr="00F7050E">
              <w:rPr>
                <w:rFonts w:ascii="Arial" w:hAnsi="Arial" w:cs="Arial"/>
                <w:sz w:val="20"/>
                <w:szCs w:val="20"/>
              </w:rPr>
              <w:t>This actually presents the cross-sectional data/analysis regarding the at-risk-of-poverty rate and material deprivation</w:t>
            </w:r>
          </w:p>
        </w:tc>
      </w:tr>
      <w:tr w:rsidR="00D12E11" w:rsidRPr="00F7050E" w14:paraId="16CD4D32" w14:textId="77777777" w:rsidTr="00BC7D1B">
        <w:trPr>
          <w:trHeight w:val="340"/>
          <w:jc w:val="center"/>
        </w:trPr>
        <w:tc>
          <w:tcPr>
            <w:tcW w:w="14032" w:type="dxa"/>
            <w:gridSpan w:val="7"/>
            <w:vAlign w:val="center"/>
          </w:tcPr>
          <w:p w14:paraId="2AFF14CA" w14:textId="77777777" w:rsidR="00D12E11" w:rsidRPr="00F7050E" w:rsidRDefault="00D12E11" w:rsidP="00BC7D1B">
            <w:pPr>
              <w:rPr>
                <w:rFonts w:ascii="Arial" w:hAnsi="Arial" w:cs="Arial"/>
                <w:b/>
                <w:i/>
                <w:sz w:val="20"/>
                <w:szCs w:val="20"/>
              </w:rPr>
            </w:pPr>
            <w:r w:rsidRPr="00F7050E">
              <w:rPr>
                <w:rFonts w:ascii="Arial" w:hAnsi="Arial" w:cs="Arial"/>
                <w:b/>
                <w:i/>
                <w:sz w:val="20"/>
                <w:szCs w:val="20"/>
              </w:rPr>
              <w:t>Relative Living Standard</w:t>
            </w:r>
          </w:p>
        </w:tc>
      </w:tr>
      <w:tr w:rsidR="00D12E11" w:rsidRPr="00F7050E" w14:paraId="7720563A" w14:textId="77777777" w:rsidTr="00BC7D1B">
        <w:trPr>
          <w:trHeight w:val="454"/>
          <w:jc w:val="center"/>
        </w:trPr>
        <w:tc>
          <w:tcPr>
            <w:tcW w:w="534" w:type="dxa"/>
          </w:tcPr>
          <w:p w14:paraId="5D173966" w14:textId="77777777" w:rsidR="00D12E11" w:rsidRPr="00F7050E" w:rsidRDefault="00D12E11" w:rsidP="00BC7D1B">
            <w:pPr>
              <w:jc w:val="center"/>
              <w:rPr>
                <w:rFonts w:ascii="Arial" w:hAnsi="Arial" w:cs="Arial"/>
                <w:sz w:val="20"/>
                <w:szCs w:val="20"/>
              </w:rPr>
            </w:pPr>
          </w:p>
          <w:p w14:paraId="5F01EDC5" w14:textId="77777777" w:rsidR="00D12E11" w:rsidRPr="00F7050E" w:rsidRDefault="00D12E11" w:rsidP="00BC7D1B">
            <w:pPr>
              <w:jc w:val="center"/>
              <w:rPr>
                <w:rFonts w:ascii="Arial" w:hAnsi="Arial" w:cs="Arial"/>
                <w:sz w:val="20"/>
                <w:szCs w:val="20"/>
              </w:rPr>
            </w:pPr>
          </w:p>
          <w:p w14:paraId="680B9819" w14:textId="77777777" w:rsidR="00D12E11" w:rsidRPr="00F7050E" w:rsidRDefault="00D12E11" w:rsidP="00BC7D1B">
            <w:pPr>
              <w:jc w:val="center"/>
              <w:rPr>
                <w:rFonts w:ascii="Arial" w:hAnsi="Arial" w:cs="Arial"/>
                <w:sz w:val="20"/>
                <w:szCs w:val="20"/>
              </w:rPr>
            </w:pPr>
          </w:p>
          <w:p w14:paraId="1FD6E8C0"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tcPr>
          <w:p w14:paraId="12ABD649" w14:textId="77777777" w:rsidR="00D12E11" w:rsidRPr="00F7050E" w:rsidRDefault="00D12E11" w:rsidP="00BC7D1B">
            <w:pPr>
              <w:pStyle w:val="Default"/>
              <w:rPr>
                <w:rFonts w:ascii="Arial" w:hAnsi="Arial" w:cs="Arial"/>
                <w:bCs/>
                <w:color w:val="3366FF"/>
                <w:sz w:val="20"/>
                <w:szCs w:val="20"/>
                <w:lang w:val="en-GB"/>
              </w:rPr>
            </w:pPr>
          </w:p>
          <w:p w14:paraId="65485B66" w14:textId="77777777" w:rsidR="00D12E11" w:rsidRPr="00F7050E" w:rsidRDefault="00D12E11" w:rsidP="00BC7D1B">
            <w:pPr>
              <w:pStyle w:val="Default"/>
              <w:rPr>
                <w:rFonts w:ascii="Arial" w:hAnsi="Arial" w:cs="Arial"/>
                <w:bCs/>
                <w:color w:val="3366FF"/>
                <w:sz w:val="20"/>
                <w:szCs w:val="20"/>
                <w:lang w:val="en-GB"/>
              </w:rPr>
            </w:pPr>
          </w:p>
          <w:p w14:paraId="23E750B1"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bCs/>
                <w:color w:val="auto"/>
                <w:sz w:val="20"/>
                <w:szCs w:val="20"/>
                <w:lang w:val="en-GB"/>
              </w:rPr>
              <w:t xml:space="preserve">Median relative income of older people </w:t>
            </w:r>
          </w:p>
          <w:p w14:paraId="7C0F5AB5" w14:textId="77777777" w:rsidR="00D12E11" w:rsidRPr="00F7050E" w:rsidRDefault="00D12E11" w:rsidP="00BC7D1B">
            <w:pPr>
              <w:rPr>
                <w:rFonts w:ascii="Arial" w:hAnsi="Arial" w:cs="Arial"/>
                <w:b/>
                <w:sz w:val="20"/>
                <w:szCs w:val="20"/>
              </w:rPr>
            </w:pPr>
          </w:p>
        </w:tc>
        <w:tc>
          <w:tcPr>
            <w:tcW w:w="1772" w:type="dxa"/>
          </w:tcPr>
          <w:p w14:paraId="7417CBBC" w14:textId="77777777" w:rsidR="00D12E11" w:rsidRPr="00F7050E" w:rsidRDefault="00D12E11" w:rsidP="00BC7D1B">
            <w:pPr>
              <w:rPr>
                <w:rFonts w:ascii="Arial" w:hAnsi="Arial" w:cs="Arial"/>
                <w:i/>
                <w:sz w:val="20"/>
                <w:szCs w:val="20"/>
              </w:rPr>
            </w:pPr>
            <w:r w:rsidRPr="00F7050E">
              <w:rPr>
                <w:rFonts w:ascii="Arial" w:hAnsi="Arial" w:cs="Arial"/>
                <w:i/>
                <w:sz w:val="20"/>
                <w:szCs w:val="20"/>
              </w:rPr>
              <w:t xml:space="preserve">Adequate Pensions </w:t>
            </w:r>
          </w:p>
          <w:p w14:paraId="4FEFE069" w14:textId="77777777" w:rsidR="00D12E11" w:rsidRPr="00F7050E" w:rsidRDefault="00D12E11" w:rsidP="00BC7D1B">
            <w:pPr>
              <w:rPr>
                <w:rFonts w:ascii="Arial" w:hAnsi="Arial" w:cs="Arial"/>
                <w:i/>
                <w:sz w:val="20"/>
                <w:szCs w:val="20"/>
              </w:rPr>
            </w:pPr>
            <w:r w:rsidRPr="00F7050E">
              <w:rPr>
                <w:rFonts w:ascii="Arial" w:hAnsi="Arial" w:cs="Arial"/>
                <w:i/>
                <w:sz w:val="20"/>
                <w:szCs w:val="20"/>
              </w:rPr>
              <w:t>- Secondary EU Indicator</w:t>
            </w:r>
          </w:p>
          <w:p w14:paraId="4080F263" w14:textId="77777777" w:rsidR="00D12E11" w:rsidRPr="00F7050E" w:rsidRDefault="00D12E11" w:rsidP="00BC7D1B">
            <w:pPr>
              <w:rPr>
                <w:rFonts w:ascii="Arial" w:hAnsi="Arial" w:cs="Arial"/>
                <w:i/>
                <w:sz w:val="20"/>
                <w:szCs w:val="20"/>
              </w:rPr>
            </w:pPr>
          </w:p>
          <w:p w14:paraId="2DDF9C6E" w14:textId="77777777" w:rsidR="00D12E11" w:rsidRPr="00F7050E" w:rsidRDefault="00D12E11" w:rsidP="00BC7D1B">
            <w:pPr>
              <w:rPr>
                <w:rFonts w:ascii="Arial" w:hAnsi="Arial" w:cs="Arial"/>
                <w:i/>
                <w:sz w:val="20"/>
                <w:szCs w:val="20"/>
              </w:rPr>
            </w:pPr>
            <w:r w:rsidRPr="00F7050E">
              <w:rPr>
                <w:rFonts w:ascii="Arial" w:hAnsi="Arial" w:cs="Arial"/>
                <w:i/>
                <w:sz w:val="20"/>
                <w:szCs w:val="20"/>
              </w:rPr>
              <w:t>Dashboard Indicator</w:t>
            </w:r>
          </w:p>
          <w:p w14:paraId="7680E0FA" w14:textId="77777777" w:rsidR="00D12E11" w:rsidRPr="00F7050E" w:rsidRDefault="00D12E11" w:rsidP="00BC7D1B">
            <w:pPr>
              <w:jc w:val="center"/>
              <w:rPr>
                <w:rFonts w:ascii="Arial" w:hAnsi="Arial" w:cs="Arial"/>
                <w:b/>
                <w:sz w:val="20"/>
                <w:szCs w:val="20"/>
              </w:rPr>
            </w:pPr>
          </w:p>
        </w:tc>
        <w:tc>
          <w:tcPr>
            <w:tcW w:w="2906" w:type="dxa"/>
          </w:tcPr>
          <w:p w14:paraId="4943DFCA"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Median equivalised disposable income of people aged 65+ as a ratio of income of people aged 0-64 </w:t>
            </w:r>
          </w:p>
          <w:p w14:paraId="4BED23B8" w14:textId="77777777" w:rsidR="00D12E11" w:rsidRPr="00F7050E" w:rsidRDefault="00D12E11" w:rsidP="00BC7D1B">
            <w:pPr>
              <w:jc w:val="center"/>
              <w:rPr>
                <w:rFonts w:ascii="Arial" w:hAnsi="Arial" w:cs="Arial"/>
                <w:b/>
                <w:sz w:val="20"/>
                <w:szCs w:val="20"/>
              </w:rPr>
            </w:pPr>
          </w:p>
        </w:tc>
        <w:tc>
          <w:tcPr>
            <w:tcW w:w="1630" w:type="dxa"/>
          </w:tcPr>
          <w:p w14:paraId="638033CA" w14:textId="77777777" w:rsidR="00D12E11" w:rsidRPr="00F7050E" w:rsidRDefault="00D12E11" w:rsidP="00BC7D1B">
            <w:pPr>
              <w:rPr>
                <w:rFonts w:ascii="Arial" w:hAnsi="Arial" w:cs="Arial"/>
                <w:sz w:val="20"/>
                <w:szCs w:val="20"/>
              </w:rPr>
            </w:pPr>
            <w:r w:rsidRPr="00F7050E">
              <w:rPr>
                <w:rFonts w:ascii="Arial" w:hAnsi="Arial" w:cs="Arial"/>
                <w:sz w:val="20"/>
                <w:szCs w:val="20"/>
              </w:rPr>
              <w:t>By sex</w:t>
            </w:r>
          </w:p>
        </w:tc>
        <w:tc>
          <w:tcPr>
            <w:tcW w:w="1772" w:type="dxa"/>
          </w:tcPr>
          <w:p w14:paraId="484FC671"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377CB2C5" w14:textId="77777777" w:rsidR="00D12E11" w:rsidRPr="00F7050E" w:rsidRDefault="00D12E11" w:rsidP="00BC7D1B">
            <w:pPr>
              <w:rPr>
                <w:rFonts w:ascii="Arial" w:hAnsi="Arial" w:cs="Arial"/>
                <w:sz w:val="20"/>
                <w:szCs w:val="20"/>
              </w:rPr>
            </w:pPr>
          </w:p>
        </w:tc>
        <w:tc>
          <w:tcPr>
            <w:tcW w:w="3009" w:type="dxa"/>
          </w:tcPr>
          <w:p w14:paraId="45E3019D" w14:textId="77777777" w:rsidR="00D12E11" w:rsidRPr="00F7050E" w:rsidRDefault="00D12E11" w:rsidP="00BC7D1B">
            <w:pPr>
              <w:pStyle w:val="Default"/>
              <w:rPr>
                <w:rFonts w:ascii="Arial" w:hAnsi="Arial" w:cs="Arial"/>
                <w:i/>
                <w:sz w:val="20"/>
                <w:szCs w:val="20"/>
                <w:lang w:val="en-GB"/>
              </w:rPr>
            </w:pPr>
            <w:r w:rsidRPr="00F7050E">
              <w:rPr>
                <w:rFonts w:ascii="Arial" w:hAnsi="Arial" w:cs="Arial"/>
                <w:sz w:val="20"/>
                <w:szCs w:val="20"/>
                <w:lang w:val="en-GB"/>
              </w:rPr>
              <w:t xml:space="preserve">EUROSTAT </w:t>
            </w:r>
            <w:r w:rsidRPr="00F7050E">
              <w:rPr>
                <w:rFonts w:ascii="Arial" w:hAnsi="Arial" w:cs="Arial"/>
                <w:i/>
                <w:sz w:val="20"/>
                <w:szCs w:val="20"/>
                <w:lang w:val="en-GB"/>
              </w:rPr>
              <w:t>data for 2013, 2014 and 2015</w:t>
            </w:r>
          </w:p>
          <w:p w14:paraId="30C1B9E7" w14:textId="77777777" w:rsidR="00D12E11" w:rsidRPr="00F7050E" w:rsidRDefault="00D12E11" w:rsidP="00BC7D1B">
            <w:pPr>
              <w:rPr>
                <w:rFonts w:ascii="Arial" w:hAnsi="Arial" w:cs="Arial"/>
                <w:sz w:val="20"/>
                <w:szCs w:val="20"/>
              </w:rPr>
            </w:pPr>
          </w:p>
          <w:p w14:paraId="1305B2E7" w14:textId="77777777" w:rsidR="00D12E11" w:rsidRPr="00F7050E" w:rsidRDefault="00D12E11" w:rsidP="00BC7D1B">
            <w:pPr>
              <w:rPr>
                <w:rFonts w:ascii="Arial" w:hAnsi="Arial" w:cs="Arial"/>
                <w:sz w:val="20"/>
                <w:szCs w:val="20"/>
              </w:rPr>
            </w:pPr>
            <w:r w:rsidRPr="00F7050E">
              <w:rPr>
                <w:rFonts w:ascii="Arial" w:hAnsi="Arial" w:cs="Arial"/>
                <w:sz w:val="20"/>
                <w:szCs w:val="20"/>
              </w:rPr>
              <w:t>This indicator informs on the overall adequacy of income of older people. Relative context information: income composition</w:t>
            </w:r>
          </w:p>
          <w:p w14:paraId="5CAD158B" w14:textId="77777777" w:rsidR="00D12E11" w:rsidRPr="00F7050E" w:rsidRDefault="00D12E11" w:rsidP="00BC7D1B">
            <w:pPr>
              <w:rPr>
                <w:rFonts w:ascii="Arial" w:hAnsi="Arial" w:cs="Arial"/>
                <w:sz w:val="20"/>
                <w:szCs w:val="20"/>
              </w:rPr>
            </w:pPr>
          </w:p>
        </w:tc>
      </w:tr>
      <w:tr w:rsidR="00D12E11" w:rsidRPr="00F7050E" w14:paraId="45B89550" w14:textId="77777777" w:rsidTr="00BC7D1B">
        <w:trPr>
          <w:trHeight w:val="454"/>
          <w:jc w:val="center"/>
        </w:trPr>
        <w:tc>
          <w:tcPr>
            <w:tcW w:w="534" w:type="dxa"/>
            <w:vAlign w:val="center"/>
          </w:tcPr>
          <w:p w14:paraId="2E98DC04"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393D637D" w14:textId="77777777" w:rsidR="00D12E11" w:rsidRPr="00F7050E" w:rsidRDefault="00D12E11" w:rsidP="00BC7D1B">
            <w:pPr>
              <w:pStyle w:val="Default"/>
              <w:rPr>
                <w:rFonts w:ascii="Arial" w:hAnsi="Arial" w:cs="Arial"/>
                <w:bCs/>
                <w:sz w:val="20"/>
                <w:szCs w:val="20"/>
                <w:lang w:val="en-GB"/>
              </w:rPr>
            </w:pPr>
          </w:p>
          <w:p w14:paraId="031E8AAE" w14:textId="77777777" w:rsidR="00D12E11" w:rsidRPr="00F7050E" w:rsidRDefault="00D12E11" w:rsidP="00BC7D1B">
            <w:pPr>
              <w:pStyle w:val="Default"/>
              <w:rPr>
                <w:rFonts w:ascii="Arial" w:hAnsi="Arial" w:cs="Arial"/>
                <w:bCs/>
                <w:sz w:val="20"/>
                <w:szCs w:val="20"/>
                <w:lang w:val="en-GB"/>
              </w:rPr>
            </w:pPr>
          </w:p>
          <w:p w14:paraId="45BAE7A3" w14:textId="77777777" w:rsidR="00D12E11" w:rsidRPr="00F7050E" w:rsidRDefault="00D12E11" w:rsidP="00BC7D1B">
            <w:pPr>
              <w:pStyle w:val="Default"/>
              <w:rPr>
                <w:rFonts w:ascii="Arial" w:hAnsi="Arial" w:cs="Arial"/>
                <w:sz w:val="20"/>
                <w:szCs w:val="20"/>
                <w:lang w:val="en-GB"/>
              </w:rPr>
            </w:pPr>
            <w:r w:rsidRPr="00F7050E">
              <w:rPr>
                <w:rFonts w:ascii="Arial" w:hAnsi="Arial" w:cs="Arial"/>
                <w:bCs/>
                <w:sz w:val="20"/>
                <w:szCs w:val="20"/>
                <w:lang w:val="en-GB"/>
              </w:rPr>
              <w:t xml:space="preserve">Median relative income of older people (60+) </w:t>
            </w:r>
          </w:p>
          <w:p w14:paraId="2E553B6C" w14:textId="77777777" w:rsidR="00D12E11" w:rsidRPr="00F7050E" w:rsidRDefault="00D12E11" w:rsidP="00BC7D1B">
            <w:pPr>
              <w:pStyle w:val="Default"/>
              <w:rPr>
                <w:rFonts w:ascii="Arial" w:hAnsi="Arial" w:cs="Arial"/>
                <w:bCs/>
                <w:sz w:val="20"/>
                <w:szCs w:val="20"/>
                <w:lang w:val="en-GB"/>
              </w:rPr>
            </w:pPr>
          </w:p>
          <w:p w14:paraId="16D57B99" w14:textId="77777777" w:rsidR="00D12E11" w:rsidRPr="00F7050E" w:rsidRDefault="00D12E11" w:rsidP="00BC7D1B">
            <w:pPr>
              <w:pStyle w:val="Default"/>
              <w:rPr>
                <w:rFonts w:ascii="Arial" w:hAnsi="Arial" w:cs="Arial"/>
                <w:bCs/>
                <w:sz w:val="20"/>
                <w:szCs w:val="20"/>
                <w:lang w:val="en-GB"/>
              </w:rPr>
            </w:pPr>
          </w:p>
          <w:p w14:paraId="16F35C80" w14:textId="77777777" w:rsidR="00D12E11" w:rsidRPr="00F7050E" w:rsidRDefault="00D12E11" w:rsidP="00BC7D1B">
            <w:pPr>
              <w:pStyle w:val="Default"/>
              <w:rPr>
                <w:rFonts w:ascii="Arial" w:hAnsi="Arial" w:cs="Arial"/>
                <w:bCs/>
                <w:sz w:val="20"/>
                <w:szCs w:val="20"/>
                <w:lang w:val="en-GB"/>
              </w:rPr>
            </w:pPr>
          </w:p>
        </w:tc>
        <w:tc>
          <w:tcPr>
            <w:tcW w:w="1772" w:type="dxa"/>
          </w:tcPr>
          <w:p w14:paraId="11304BA8" w14:textId="77777777" w:rsidR="00D12E11" w:rsidRPr="00F7050E" w:rsidRDefault="00D12E11" w:rsidP="00BC7D1B">
            <w:pPr>
              <w:framePr w:hSpace="180" w:wrap="around" w:vAnchor="page" w:hAnchor="margin" w:x="-459" w:y="615"/>
              <w:rPr>
                <w:rFonts w:ascii="Arial" w:hAnsi="Arial" w:cs="Arial"/>
                <w:i/>
                <w:sz w:val="20"/>
                <w:szCs w:val="20"/>
              </w:rPr>
            </w:pPr>
            <w:r w:rsidRPr="00F7050E">
              <w:rPr>
                <w:rFonts w:ascii="Arial" w:hAnsi="Arial" w:cs="Arial"/>
                <w:i/>
                <w:sz w:val="20"/>
                <w:szCs w:val="20"/>
              </w:rPr>
              <w:t xml:space="preserve">Adequate Pensions </w:t>
            </w:r>
          </w:p>
          <w:p w14:paraId="04D32581" w14:textId="77777777" w:rsidR="00D12E11" w:rsidRPr="00F7050E" w:rsidRDefault="00D12E11" w:rsidP="00BC7D1B">
            <w:pPr>
              <w:framePr w:hSpace="180" w:wrap="around" w:vAnchor="page" w:hAnchor="margin" w:x="-459" w:y="615"/>
              <w:rPr>
                <w:rFonts w:ascii="Arial" w:hAnsi="Arial" w:cs="Arial"/>
                <w:i/>
                <w:sz w:val="20"/>
                <w:szCs w:val="20"/>
              </w:rPr>
            </w:pPr>
            <w:r w:rsidRPr="00F7050E">
              <w:rPr>
                <w:rFonts w:ascii="Arial" w:hAnsi="Arial" w:cs="Arial"/>
                <w:i/>
                <w:sz w:val="20"/>
                <w:szCs w:val="20"/>
              </w:rPr>
              <w:t>- Secondary EU indicator</w:t>
            </w:r>
          </w:p>
          <w:p w14:paraId="3352858E" w14:textId="77777777" w:rsidR="00D12E11" w:rsidRPr="00F7050E" w:rsidRDefault="00D12E11" w:rsidP="00BC7D1B">
            <w:pPr>
              <w:rPr>
                <w:rFonts w:ascii="Arial" w:hAnsi="Arial" w:cs="Arial"/>
                <w:i/>
                <w:sz w:val="20"/>
                <w:szCs w:val="20"/>
              </w:rPr>
            </w:pPr>
          </w:p>
          <w:p w14:paraId="7FDA5B32" w14:textId="77777777" w:rsidR="00D12E11" w:rsidRPr="00F7050E" w:rsidRDefault="00D12E11" w:rsidP="00BC7D1B">
            <w:pPr>
              <w:rPr>
                <w:rFonts w:ascii="Arial" w:hAnsi="Arial" w:cs="Arial"/>
                <w:i/>
                <w:sz w:val="20"/>
                <w:szCs w:val="20"/>
              </w:rPr>
            </w:pPr>
          </w:p>
          <w:p w14:paraId="76E9795C" w14:textId="77777777" w:rsidR="00D12E11" w:rsidRPr="00F7050E" w:rsidRDefault="00D12E11" w:rsidP="00BC7D1B">
            <w:pPr>
              <w:rPr>
                <w:rFonts w:ascii="Arial" w:hAnsi="Arial" w:cs="Arial"/>
                <w:i/>
                <w:sz w:val="20"/>
                <w:szCs w:val="20"/>
              </w:rPr>
            </w:pPr>
          </w:p>
          <w:p w14:paraId="75E1A359" w14:textId="77777777" w:rsidR="00D12E11" w:rsidRPr="00F7050E" w:rsidRDefault="00D12E11" w:rsidP="00BC7D1B">
            <w:pPr>
              <w:rPr>
                <w:rFonts w:ascii="Arial" w:hAnsi="Arial" w:cs="Arial"/>
                <w:sz w:val="20"/>
                <w:szCs w:val="20"/>
              </w:rPr>
            </w:pPr>
          </w:p>
        </w:tc>
        <w:tc>
          <w:tcPr>
            <w:tcW w:w="2906" w:type="dxa"/>
          </w:tcPr>
          <w:p w14:paraId="6C4480F2"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Median equivalised disposable income of people aged 60+ as a ratio of equivalised disposable income of people aged 0-59 </w:t>
            </w:r>
          </w:p>
          <w:p w14:paraId="1B13A83F" w14:textId="77777777" w:rsidR="00D12E11" w:rsidRPr="00F7050E" w:rsidRDefault="00D12E11" w:rsidP="00BC7D1B">
            <w:pPr>
              <w:pStyle w:val="Default"/>
              <w:rPr>
                <w:rFonts w:ascii="Arial" w:hAnsi="Arial" w:cs="Arial"/>
                <w:sz w:val="20"/>
                <w:szCs w:val="20"/>
                <w:lang w:val="en-GB"/>
              </w:rPr>
            </w:pPr>
          </w:p>
        </w:tc>
        <w:tc>
          <w:tcPr>
            <w:tcW w:w="1630" w:type="dxa"/>
          </w:tcPr>
          <w:p w14:paraId="5C2A34C1"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By sex</w:t>
            </w:r>
          </w:p>
        </w:tc>
        <w:tc>
          <w:tcPr>
            <w:tcW w:w="1772" w:type="dxa"/>
          </w:tcPr>
          <w:p w14:paraId="5A36AEF9"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7EE35EA5" w14:textId="77777777" w:rsidR="00D12E11" w:rsidRPr="00F7050E" w:rsidRDefault="00D12E11" w:rsidP="00BC7D1B">
            <w:pPr>
              <w:pStyle w:val="Default"/>
              <w:rPr>
                <w:rFonts w:ascii="Arial" w:hAnsi="Arial" w:cs="Arial"/>
                <w:sz w:val="20"/>
                <w:szCs w:val="20"/>
                <w:lang w:val="en-GB"/>
              </w:rPr>
            </w:pPr>
          </w:p>
        </w:tc>
        <w:tc>
          <w:tcPr>
            <w:tcW w:w="3009" w:type="dxa"/>
          </w:tcPr>
          <w:p w14:paraId="73B2D820" w14:textId="77777777" w:rsidR="00D12E11" w:rsidRPr="00F7050E" w:rsidRDefault="00D12E11" w:rsidP="00BC7D1B">
            <w:pPr>
              <w:jc w:val="center"/>
              <w:rPr>
                <w:rFonts w:ascii="Arial" w:hAnsi="Arial" w:cs="Arial"/>
                <w:sz w:val="20"/>
                <w:szCs w:val="20"/>
                <w:highlight w:val="yellow"/>
              </w:rPr>
            </w:pPr>
          </w:p>
          <w:p w14:paraId="2F1A2AF4" w14:textId="77777777" w:rsidR="00D12E11" w:rsidRPr="00F7050E" w:rsidRDefault="00D12E11" w:rsidP="00BC7D1B">
            <w:pPr>
              <w:jc w:val="center"/>
              <w:rPr>
                <w:rFonts w:ascii="Arial" w:hAnsi="Arial" w:cs="Arial"/>
                <w:sz w:val="20"/>
                <w:szCs w:val="20"/>
                <w:highlight w:val="yellow"/>
              </w:rPr>
            </w:pPr>
          </w:p>
          <w:p w14:paraId="19EE98B4" w14:textId="77777777" w:rsidR="00D12E11" w:rsidRPr="00F7050E" w:rsidRDefault="00D12E11" w:rsidP="00BC7D1B">
            <w:pPr>
              <w:jc w:val="center"/>
              <w:rPr>
                <w:rFonts w:ascii="Arial" w:hAnsi="Arial" w:cs="Arial"/>
                <w:sz w:val="20"/>
                <w:szCs w:val="20"/>
                <w:highlight w:val="yellow"/>
              </w:rPr>
            </w:pPr>
          </w:p>
          <w:p w14:paraId="7164DE7F"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Idem</w:t>
            </w:r>
          </w:p>
        </w:tc>
      </w:tr>
      <w:tr w:rsidR="00D12E11" w:rsidRPr="00F7050E" w14:paraId="52996292" w14:textId="77777777" w:rsidTr="00BC7D1B">
        <w:trPr>
          <w:trHeight w:val="340"/>
          <w:jc w:val="center"/>
        </w:trPr>
        <w:tc>
          <w:tcPr>
            <w:tcW w:w="14032" w:type="dxa"/>
            <w:gridSpan w:val="7"/>
            <w:vAlign w:val="center"/>
          </w:tcPr>
          <w:p w14:paraId="5544FC8C" w14:textId="77777777" w:rsidR="00D12E11" w:rsidRPr="00F7050E" w:rsidRDefault="00D12E11" w:rsidP="00BC7D1B">
            <w:pPr>
              <w:rPr>
                <w:rFonts w:ascii="Arial" w:hAnsi="Arial" w:cs="Arial"/>
                <w:b/>
                <w:i/>
                <w:sz w:val="20"/>
                <w:szCs w:val="20"/>
              </w:rPr>
            </w:pPr>
            <w:r w:rsidRPr="00F7050E">
              <w:rPr>
                <w:rFonts w:ascii="Arial" w:hAnsi="Arial" w:cs="Arial"/>
                <w:b/>
                <w:i/>
                <w:sz w:val="20"/>
                <w:szCs w:val="20"/>
              </w:rPr>
              <w:t xml:space="preserve">Gender/Income Inequality </w:t>
            </w:r>
          </w:p>
        </w:tc>
      </w:tr>
      <w:tr w:rsidR="00D12E11" w:rsidRPr="00F7050E" w14:paraId="6F17FDC1" w14:textId="77777777" w:rsidTr="00BC7D1B">
        <w:trPr>
          <w:trHeight w:val="454"/>
          <w:jc w:val="center"/>
        </w:trPr>
        <w:tc>
          <w:tcPr>
            <w:tcW w:w="534" w:type="dxa"/>
          </w:tcPr>
          <w:p w14:paraId="61676177" w14:textId="77777777" w:rsidR="00D12E11" w:rsidRPr="00F7050E" w:rsidRDefault="00D12E11" w:rsidP="00BC7D1B">
            <w:pPr>
              <w:rPr>
                <w:rFonts w:ascii="Arial" w:hAnsi="Arial" w:cs="Arial"/>
                <w:sz w:val="20"/>
                <w:szCs w:val="20"/>
              </w:rPr>
            </w:pPr>
            <w:r w:rsidRPr="00F7050E">
              <w:rPr>
                <w:rFonts w:ascii="Arial" w:hAnsi="Arial" w:cs="Arial"/>
                <w:sz w:val="20"/>
                <w:szCs w:val="20"/>
              </w:rPr>
              <w:t>P</w:t>
            </w:r>
          </w:p>
        </w:tc>
        <w:tc>
          <w:tcPr>
            <w:tcW w:w="2409" w:type="dxa"/>
          </w:tcPr>
          <w:p w14:paraId="5612F7AF" w14:textId="77777777" w:rsidR="00D12E11" w:rsidRPr="00F7050E" w:rsidRDefault="00D12E11" w:rsidP="00BC7D1B">
            <w:pPr>
              <w:pStyle w:val="Default"/>
              <w:rPr>
                <w:rFonts w:ascii="Arial" w:hAnsi="Arial" w:cs="Arial"/>
                <w:bCs/>
                <w:color w:val="auto"/>
                <w:sz w:val="20"/>
                <w:szCs w:val="20"/>
                <w:lang w:val="en-GB"/>
              </w:rPr>
            </w:pPr>
          </w:p>
          <w:p w14:paraId="30B4CC2B" w14:textId="77777777" w:rsidR="00D12E11" w:rsidRPr="00F7050E" w:rsidRDefault="00D12E11" w:rsidP="00BC7D1B">
            <w:pPr>
              <w:pStyle w:val="Default"/>
              <w:rPr>
                <w:rFonts w:ascii="Arial" w:hAnsi="Arial" w:cs="Arial"/>
                <w:bCs/>
                <w:color w:val="auto"/>
                <w:sz w:val="20"/>
                <w:szCs w:val="20"/>
                <w:lang w:val="en-GB"/>
              </w:rPr>
            </w:pPr>
          </w:p>
          <w:p w14:paraId="23094E10" w14:textId="77777777" w:rsidR="00D12E11" w:rsidRPr="00F7050E" w:rsidRDefault="00D12E11" w:rsidP="00BC7D1B">
            <w:pPr>
              <w:pStyle w:val="Default"/>
              <w:rPr>
                <w:rFonts w:ascii="Arial" w:hAnsi="Arial" w:cs="Arial"/>
                <w:b/>
                <w:sz w:val="20"/>
                <w:szCs w:val="20"/>
              </w:rPr>
            </w:pPr>
            <w:r w:rsidRPr="00F7050E">
              <w:rPr>
                <w:rFonts w:ascii="Arial" w:hAnsi="Arial" w:cs="Arial"/>
                <w:bCs/>
                <w:color w:val="auto"/>
                <w:sz w:val="20"/>
                <w:szCs w:val="20"/>
                <w:lang w:val="en-GB"/>
              </w:rPr>
              <w:t>Gender differences by the at-poverty-risk factor</w:t>
            </w:r>
          </w:p>
        </w:tc>
        <w:tc>
          <w:tcPr>
            <w:tcW w:w="1772" w:type="dxa"/>
          </w:tcPr>
          <w:p w14:paraId="37047762" w14:textId="77777777" w:rsidR="00D12E11" w:rsidRPr="00F7050E" w:rsidRDefault="00D12E11" w:rsidP="00BC7D1B">
            <w:pPr>
              <w:rPr>
                <w:rFonts w:ascii="Arial" w:hAnsi="Arial" w:cs="Arial"/>
                <w:i/>
                <w:sz w:val="20"/>
                <w:szCs w:val="20"/>
              </w:rPr>
            </w:pPr>
            <w:r w:rsidRPr="00F7050E">
              <w:rPr>
                <w:rFonts w:ascii="Arial" w:hAnsi="Arial" w:cs="Arial"/>
                <w:i/>
                <w:sz w:val="20"/>
                <w:szCs w:val="20"/>
              </w:rPr>
              <w:t>Modernised Pensions - Primary EU indicator</w:t>
            </w:r>
          </w:p>
        </w:tc>
        <w:tc>
          <w:tcPr>
            <w:tcW w:w="2906" w:type="dxa"/>
          </w:tcPr>
          <w:p w14:paraId="4164AD96"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The absolute difference between males and females in the at-risk-of-poverty rate for single-person households (see at-risk-of-poverty rate) </w:t>
            </w:r>
          </w:p>
          <w:p w14:paraId="4E643C2B" w14:textId="77777777" w:rsidR="00D12E11" w:rsidRPr="00F7050E" w:rsidRDefault="00D12E11" w:rsidP="00BC7D1B">
            <w:pPr>
              <w:rPr>
                <w:rFonts w:ascii="Arial" w:hAnsi="Arial" w:cs="Arial"/>
                <w:b/>
                <w:sz w:val="20"/>
                <w:szCs w:val="20"/>
              </w:rPr>
            </w:pPr>
          </w:p>
        </w:tc>
        <w:tc>
          <w:tcPr>
            <w:tcW w:w="1630" w:type="dxa"/>
          </w:tcPr>
          <w:p w14:paraId="76650DF1"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Age: 0-65, 65+ </w:t>
            </w:r>
          </w:p>
          <w:p w14:paraId="1DD4CBF7" w14:textId="77777777" w:rsidR="00D12E11" w:rsidRPr="00F7050E" w:rsidRDefault="00D12E11" w:rsidP="00BC7D1B">
            <w:pPr>
              <w:rPr>
                <w:rFonts w:ascii="Arial" w:hAnsi="Arial" w:cs="Arial"/>
                <w:b/>
                <w:sz w:val="20"/>
                <w:szCs w:val="20"/>
              </w:rPr>
            </w:pPr>
            <w:r w:rsidRPr="00F7050E">
              <w:rPr>
                <w:rFonts w:ascii="Arial" w:hAnsi="Arial" w:cs="Arial"/>
                <w:sz w:val="20"/>
                <w:szCs w:val="20"/>
              </w:rPr>
              <w:t>Total + women/men living alone</w:t>
            </w:r>
          </w:p>
        </w:tc>
        <w:tc>
          <w:tcPr>
            <w:tcW w:w="1772" w:type="dxa"/>
          </w:tcPr>
          <w:p w14:paraId="07A18E7D"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5BE3F706" w14:textId="77777777" w:rsidR="00D12E11" w:rsidRPr="00F7050E" w:rsidRDefault="00D12E11" w:rsidP="00BC7D1B">
            <w:pPr>
              <w:rPr>
                <w:rFonts w:ascii="Arial" w:hAnsi="Arial" w:cs="Arial"/>
                <w:b/>
                <w:sz w:val="20"/>
                <w:szCs w:val="20"/>
              </w:rPr>
            </w:pPr>
          </w:p>
        </w:tc>
        <w:tc>
          <w:tcPr>
            <w:tcW w:w="3009" w:type="dxa"/>
          </w:tcPr>
          <w:p w14:paraId="53888210"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EUROSTAT</w:t>
            </w:r>
            <w:r w:rsidRPr="00F7050E">
              <w:rPr>
                <w:rFonts w:ascii="Arial" w:hAnsi="Arial" w:cs="Arial"/>
                <w:i/>
                <w:sz w:val="20"/>
                <w:szCs w:val="20"/>
                <w:lang w:val="en-GB"/>
              </w:rPr>
              <w:t xml:space="preserve"> data for 2013, 2014 and 2015</w:t>
            </w:r>
          </w:p>
          <w:p w14:paraId="36F27455"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Relative secondary indicators: by age group (60+ and 75+ and below 60, 75); </w:t>
            </w:r>
          </w:p>
          <w:p w14:paraId="0E65B686" w14:textId="77777777" w:rsidR="00D12E11" w:rsidRPr="00F7050E" w:rsidRDefault="00D12E11" w:rsidP="00BC7D1B">
            <w:pPr>
              <w:rPr>
                <w:rFonts w:ascii="Arial" w:hAnsi="Arial" w:cs="Arial"/>
                <w:b/>
                <w:sz w:val="20"/>
                <w:szCs w:val="20"/>
              </w:rPr>
            </w:pPr>
          </w:p>
        </w:tc>
      </w:tr>
      <w:tr w:rsidR="00D12E11" w:rsidRPr="00F7050E" w14:paraId="4ACB1233" w14:textId="77777777" w:rsidTr="00BC7D1B">
        <w:trPr>
          <w:trHeight w:val="454"/>
          <w:jc w:val="center"/>
        </w:trPr>
        <w:tc>
          <w:tcPr>
            <w:tcW w:w="534" w:type="dxa"/>
          </w:tcPr>
          <w:p w14:paraId="066ED578"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P</w:t>
            </w:r>
          </w:p>
        </w:tc>
        <w:tc>
          <w:tcPr>
            <w:tcW w:w="2409" w:type="dxa"/>
          </w:tcPr>
          <w:p w14:paraId="650015E9" w14:textId="77777777" w:rsidR="00D12E11" w:rsidRPr="00F7050E" w:rsidRDefault="00D12E11" w:rsidP="00BC7D1B">
            <w:pPr>
              <w:pStyle w:val="Default"/>
              <w:rPr>
                <w:rFonts w:ascii="Arial" w:hAnsi="Arial" w:cs="Arial"/>
                <w:bCs/>
                <w:color w:val="auto"/>
                <w:sz w:val="20"/>
                <w:szCs w:val="20"/>
                <w:lang w:val="en-GB"/>
              </w:rPr>
            </w:pPr>
          </w:p>
          <w:p w14:paraId="4F558A1F" w14:textId="77777777" w:rsidR="00D12E11" w:rsidRPr="00F7050E" w:rsidRDefault="00D12E11" w:rsidP="00BC7D1B">
            <w:pPr>
              <w:pStyle w:val="Default"/>
              <w:rPr>
                <w:rFonts w:ascii="Arial" w:hAnsi="Arial" w:cs="Arial"/>
                <w:bCs/>
                <w:color w:val="auto"/>
                <w:sz w:val="20"/>
                <w:szCs w:val="20"/>
                <w:lang w:val="en-GB"/>
              </w:rPr>
            </w:pPr>
          </w:p>
          <w:p w14:paraId="1FA0B87B"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bCs/>
                <w:color w:val="auto"/>
                <w:sz w:val="20"/>
                <w:szCs w:val="20"/>
                <w:lang w:val="en-GB"/>
              </w:rPr>
              <w:t>Gender differences in the relative income of older people (65+)</w:t>
            </w:r>
          </w:p>
        </w:tc>
        <w:tc>
          <w:tcPr>
            <w:tcW w:w="1772" w:type="dxa"/>
          </w:tcPr>
          <w:p w14:paraId="73D20BC4" w14:textId="77777777" w:rsidR="00D12E11" w:rsidRPr="00F7050E" w:rsidRDefault="00D12E11" w:rsidP="00BC7D1B">
            <w:pPr>
              <w:rPr>
                <w:rFonts w:ascii="Arial" w:hAnsi="Arial" w:cs="Arial"/>
                <w:i/>
                <w:sz w:val="20"/>
                <w:szCs w:val="20"/>
              </w:rPr>
            </w:pPr>
            <w:r w:rsidRPr="00F7050E">
              <w:rPr>
                <w:rFonts w:ascii="Arial" w:hAnsi="Arial" w:cs="Arial"/>
                <w:i/>
                <w:sz w:val="20"/>
                <w:szCs w:val="20"/>
              </w:rPr>
              <w:t>Modernised Pensions - Primary EU Indicator</w:t>
            </w:r>
          </w:p>
        </w:tc>
        <w:tc>
          <w:tcPr>
            <w:tcW w:w="2906" w:type="dxa"/>
          </w:tcPr>
          <w:p w14:paraId="5C1A4A2C"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The absolute difference between males and females in the relative income of older people (65 +) for single-person households. </w:t>
            </w:r>
          </w:p>
          <w:p w14:paraId="779C7071" w14:textId="77777777" w:rsidR="00D12E11" w:rsidRPr="00F7050E" w:rsidRDefault="00D12E11" w:rsidP="00BC7D1B">
            <w:pPr>
              <w:rPr>
                <w:rFonts w:ascii="Arial" w:hAnsi="Arial" w:cs="Arial"/>
                <w:b/>
                <w:sz w:val="20"/>
                <w:szCs w:val="20"/>
              </w:rPr>
            </w:pPr>
            <w:r w:rsidRPr="00F7050E">
              <w:rPr>
                <w:rFonts w:ascii="Arial" w:hAnsi="Arial" w:cs="Arial"/>
                <w:sz w:val="20"/>
                <w:szCs w:val="20"/>
              </w:rPr>
              <w:t>See relative income for 65+, in relation to the 0-64 population</w:t>
            </w:r>
          </w:p>
        </w:tc>
        <w:tc>
          <w:tcPr>
            <w:tcW w:w="1630" w:type="dxa"/>
          </w:tcPr>
          <w:p w14:paraId="4792A5EC"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Total + women/men living alone </w:t>
            </w:r>
          </w:p>
          <w:p w14:paraId="5FF426C6" w14:textId="77777777" w:rsidR="00D12E11" w:rsidRPr="00F7050E" w:rsidRDefault="00D12E11" w:rsidP="00BC7D1B">
            <w:pPr>
              <w:rPr>
                <w:rFonts w:ascii="Arial" w:hAnsi="Arial" w:cs="Arial"/>
                <w:b/>
                <w:sz w:val="20"/>
                <w:szCs w:val="20"/>
              </w:rPr>
            </w:pPr>
          </w:p>
        </w:tc>
        <w:tc>
          <w:tcPr>
            <w:tcW w:w="1772" w:type="dxa"/>
          </w:tcPr>
          <w:p w14:paraId="3480642E"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3C9001EB" w14:textId="77777777" w:rsidR="00D12E11" w:rsidRPr="00F7050E" w:rsidRDefault="00D12E11" w:rsidP="00BC7D1B">
            <w:pPr>
              <w:rPr>
                <w:rFonts w:ascii="Arial" w:hAnsi="Arial" w:cs="Arial"/>
                <w:b/>
                <w:sz w:val="20"/>
                <w:szCs w:val="20"/>
              </w:rPr>
            </w:pPr>
          </w:p>
        </w:tc>
        <w:tc>
          <w:tcPr>
            <w:tcW w:w="3009" w:type="dxa"/>
          </w:tcPr>
          <w:p w14:paraId="7BA6599A"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EUROSTAT</w:t>
            </w:r>
            <w:r w:rsidRPr="00F7050E">
              <w:rPr>
                <w:rFonts w:ascii="Arial" w:hAnsi="Arial" w:cs="Arial"/>
                <w:i/>
                <w:sz w:val="20"/>
                <w:szCs w:val="20"/>
                <w:lang w:val="en-GB"/>
              </w:rPr>
              <w:t xml:space="preserve"> data for 2013, 2014 and 2015</w:t>
            </w:r>
          </w:p>
          <w:p w14:paraId="37C862DB" w14:textId="77777777" w:rsidR="00D12E11" w:rsidRPr="00F7050E" w:rsidRDefault="00D12E11" w:rsidP="00BC7D1B">
            <w:pPr>
              <w:pStyle w:val="Default"/>
              <w:rPr>
                <w:rFonts w:ascii="Arial" w:hAnsi="Arial" w:cs="Arial"/>
                <w:sz w:val="20"/>
                <w:szCs w:val="20"/>
                <w:lang w:val="en-GB"/>
              </w:rPr>
            </w:pPr>
          </w:p>
          <w:p w14:paraId="1D85336B"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Relative secondary indicators: by age group </w:t>
            </w:r>
          </w:p>
          <w:p w14:paraId="1A124AC4" w14:textId="77777777" w:rsidR="00D12E11" w:rsidRPr="00F7050E" w:rsidRDefault="00D12E11" w:rsidP="00BC7D1B">
            <w:pPr>
              <w:rPr>
                <w:rFonts w:ascii="Arial" w:hAnsi="Arial" w:cs="Arial"/>
                <w:b/>
                <w:sz w:val="20"/>
                <w:szCs w:val="20"/>
              </w:rPr>
            </w:pPr>
            <w:r w:rsidRPr="00F7050E">
              <w:rPr>
                <w:rFonts w:ascii="Arial" w:hAnsi="Arial" w:cs="Arial"/>
                <w:sz w:val="20"/>
                <w:szCs w:val="20"/>
              </w:rPr>
              <w:t>(60+ and 75+ and below 60, 75);</w:t>
            </w:r>
          </w:p>
        </w:tc>
      </w:tr>
      <w:tr w:rsidR="00D12E11" w:rsidRPr="00F7050E" w14:paraId="3E5D68B1" w14:textId="77777777" w:rsidTr="00BC7D1B">
        <w:trPr>
          <w:trHeight w:val="454"/>
          <w:jc w:val="center"/>
        </w:trPr>
        <w:tc>
          <w:tcPr>
            <w:tcW w:w="534" w:type="dxa"/>
            <w:tcBorders>
              <w:bottom w:val="single" w:sz="4" w:space="0" w:color="000000"/>
            </w:tcBorders>
            <w:vAlign w:val="center"/>
          </w:tcPr>
          <w:p w14:paraId="6B8615ED"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Borders>
              <w:bottom w:val="single" w:sz="4" w:space="0" w:color="000000"/>
            </w:tcBorders>
          </w:tcPr>
          <w:p w14:paraId="1204186A" w14:textId="77777777" w:rsidR="00D12E11" w:rsidRPr="00F7050E" w:rsidRDefault="00D12E11" w:rsidP="00BC7D1B">
            <w:pPr>
              <w:pStyle w:val="Default"/>
              <w:rPr>
                <w:rFonts w:ascii="Arial" w:hAnsi="Arial" w:cs="Arial"/>
                <w:bCs/>
                <w:color w:val="auto"/>
                <w:sz w:val="20"/>
                <w:szCs w:val="20"/>
                <w:lang w:val="en-GB"/>
              </w:rPr>
            </w:pPr>
          </w:p>
          <w:p w14:paraId="422962F7" w14:textId="77777777" w:rsidR="00D12E11" w:rsidRPr="00F7050E" w:rsidRDefault="00D12E11" w:rsidP="00BC7D1B">
            <w:pPr>
              <w:pStyle w:val="Default"/>
              <w:rPr>
                <w:rFonts w:ascii="Arial" w:hAnsi="Arial" w:cs="Arial"/>
                <w:bCs/>
                <w:color w:val="auto"/>
                <w:sz w:val="20"/>
                <w:szCs w:val="20"/>
                <w:lang w:val="en-GB"/>
              </w:rPr>
            </w:pPr>
          </w:p>
          <w:p w14:paraId="48C66A02" w14:textId="77777777" w:rsidR="00D12E11" w:rsidRPr="00F7050E" w:rsidRDefault="00D12E11" w:rsidP="00BC7D1B">
            <w:pPr>
              <w:pStyle w:val="Default"/>
              <w:rPr>
                <w:rFonts w:ascii="Arial" w:hAnsi="Arial" w:cs="Arial"/>
                <w:bCs/>
                <w:color w:val="auto"/>
                <w:sz w:val="20"/>
                <w:szCs w:val="20"/>
                <w:lang w:val="en-GB"/>
              </w:rPr>
            </w:pPr>
          </w:p>
          <w:p w14:paraId="7EDDA51E"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bCs/>
                <w:color w:val="auto"/>
                <w:sz w:val="20"/>
                <w:szCs w:val="20"/>
                <w:lang w:val="en-GB"/>
              </w:rPr>
              <w:t>Gender differences in the relative income of older people (60+,75+)</w:t>
            </w:r>
          </w:p>
          <w:p w14:paraId="18145A4D" w14:textId="77777777" w:rsidR="00D12E11" w:rsidRPr="00F7050E" w:rsidRDefault="00D12E11" w:rsidP="00BC7D1B">
            <w:pPr>
              <w:rPr>
                <w:rFonts w:ascii="Arial" w:hAnsi="Arial" w:cs="Arial"/>
                <w:bCs/>
                <w:sz w:val="20"/>
                <w:szCs w:val="20"/>
              </w:rPr>
            </w:pPr>
          </w:p>
        </w:tc>
        <w:tc>
          <w:tcPr>
            <w:tcW w:w="1772" w:type="dxa"/>
            <w:tcBorders>
              <w:bottom w:val="single" w:sz="4" w:space="0" w:color="000000"/>
            </w:tcBorders>
          </w:tcPr>
          <w:p w14:paraId="5FD8ECC0" w14:textId="77777777" w:rsidR="00D12E11" w:rsidRPr="00F7050E" w:rsidRDefault="00D12E11" w:rsidP="00BC7D1B">
            <w:pPr>
              <w:framePr w:hSpace="180" w:wrap="around" w:vAnchor="page" w:hAnchor="margin" w:x="-459" w:y="615"/>
              <w:rPr>
                <w:rFonts w:ascii="Arial" w:hAnsi="Arial" w:cs="Arial"/>
                <w:i/>
                <w:sz w:val="20"/>
                <w:szCs w:val="20"/>
              </w:rPr>
            </w:pPr>
            <w:r w:rsidRPr="00F7050E">
              <w:rPr>
                <w:rFonts w:ascii="Arial" w:hAnsi="Arial" w:cs="Arial"/>
                <w:i/>
                <w:sz w:val="20"/>
                <w:szCs w:val="20"/>
              </w:rPr>
              <w:t>Modernised Pensions - Secondary EU Indicator</w:t>
            </w:r>
          </w:p>
        </w:tc>
        <w:tc>
          <w:tcPr>
            <w:tcW w:w="2906" w:type="dxa"/>
            <w:tcBorders>
              <w:bottom w:val="single" w:sz="4" w:space="0" w:color="000000"/>
            </w:tcBorders>
          </w:tcPr>
          <w:p w14:paraId="1FFF651B"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The absolute difference between males and females in the relative median income ratio, which is the ratio between the median equivalised disposable income of persons aged 65 or older and the median equivalised disposable income of persons aged 0-64. </w:t>
            </w:r>
          </w:p>
          <w:p w14:paraId="23D6911B" w14:textId="77777777" w:rsidR="00D12E11" w:rsidRPr="00F7050E" w:rsidRDefault="00D12E11" w:rsidP="00BC7D1B">
            <w:pPr>
              <w:rPr>
                <w:rFonts w:ascii="Arial" w:hAnsi="Arial" w:cs="Arial"/>
                <w:sz w:val="20"/>
                <w:szCs w:val="20"/>
              </w:rPr>
            </w:pPr>
          </w:p>
          <w:p w14:paraId="7989798B" w14:textId="77777777" w:rsidR="00D12E11" w:rsidRPr="00F7050E" w:rsidRDefault="00D12E11" w:rsidP="00BC7D1B">
            <w:pPr>
              <w:rPr>
                <w:rFonts w:ascii="Arial" w:hAnsi="Arial" w:cs="Arial"/>
                <w:sz w:val="20"/>
                <w:szCs w:val="20"/>
              </w:rPr>
            </w:pPr>
          </w:p>
          <w:p w14:paraId="2A08C74D" w14:textId="77777777" w:rsidR="00D12E11" w:rsidRPr="00F7050E" w:rsidRDefault="00D12E11" w:rsidP="00BC7D1B">
            <w:pPr>
              <w:rPr>
                <w:rFonts w:ascii="Arial" w:hAnsi="Arial" w:cs="Arial"/>
                <w:sz w:val="20"/>
                <w:szCs w:val="20"/>
              </w:rPr>
            </w:pPr>
          </w:p>
        </w:tc>
        <w:tc>
          <w:tcPr>
            <w:tcW w:w="1630" w:type="dxa"/>
            <w:tcBorders>
              <w:bottom w:val="single" w:sz="4" w:space="0" w:color="000000"/>
            </w:tcBorders>
          </w:tcPr>
          <w:p w14:paraId="2DD2ADEA"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Age groups: 60+, 75+, below 60 and below 75); </w:t>
            </w:r>
          </w:p>
          <w:p w14:paraId="0666B4CA" w14:textId="77777777" w:rsidR="00D12E11" w:rsidRPr="00F7050E" w:rsidRDefault="00D12E11" w:rsidP="00BC7D1B">
            <w:pPr>
              <w:rPr>
                <w:rFonts w:ascii="Arial" w:hAnsi="Arial" w:cs="Arial"/>
                <w:sz w:val="20"/>
                <w:szCs w:val="20"/>
              </w:rPr>
            </w:pPr>
            <w:r w:rsidRPr="00F7050E">
              <w:rPr>
                <w:rFonts w:ascii="Arial" w:hAnsi="Arial" w:cs="Arial"/>
                <w:sz w:val="20"/>
                <w:szCs w:val="20"/>
              </w:rPr>
              <w:t>Total + women/men living alone</w:t>
            </w:r>
          </w:p>
        </w:tc>
        <w:tc>
          <w:tcPr>
            <w:tcW w:w="1772" w:type="dxa"/>
            <w:tcBorders>
              <w:bottom w:val="single" w:sz="4" w:space="0" w:color="000000"/>
            </w:tcBorders>
          </w:tcPr>
          <w:p w14:paraId="2D326780" w14:textId="77777777" w:rsidR="00D12E11" w:rsidRPr="00F7050E" w:rsidRDefault="00D12E11" w:rsidP="00BC7D1B">
            <w:pPr>
              <w:rPr>
                <w:rFonts w:ascii="Arial" w:hAnsi="Arial" w:cs="Arial"/>
                <w:sz w:val="20"/>
                <w:szCs w:val="20"/>
              </w:rPr>
            </w:pPr>
          </w:p>
        </w:tc>
        <w:tc>
          <w:tcPr>
            <w:tcW w:w="3009" w:type="dxa"/>
            <w:tcBorders>
              <w:bottom w:val="single" w:sz="4" w:space="0" w:color="000000"/>
            </w:tcBorders>
          </w:tcPr>
          <w:p w14:paraId="01B9633C"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EUROSTAT</w:t>
            </w:r>
            <w:r w:rsidRPr="00F7050E">
              <w:rPr>
                <w:rFonts w:ascii="Arial" w:hAnsi="Arial" w:cs="Arial"/>
                <w:i/>
                <w:sz w:val="20"/>
                <w:szCs w:val="20"/>
                <w:lang w:val="en-GB"/>
              </w:rPr>
              <w:t xml:space="preserve"> data for 2013, 2014 and 2015</w:t>
            </w:r>
          </w:p>
          <w:p w14:paraId="40209E15" w14:textId="77777777" w:rsidR="00D12E11" w:rsidRPr="00F7050E" w:rsidRDefault="00D12E11" w:rsidP="00BC7D1B">
            <w:pPr>
              <w:pStyle w:val="Default"/>
              <w:rPr>
                <w:rFonts w:ascii="Arial" w:hAnsi="Arial" w:cs="Arial"/>
                <w:sz w:val="20"/>
                <w:szCs w:val="20"/>
                <w:lang w:val="en-GB"/>
              </w:rPr>
            </w:pPr>
          </w:p>
        </w:tc>
      </w:tr>
      <w:tr w:rsidR="00D12E11" w:rsidRPr="00F7050E" w14:paraId="0EFD0920" w14:textId="77777777" w:rsidTr="00BC7D1B">
        <w:trPr>
          <w:trHeight w:val="454"/>
          <w:jc w:val="center"/>
        </w:trPr>
        <w:tc>
          <w:tcPr>
            <w:tcW w:w="534" w:type="dxa"/>
            <w:vAlign w:val="center"/>
          </w:tcPr>
          <w:p w14:paraId="20862FB6"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56E111B0"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bCs/>
                <w:color w:val="auto"/>
                <w:sz w:val="20"/>
                <w:szCs w:val="20"/>
                <w:lang w:val="en-GB"/>
              </w:rPr>
              <w:t xml:space="preserve">Income inequality among population aged 65+ </w:t>
            </w:r>
          </w:p>
          <w:p w14:paraId="13706C19" w14:textId="77777777" w:rsidR="00D12E11" w:rsidRPr="00F7050E" w:rsidRDefault="00D12E11" w:rsidP="00BC7D1B">
            <w:pPr>
              <w:pStyle w:val="Default"/>
              <w:rPr>
                <w:rFonts w:ascii="Arial" w:hAnsi="Arial" w:cs="Arial"/>
                <w:bCs/>
                <w:color w:val="auto"/>
                <w:sz w:val="20"/>
                <w:szCs w:val="20"/>
                <w:lang w:val="en-GB"/>
              </w:rPr>
            </w:pPr>
          </w:p>
        </w:tc>
        <w:tc>
          <w:tcPr>
            <w:tcW w:w="1772" w:type="dxa"/>
          </w:tcPr>
          <w:p w14:paraId="5AEFC8C8" w14:textId="77777777" w:rsidR="00D12E11" w:rsidRPr="00F7050E" w:rsidRDefault="00D12E11" w:rsidP="00BC7D1B">
            <w:pPr>
              <w:rPr>
                <w:rFonts w:ascii="Arial" w:hAnsi="Arial" w:cs="Arial"/>
                <w:i/>
                <w:sz w:val="20"/>
                <w:szCs w:val="20"/>
              </w:rPr>
            </w:pPr>
            <w:r w:rsidRPr="00F7050E">
              <w:rPr>
                <w:rFonts w:ascii="Arial" w:hAnsi="Arial" w:cs="Arial"/>
                <w:i/>
                <w:sz w:val="20"/>
                <w:szCs w:val="20"/>
              </w:rPr>
              <w:t>Adequate Pensions -</w:t>
            </w:r>
          </w:p>
          <w:p w14:paraId="3BF6885C" w14:textId="77777777" w:rsidR="00D12E11" w:rsidRPr="00F7050E" w:rsidRDefault="00D12E11" w:rsidP="00BC7D1B">
            <w:pPr>
              <w:rPr>
                <w:rFonts w:ascii="Arial" w:hAnsi="Arial" w:cs="Arial"/>
                <w:sz w:val="20"/>
                <w:szCs w:val="20"/>
              </w:rPr>
            </w:pPr>
            <w:r w:rsidRPr="00F7050E">
              <w:rPr>
                <w:rFonts w:ascii="Arial" w:hAnsi="Arial" w:cs="Arial"/>
                <w:i/>
                <w:sz w:val="20"/>
                <w:szCs w:val="20"/>
              </w:rPr>
              <w:t>Secondary EU Indicator</w:t>
            </w:r>
          </w:p>
        </w:tc>
        <w:tc>
          <w:tcPr>
            <w:tcW w:w="2906" w:type="dxa"/>
          </w:tcPr>
          <w:p w14:paraId="7BD9F3E1"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Income quintile ratio (S80/S20) among population aged 65+ </w:t>
            </w:r>
          </w:p>
          <w:p w14:paraId="736E035C" w14:textId="77777777" w:rsidR="00D12E11" w:rsidRPr="00F7050E" w:rsidRDefault="00D12E11" w:rsidP="00BC7D1B">
            <w:pPr>
              <w:pStyle w:val="Default"/>
              <w:rPr>
                <w:rFonts w:ascii="Arial" w:hAnsi="Arial" w:cs="Arial"/>
                <w:sz w:val="20"/>
                <w:szCs w:val="20"/>
                <w:lang w:val="en-GB"/>
              </w:rPr>
            </w:pPr>
          </w:p>
        </w:tc>
        <w:tc>
          <w:tcPr>
            <w:tcW w:w="1630" w:type="dxa"/>
          </w:tcPr>
          <w:p w14:paraId="5E83CDBE"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Age groups</w:t>
            </w:r>
          </w:p>
          <w:p w14:paraId="0178CC77"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0-64, 65+ </w:t>
            </w:r>
          </w:p>
          <w:p w14:paraId="1248ADED" w14:textId="77777777" w:rsidR="00D12E11" w:rsidRPr="00F7050E" w:rsidRDefault="00D12E11" w:rsidP="00BC7D1B">
            <w:pPr>
              <w:pStyle w:val="Default"/>
              <w:rPr>
                <w:rFonts w:ascii="Arial" w:hAnsi="Arial" w:cs="Arial"/>
                <w:sz w:val="20"/>
                <w:szCs w:val="20"/>
                <w:lang w:val="en-GB"/>
              </w:rPr>
            </w:pPr>
          </w:p>
        </w:tc>
        <w:tc>
          <w:tcPr>
            <w:tcW w:w="1772" w:type="dxa"/>
          </w:tcPr>
          <w:p w14:paraId="09451586"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3A576C0A" w14:textId="77777777" w:rsidR="00D12E11" w:rsidRPr="00F7050E" w:rsidRDefault="00D12E11" w:rsidP="00BC7D1B">
            <w:pPr>
              <w:pStyle w:val="Default"/>
              <w:rPr>
                <w:rFonts w:ascii="Arial" w:hAnsi="Arial" w:cs="Arial"/>
                <w:sz w:val="20"/>
                <w:szCs w:val="20"/>
                <w:lang w:val="en-GB"/>
              </w:rPr>
            </w:pPr>
          </w:p>
        </w:tc>
        <w:tc>
          <w:tcPr>
            <w:tcW w:w="3009" w:type="dxa"/>
          </w:tcPr>
          <w:p w14:paraId="46D8A039"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EUROSTAT</w:t>
            </w:r>
            <w:r w:rsidRPr="00F7050E">
              <w:rPr>
                <w:rFonts w:ascii="Arial" w:hAnsi="Arial" w:cs="Arial"/>
                <w:i/>
                <w:sz w:val="20"/>
                <w:szCs w:val="20"/>
                <w:lang w:val="en-GB"/>
              </w:rPr>
              <w:t xml:space="preserve"> data for 2013, 2014 and 2015</w:t>
            </w:r>
          </w:p>
          <w:p w14:paraId="7F87921B"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This indicator informs on the part of the objective regarding the solidarity among generations and provides an indication on the income distribution for the age group 0-64 and older people aged 65+. </w:t>
            </w:r>
          </w:p>
        </w:tc>
      </w:tr>
      <w:tr w:rsidR="00D12E11" w:rsidRPr="00F7050E" w14:paraId="57BBC6E8" w14:textId="77777777" w:rsidTr="00DA33FF">
        <w:trPr>
          <w:trHeight w:val="454"/>
          <w:jc w:val="center"/>
        </w:trPr>
        <w:tc>
          <w:tcPr>
            <w:tcW w:w="14032" w:type="dxa"/>
            <w:gridSpan w:val="7"/>
            <w:shd w:val="clear" w:color="auto" w:fill="808080" w:themeFill="background1" w:themeFillShade="80"/>
            <w:vAlign w:val="center"/>
          </w:tcPr>
          <w:p w14:paraId="1C53D915" w14:textId="77777777" w:rsidR="00D12E11" w:rsidRPr="00DA33FF" w:rsidRDefault="00D12E11" w:rsidP="00BC7D1B">
            <w:pPr>
              <w:jc w:val="center"/>
              <w:rPr>
                <w:rFonts w:ascii="Arial" w:hAnsi="Arial" w:cs="Arial"/>
                <w:b/>
                <w:color w:val="FFFFFF" w:themeColor="background1"/>
                <w:sz w:val="20"/>
                <w:szCs w:val="20"/>
              </w:rPr>
            </w:pPr>
            <w:r w:rsidRPr="00DA33FF">
              <w:rPr>
                <w:rFonts w:ascii="Arial" w:hAnsi="Arial" w:cs="Arial"/>
                <w:b/>
                <w:color w:val="FFFFFF" w:themeColor="background1"/>
                <w:sz w:val="20"/>
                <w:szCs w:val="20"/>
              </w:rPr>
              <w:t>PENSION ADEQUACY</w:t>
            </w:r>
          </w:p>
        </w:tc>
      </w:tr>
      <w:tr w:rsidR="00D12E11" w:rsidRPr="00F7050E" w14:paraId="49EA18E2" w14:textId="77777777" w:rsidTr="00BC7D1B">
        <w:trPr>
          <w:trHeight w:val="340"/>
          <w:jc w:val="center"/>
        </w:trPr>
        <w:tc>
          <w:tcPr>
            <w:tcW w:w="14032" w:type="dxa"/>
            <w:gridSpan w:val="7"/>
            <w:vAlign w:val="center"/>
          </w:tcPr>
          <w:p w14:paraId="59CA88AC" w14:textId="77777777" w:rsidR="00D12E11" w:rsidRPr="00F7050E" w:rsidRDefault="00D12E11" w:rsidP="00BC7D1B">
            <w:pPr>
              <w:rPr>
                <w:rFonts w:ascii="Arial" w:hAnsi="Arial" w:cs="Arial"/>
                <w:b/>
                <w:i/>
                <w:sz w:val="20"/>
                <w:szCs w:val="20"/>
              </w:rPr>
            </w:pPr>
            <w:r w:rsidRPr="00F7050E">
              <w:rPr>
                <w:rFonts w:ascii="Arial" w:hAnsi="Arial" w:cs="Arial"/>
                <w:b/>
                <w:i/>
                <w:sz w:val="20"/>
                <w:szCs w:val="20"/>
              </w:rPr>
              <w:t>Poverty Reduction/Prevention</w:t>
            </w:r>
          </w:p>
        </w:tc>
      </w:tr>
      <w:tr w:rsidR="00D12E11" w:rsidRPr="00F7050E" w14:paraId="4C61C2BA" w14:textId="77777777" w:rsidTr="00BC7D1B">
        <w:trPr>
          <w:trHeight w:val="454"/>
          <w:jc w:val="center"/>
        </w:trPr>
        <w:tc>
          <w:tcPr>
            <w:tcW w:w="534" w:type="dxa"/>
            <w:vAlign w:val="center"/>
          </w:tcPr>
          <w:p w14:paraId="34C96D3F"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tcPr>
          <w:p w14:paraId="2E70C6E1" w14:textId="77777777" w:rsidR="00D12E11" w:rsidRPr="00F7050E" w:rsidRDefault="00D12E11" w:rsidP="00BC7D1B">
            <w:pPr>
              <w:rPr>
                <w:rFonts w:ascii="Arial" w:hAnsi="Arial" w:cs="Arial"/>
                <w:sz w:val="20"/>
                <w:szCs w:val="20"/>
              </w:rPr>
            </w:pPr>
          </w:p>
          <w:p w14:paraId="378A7A09"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Minimum pension relative to the absolute </w:t>
            </w:r>
            <w:r w:rsidRPr="00F7050E">
              <w:rPr>
                <w:rFonts w:ascii="Arial" w:hAnsi="Arial" w:cs="Arial"/>
                <w:sz w:val="20"/>
                <w:szCs w:val="20"/>
              </w:rPr>
              <w:lastRenderedPageBreak/>
              <w:t>poverty line (percentage)</w:t>
            </w:r>
          </w:p>
          <w:p w14:paraId="56786C02" w14:textId="77777777" w:rsidR="00D12E11" w:rsidRPr="00F7050E" w:rsidRDefault="00D12E11" w:rsidP="00BC7D1B">
            <w:pPr>
              <w:rPr>
                <w:rFonts w:ascii="Arial" w:hAnsi="Arial" w:cs="Arial"/>
                <w:sz w:val="20"/>
                <w:szCs w:val="20"/>
              </w:rPr>
            </w:pPr>
          </w:p>
        </w:tc>
        <w:tc>
          <w:tcPr>
            <w:tcW w:w="1772" w:type="dxa"/>
          </w:tcPr>
          <w:p w14:paraId="64D4602A" w14:textId="77777777" w:rsidR="00D12E11" w:rsidRPr="00F7050E" w:rsidRDefault="00D12E11" w:rsidP="00BC7D1B">
            <w:pPr>
              <w:rPr>
                <w:rFonts w:ascii="Arial" w:hAnsi="Arial" w:cs="Arial"/>
                <w:sz w:val="20"/>
                <w:szCs w:val="20"/>
              </w:rPr>
            </w:pPr>
          </w:p>
          <w:p w14:paraId="427A2A7C"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63BCC138" w14:textId="77777777" w:rsidR="00D12E11" w:rsidRPr="00F7050E" w:rsidRDefault="00D12E11" w:rsidP="00BC7D1B">
            <w:pPr>
              <w:pStyle w:val="Default"/>
              <w:framePr w:hSpace="180" w:wrap="around" w:vAnchor="page" w:hAnchor="margin" w:x="-459" w:y="615"/>
              <w:rPr>
                <w:rFonts w:ascii="Arial" w:hAnsi="Arial" w:cs="Arial"/>
                <w:sz w:val="20"/>
                <w:szCs w:val="20"/>
                <w:highlight w:val="green"/>
                <w:lang w:val="en-GB"/>
              </w:rPr>
            </w:pPr>
          </w:p>
          <w:p w14:paraId="5B4D69F1" w14:textId="77777777" w:rsidR="00D12E11" w:rsidRPr="00F7050E" w:rsidRDefault="00D12E11" w:rsidP="00BC7D1B">
            <w:pPr>
              <w:pStyle w:val="Default"/>
              <w:framePr w:hSpace="180" w:wrap="around" w:vAnchor="page" w:hAnchor="margin" w:x="-459" w:y="615"/>
              <w:rPr>
                <w:rFonts w:ascii="Arial" w:hAnsi="Arial" w:cs="Arial"/>
                <w:sz w:val="20"/>
                <w:szCs w:val="20"/>
                <w:highlight w:val="green"/>
                <w:lang w:val="en-GB"/>
              </w:rPr>
            </w:pPr>
            <w:r w:rsidRPr="00F7050E">
              <w:rPr>
                <w:rFonts w:ascii="Arial" w:hAnsi="Arial" w:cs="Arial"/>
                <w:sz w:val="20"/>
                <w:szCs w:val="20"/>
                <w:lang w:val="en-GB"/>
              </w:rPr>
              <w:t>The lowest pension coverage of employees and self-</w:t>
            </w:r>
            <w:r w:rsidRPr="00F7050E">
              <w:rPr>
                <w:rFonts w:ascii="Arial" w:hAnsi="Arial" w:cs="Arial"/>
                <w:sz w:val="20"/>
                <w:szCs w:val="20"/>
                <w:lang w:val="en-GB"/>
              </w:rPr>
              <w:lastRenderedPageBreak/>
              <w:t>employed for old age and disability pensions</w:t>
            </w:r>
          </w:p>
        </w:tc>
        <w:tc>
          <w:tcPr>
            <w:tcW w:w="1630" w:type="dxa"/>
          </w:tcPr>
          <w:p w14:paraId="43E63245" w14:textId="77777777" w:rsidR="00D12E11" w:rsidRPr="00F7050E" w:rsidRDefault="00D12E11" w:rsidP="00BC7D1B">
            <w:pPr>
              <w:rPr>
                <w:rFonts w:ascii="Arial" w:hAnsi="Arial" w:cs="Arial"/>
                <w:sz w:val="20"/>
                <w:szCs w:val="20"/>
              </w:rPr>
            </w:pPr>
          </w:p>
        </w:tc>
        <w:tc>
          <w:tcPr>
            <w:tcW w:w="1772" w:type="dxa"/>
          </w:tcPr>
          <w:p w14:paraId="7123543C"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PDIF, SORS</w:t>
            </w:r>
          </w:p>
        </w:tc>
        <w:tc>
          <w:tcPr>
            <w:tcW w:w="3009" w:type="dxa"/>
          </w:tcPr>
          <w:p w14:paraId="73637376" w14:textId="77777777" w:rsidR="00D12E11" w:rsidRPr="00F7050E" w:rsidRDefault="00D12E11" w:rsidP="00BC7D1B">
            <w:pPr>
              <w:pStyle w:val="Default"/>
              <w:rPr>
                <w:rFonts w:ascii="Arial" w:hAnsi="Arial" w:cs="Arial"/>
                <w:i/>
                <w:sz w:val="20"/>
                <w:szCs w:val="20"/>
                <w:lang w:val="en-GB"/>
              </w:rPr>
            </w:pPr>
            <w:r w:rsidRPr="00F7050E">
              <w:rPr>
                <w:rFonts w:ascii="Arial" w:hAnsi="Arial" w:cs="Arial"/>
                <w:i/>
                <w:sz w:val="20"/>
                <w:szCs w:val="20"/>
                <w:lang w:val="en-GB"/>
              </w:rPr>
              <w:t>Processing/calculation needed</w:t>
            </w:r>
          </w:p>
          <w:p w14:paraId="495164D6" w14:textId="77777777" w:rsidR="00D12E11" w:rsidRPr="00F7050E" w:rsidRDefault="00D12E11" w:rsidP="00BC7D1B">
            <w:pPr>
              <w:pStyle w:val="Default"/>
              <w:rPr>
                <w:rFonts w:ascii="Arial" w:hAnsi="Arial" w:cs="Arial"/>
                <w:sz w:val="20"/>
                <w:szCs w:val="20"/>
                <w:highlight w:val="green"/>
                <w:lang w:val="en-GB"/>
              </w:rPr>
            </w:pPr>
          </w:p>
          <w:p w14:paraId="52964008"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Serves as an alternat</w:t>
            </w:r>
            <w:bookmarkStart w:id="11" w:name="_GoBack"/>
            <w:bookmarkEnd w:id="11"/>
            <w:r w:rsidRPr="00F7050E">
              <w:rPr>
                <w:rFonts w:ascii="Arial" w:hAnsi="Arial" w:cs="Arial"/>
                <w:sz w:val="20"/>
                <w:szCs w:val="20"/>
                <w:lang w:val="en-GB"/>
              </w:rPr>
              <w:t xml:space="preserve">ive to the </w:t>
            </w:r>
            <w:r w:rsidRPr="00F7050E">
              <w:rPr>
                <w:rFonts w:ascii="Arial" w:hAnsi="Arial" w:cs="Arial"/>
                <w:sz w:val="20"/>
                <w:szCs w:val="20"/>
                <w:lang w:val="en-GB"/>
              </w:rPr>
              <w:lastRenderedPageBreak/>
              <w:t>cost of a MINIMUM consumer basket by unit (an equivalent adult)</w:t>
            </w:r>
          </w:p>
          <w:p w14:paraId="69234806" w14:textId="77777777" w:rsidR="00D12E11" w:rsidRPr="00F7050E" w:rsidRDefault="00D12E11" w:rsidP="00BC7D1B">
            <w:pPr>
              <w:pStyle w:val="Default"/>
              <w:rPr>
                <w:rFonts w:ascii="Arial" w:hAnsi="Arial" w:cs="Arial"/>
                <w:sz w:val="20"/>
                <w:szCs w:val="20"/>
                <w:highlight w:val="green"/>
                <w:lang w:val="en-GB"/>
              </w:rPr>
            </w:pPr>
          </w:p>
          <w:p w14:paraId="098EF536" w14:textId="77777777" w:rsidR="00D12E11" w:rsidRPr="00F7050E" w:rsidRDefault="00D12E11" w:rsidP="00BC7D1B">
            <w:pPr>
              <w:pStyle w:val="Default"/>
              <w:rPr>
                <w:rFonts w:ascii="Arial" w:hAnsi="Arial" w:cs="Arial"/>
                <w:sz w:val="20"/>
                <w:szCs w:val="20"/>
                <w:highlight w:val="green"/>
                <w:lang w:val="en-GB"/>
              </w:rPr>
            </w:pPr>
            <w:r w:rsidRPr="00F7050E">
              <w:rPr>
                <w:rFonts w:ascii="Arial" w:hAnsi="Arial" w:cs="Arial"/>
                <w:sz w:val="20"/>
                <w:szCs w:val="20"/>
                <w:lang w:val="en-GB"/>
              </w:rPr>
              <w:t xml:space="preserve">May also serve as a secondary indicator </w:t>
            </w:r>
          </w:p>
        </w:tc>
      </w:tr>
      <w:tr w:rsidR="00D12E11" w:rsidRPr="00F7050E" w14:paraId="3773393F" w14:textId="77777777" w:rsidTr="00BC7D1B">
        <w:trPr>
          <w:trHeight w:val="454"/>
          <w:jc w:val="center"/>
        </w:trPr>
        <w:tc>
          <w:tcPr>
            <w:tcW w:w="534" w:type="dxa"/>
            <w:vAlign w:val="center"/>
          </w:tcPr>
          <w:p w14:paraId="5D78368E"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lastRenderedPageBreak/>
              <w:t>P</w:t>
            </w:r>
          </w:p>
        </w:tc>
        <w:tc>
          <w:tcPr>
            <w:tcW w:w="2409" w:type="dxa"/>
          </w:tcPr>
          <w:p w14:paraId="67D1CF62"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Minimum survivors' pension relative to the absolute poverty line (percentage) </w:t>
            </w:r>
          </w:p>
          <w:p w14:paraId="770DCEB8" w14:textId="77777777" w:rsidR="00D12E11" w:rsidRPr="00F7050E" w:rsidRDefault="00D12E11" w:rsidP="00BC7D1B">
            <w:pPr>
              <w:rPr>
                <w:rFonts w:ascii="Arial" w:hAnsi="Arial" w:cs="Arial"/>
                <w:sz w:val="20"/>
                <w:szCs w:val="20"/>
                <w:highlight w:val="green"/>
              </w:rPr>
            </w:pPr>
          </w:p>
          <w:p w14:paraId="67C06D2A" w14:textId="77777777" w:rsidR="00D12E11" w:rsidRPr="00F7050E" w:rsidRDefault="00D12E11" w:rsidP="00BC7D1B">
            <w:pPr>
              <w:rPr>
                <w:rFonts w:ascii="Arial" w:hAnsi="Arial" w:cs="Arial"/>
                <w:sz w:val="20"/>
                <w:szCs w:val="20"/>
                <w:highlight w:val="green"/>
              </w:rPr>
            </w:pPr>
          </w:p>
        </w:tc>
        <w:tc>
          <w:tcPr>
            <w:tcW w:w="1772" w:type="dxa"/>
          </w:tcPr>
          <w:p w14:paraId="5C28DC11" w14:textId="77777777" w:rsidR="00D12E11" w:rsidRPr="00F7050E" w:rsidRDefault="00D12E11" w:rsidP="00BC7D1B">
            <w:pPr>
              <w:rPr>
                <w:rFonts w:ascii="Arial" w:hAnsi="Arial" w:cs="Arial"/>
                <w:sz w:val="20"/>
                <w:szCs w:val="20"/>
              </w:rPr>
            </w:pPr>
          </w:p>
          <w:p w14:paraId="268F6307"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65D6B7C4"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r w:rsidRPr="00F7050E">
              <w:rPr>
                <w:rFonts w:ascii="Arial" w:hAnsi="Arial" w:cs="Arial"/>
                <w:sz w:val="20"/>
                <w:szCs w:val="20"/>
                <w:lang w:val="en-GB"/>
              </w:rPr>
              <w:t xml:space="preserve">Minimum survivors' pension (70% of minimum old age/disability pensions) from coverage of employees/self-employed relative to the absolute poverty line </w:t>
            </w:r>
          </w:p>
          <w:p w14:paraId="7954CB31" w14:textId="77777777" w:rsidR="00D12E11" w:rsidRPr="00F7050E" w:rsidRDefault="00D12E11" w:rsidP="00BC7D1B">
            <w:pPr>
              <w:pStyle w:val="Default"/>
              <w:framePr w:hSpace="180" w:wrap="around" w:vAnchor="page" w:hAnchor="margin" w:x="-459" w:y="615"/>
              <w:rPr>
                <w:rFonts w:ascii="Arial" w:hAnsi="Arial" w:cs="Arial"/>
                <w:sz w:val="20"/>
                <w:szCs w:val="20"/>
                <w:highlight w:val="green"/>
                <w:lang w:val="en-GB"/>
              </w:rPr>
            </w:pPr>
          </w:p>
          <w:p w14:paraId="450413B5" w14:textId="77777777" w:rsidR="00D12E11" w:rsidRPr="00F7050E" w:rsidRDefault="00D12E11" w:rsidP="00BC7D1B">
            <w:pPr>
              <w:pStyle w:val="Default"/>
              <w:framePr w:hSpace="180" w:wrap="around" w:vAnchor="page" w:hAnchor="margin" w:x="-459" w:y="615"/>
              <w:rPr>
                <w:rFonts w:ascii="Arial" w:hAnsi="Arial" w:cs="Arial"/>
                <w:sz w:val="20"/>
                <w:szCs w:val="20"/>
                <w:highlight w:val="green"/>
                <w:lang w:val="en-GB"/>
              </w:rPr>
            </w:pPr>
          </w:p>
        </w:tc>
        <w:tc>
          <w:tcPr>
            <w:tcW w:w="1630" w:type="dxa"/>
          </w:tcPr>
          <w:p w14:paraId="4874D8CD" w14:textId="77777777" w:rsidR="00D12E11" w:rsidRPr="00F7050E" w:rsidRDefault="00D12E11" w:rsidP="00BC7D1B">
            <w:pPr>
              <w:rPr>
                <w:rFonts w:ascii="Arial" w:hAnsi="Arial" w:cs="Arial"/>
                <w:sz w:val="20"/>
                <w:szCs w:val="20"/>
              </w:rPr>
            </w:pPr>
          </w:p>
        </w:tc>
        <w:tc>
          <w:tcPr>
            <w:tcW w:w="1772" w:type="dxa"/>
          </w:tcPr>
          <w:p w14:paraId="45AE0657"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PDIF, SORS</w:t>
            </w:r>
          </w:p>
        </w:tc>
        <w:tc>
          <w:tcPr>
            <w:tcW w:w="3009" w:type="dxa"/>
          </w:tcPr>
          <w:p w14:paraId="40361797" w14:textId="77777777" w:rsidR="00D12E11" w:rsidRPr="00F7050E" w:rsidRDefault="00D12E11" w:rsidP="00BC7D1B">
            <w:pPr>
              <w:pStyle w:val="Default"/>
              <w:rPr>
                <w:rFonts w:ascii="Arial" w:hAnsi="Arial" w:cs="Arial"/>
                <w:i/>
                <w:sz w:val="20"/>
                <w:szCs w:val="20"/>
                <w:lang w:val="en-GB"/>
              </w:rPr>
            </w:pPr>
            <w:r w:rsidRPr="00F7050E">
              <w:rPr>
                <w:rFonts w:ascii="Arial" w:hAnsi="Arial" w:cs="Arial"/>
                <w:i/>
                <w:sz w:val="20"/>
                <w:szCs w:val="20"/>
                <w:lang w:val="en-GB"/>
              </w:rPr>
              <w:t>Processing/calculation needed</w:t>
            </w:r>
          </w:p>
          <w:p w14:paraId="7633C97A" w14:textId="77777777" w:rsidR="00D12E11" w:rsidRPr="00F7050E" w:rsidRDefault="00D12E11" w:rsidP="00BC7D1B">
            <w:pPr>
              <w:pStyle w:val="Default"/>
              <w:rPr>
                <w:rFonts w:ascii="Arial" w:hAnsi="Arial" w:cs="Arial"/>
                <w:sz w:val="20"/>
                <w:szCs w:val="20"/>
                <w:highlight w:val="green"/>
                <w:lang w:val="en-GB"/>
              </w:rPr>
            </w:pPr>
          </w:p>
          <w:p w14:paraId="3BC5546B"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Serves as an alternative to the cost of a MINIMUM consumer basket by unit (an equivalent adult)</w:t>
            </w:r>
          </w:p>
          <w:p w14:paraId="1C445388" w14:textId="77777777" w:rsidR="00D12E11" w:rsidRPr="00F7050E" w:rsidRDefault="00D12E11" w:rsidP="00BC7D1B">
            <w:pPr>
              <w:pStyle w:val="Default"/>
              <w:rPr>
                <w:rFonts w:ascii="Arial" w:hAnsi="Arial" w:cs="Arial"/>
                <w:sz w:val="20"/>
                <w:szCs w:val="20"/>
                <w:highlight w:val="green"/>
                <w:lang w:val="en-GB"/>
              </w:rPr>
            </w:pPr>
          </w:p>
          <w:p w14:paraId="044546E7"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May also serve as a secondary indicator </w:t>
            </w:r>
          </w:p>
          <w:p w14:paraId="70BDABC3" w14:textId="77777777" w:rsidR="00D12E11" w:rsidRPr="00F7050E" w:rsidRDefault="00D12E11" w:rsidP="00BC7D1B">
            <w:pPr>
              <w:pStyle w:val="Default"/>
              <w:rPr>
                <w:rFonts w:ascii="Arial" w:hAnsi="Arial" w:cs="Arial"/>
                <w:sz w:val="20"/>
                <w:szCs w:val="20"/>
                <w:highlight w:val="green"/>
                <w:lang w:val="en-GB"/>
              </w:rPr>
            </w:pPr>
          </w:p>
        </w:tc>
      </w:tr>
      <w:tr w:rsidR="00D12E11" w:rsidRPr="00F7050E" w14:paraId="4CF9DA92" w14:textId="77777777" w:rsidTr="00BC7D1B">
        <w:trPr>
          <w:trHeight w:val="454"/>
          <w:jc w:val="center"/>
        </w:trPr>
        <w:tc>
          <w:tcPr>
            <w:tcW w:w="534" w:type="dxa"/>
            <w:vAlign w:val="center"/>
          </w:tcPr>
          <w:p w14:paraId="5A6804D2"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638DCB72"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Average survivors' pension relative to the at-risk-of poverty threshold (percentage)</w:t>
            </w:r>
          </w:p>
        </w:tc>
        <w:tc>
          <w:tcPr>
            <w:tcW w:w="1772" w:type="dxa"/>
          </w:tcPr>
          <w:p w14:paraId="51C2C87A" w14:textId="77777777" w:rsidR="00D12E11" w:rsidRPr="00F7050E" w:rsidRDefault="00D12E11" w:rsidP="00BC7D1B">
            <w:pPr>
              <w:rPr>
                <w:rFonts w:ascii="Arial" w:hAnsi="Arial" w:cs="Arial"/>
                <w:i/>
                <w:sz w:val="20"/>
                <w:szCs w:val="20"/>
              </w:rPr>
            </w:pPr>
          </w:p>
          <w:p w14:paraId="3891D806"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p w14:paraId="4E1920A4" w14:textId="77777777" w:rsidR="00D12E11" w:rsidRPr="00F7050E" w:rsidRDefault="00D12E11" w:rsidP="00BC7D1B">
            <w:pPr>
              <w:rPr>
                <w:rFonts w:ascii="Arial" w:hAnsi="Arial" w:cs="Arial"/>
                <w:sz w:val="20"/>
                <w:szCs w:val="20"/>
              </w:rPr>
            </w:pPr>
          </w:p>
        </w:tc>
        <w:tc>
          <w:tcPr>
            <w:tcW w:w="2906" w:type="dxa"/>
          </w:tcPr>
          <w:p w14:paraId="350611D7"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p>
        </w:tc>
        <w:tc>
          <w:tcPr>
            <w:tcW w:w="1630" w:type="dxa"/>
          </w:tcPr>
          <w:p w14:paraId="44E72BEA" w14:textId="77777777" w:rsidR="00D12E11" w:rsidRPr="00F7050E" w:rsidRDefault="00D12E11" w:rsidP="00BC7D1B">
            <w:pPr>
              <w:rPr>
                <w:rFonts w:ascii="Arial" w:hAnsi="Arial" w:cs="Arial"/>
                <w:sz w:val="20"/>
                <w:szCs w:val="20"/>
              </w:rPr>
            </w:pPr>
          </w:p>
        </w:tc>
        <w:tc>
          <w:tcPr>
            <w:tcW w:w="1772" w:type="dxa"/>
          </w:tcPr>
          <w:p w14:paraId="738C7C6F"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PDIF, SORS</w:t>
            </w:r>
          </w:p>
        </w:tc>
        <w:tc>
          <w:tcPr>
            <w:tcW w:w="3009" w:type="dxa"/>
          </w:tcPr>
          <w:p w14:paraId="6F8E92A7" w14:textId="77777777" w:rsidR="00D12E11" w:rsidRPr="00F7050E" w:rsidRDefault="00D12E11" w:rsidP="00BC7D1B">
            <w:pPr>
              <w:pStyle w:val="Default"/>
              <w:rPr>
                <w:rFonts w:ascii="Arial" w:hAnsi="Arial" w:cs="Arial"/>
                <w:i/>
                <w:sz w:val="20"/>
                <w:szCs w:val="20"/>
                <w:lang w:val="en-GB"/>
              </w:rPr>
            </w:pPr>
            <w:r w:rsidRPr="00F7050E">
              <w:rPr>
                <w:rFonts w:ascii="Arial" w:hAnsi="Arial" w:cs="Arial"/>
                <w:i/>
                <w:sz w:val="20"/>
                <w:szCs w:val="20"/>
                <w:lang w:val="en-GB"/>
              </w:rPr>
              <w:t>Processing/calculation needed</w:t>
            </w:r>
          </w:p>
          <w:p w14:paraId="4B9CF2E6" w14:textId="77777777" w:rsidR="00D12E11" w:rsidRPr="00F7050E" w:rsidRDefault="00D12E11" w:rsidP="00BC7D1B">
            <w:pPr>
              <w:pStyle w:val="Default"/>
              <w:rPr>
                <w:rFonts w:ascii="Arial" w:hAnsi="Arial" w:cs="Arial"/>
                <w:i/>
                <w:sz w:val="20"/>
                <w:szCs w:val="20"/>
                <w:highlight w:val="green"/>
                <w:lang w:val="en-GB"/>
              </w:rPr>
            </w:pPr>
          </w:p>
          <w:p w14:paraId="5F1F407D" w14:textId="77777777" w:rsidR="00D12E11" w:rsidRPr="00F7050E" w:rsidRDefault="00D12E11" w:rsidP="00BC7D1B">
            <w:pPr>
              <w:pStyle w:val="Default"/>
              <w:rPr>
                <w:rFonts w:ascii="Arial" w:hAnsi="Arial" w:cs="Arial"/>
                <w:sz w:val="20"/>
                <w:szCs w:val="20"/>
                <w:highlight w:val="green"/>
                <w:lang w:val="en-GB"/>
              </w:rPr>
            </w:pPr>
          </w:p>
        </w:tc>
      </w:tr>
      <w:tr w:rsidR="00D12E11" w:rsidRPr="00F7050E" w14:paraId="43E63C4D" w14:textId="77777777" w:rsidTr="00BC7D1B">
        <w:trPr>
          <w:trHeight w:val="1308"/>
          <w:jc w:val="center"/>
        </w:trPr>
        <w:tc>
          <w:tcPr>
            <w:tcW w:w="534" w:type="dxa"/>
            <w:vAlign w:val="center"/>
          </w:tcPr>
          <w:p w14:paraId="2842E0BE"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tcPr>
          <w:p w14:paraId="28B49A5D" w14:textId="77777777" w:rsidR="00D12E11" w:rsidRPr="00F7050E" w:rsidRDefault="00D12E11" w:rsidP="00BC7D1B">
            <w:pPr>
              <w:rPr>
                <w:rFonts w:ascii="Arial" w:hAnsi="Arial" w:cs="Arial"/>
                <w:sz w:val="20"/>
                <w:szCs w:val="20"/>
                <w:highlight w:val="green"/>
              </w:rPr>
            </w:pPr>
          </w:p>
          <w:p w14:paraId="3392A43F" w14:textId="77777777" w:rsidR="00D12E11" w:rsidRPr="00F7050E" w:rsidRDefault="00D12E11" w:rsidP="00BC7D1B">
            <w:pPr>
              <w:rPr>
                <w:rFonts w:ascii="Arial" w:hAnsi="Arial" w:cs="Arial"/>
                <w:sz w:val="20"/>
                <w:szCs w:val="20"/>
              </w:rPr>
            </w:pPr>
            <w:r w:rsidRPr="00F7050E">
              <w:rPr>
                <w:rFonts w:ascii="Arial" w:hAnsi="Arial" w:cs="Arial"/>
                <w:sz w:val="20"/>
                <w:szCs w:val="20"/>
              </w:rPr>
              <w:t>Farmers' pension relative to the absolute poverty line (percentage)</w:t>
            </w:r>
          </w:p>
          <w:p w14:paraId="1BB3E326" w14:textId="77777777" w:rsidR="00D12E11" w:rsidRPr="00F7050E" w:rsidRDefault="00D12E11" w:rsidP="00BC7D1B">
            <w:pPr>
              <w:rPr>
                <w:rFonts w:ascii="Arial" w:hAnsi="Arial" w:cs="Arial"/>
                <w:sz w:val="20"/>
                <w:szCs w:val="20"/>
                <w:highlight w:val="green"/>
              </w:rPr>
            </w:pPr>
          </w:p>
        </w:tc>
        <w:tc>
          <w:tcPr>
            <w:tcW w:w="1772" w:type="dxa"/>
          </w:tcPr>
          <w:p w14:paraId="5F1DEF9C" w14:textId="77777777" w:rsidR="00D12E11" w:rsidRPr="00F7050E" w:rsidRDefault="00D12E11" w:rsidP="00BC7D1B">
            <w:pPr>
              <w:rPr>
                <w:rFonts w:ascii="Arial" w:hAnsi="Arial" w:cs="Arial"/>
                <w:sz w:val="20"/>
                <w:szCs w:val="20"/>
              </w:rPr>
            </w:pPr>
          </w:p>
          <w:p w14:paraId="1A7E2677"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74966131" w14:textId="77777777" w:rsidR="00D12E11" w:rsidRPr="00F7050E" w:rsidRDefault="00D12E11" w:rsidP="00BC7D1B">
            <w:pPr>
              <w:pStyle w:val="Default"/>
              <w:framePr w:hSpace="180" w:wrap="around" w:vAnchor="page" w:hAnchor="margin" w:x="-459" w:y="615"/>
              <w:rPr>
                <w:rFonts w:ascii="Arial" w:hAnsi="Arial" w:cs="Arial"/>
                <w:sz w:val="20"/>
                <w:szCs w:val="20"/>
                <w:lang w:val="en-GB"/>
              </w:rPr>
            </w:pPr>
          </w:p>
        </w:tc>
        <w:tc>
          <w:tcPr>
            <w:tcW w:w="1630" w:type="dxa"/>
          </w:tcPr>
          <w:p w14:paraId="481B9D52" w14:textId="77777777" w:rsidR="00D12E11" w:rsidRPr="00F7050E" w:rsidRDefault="00D12E11" w:rsidP="00BC7D1B">
            <w:pPr>
              <w:rPr>
                <w:rFonts w:ascii="Arial" w:hAnsi="Arial" w:cs="Arial"/>
                <w:sz w:val="20"/>
                <w:szCs w:val="20"/>
              </w:rPr>
            </w:pPr>
          </w:p>
        </w:tc>
        <w:tc>
          <w:tcPr>
            <w:tcW w:w="1772" w:type="dxa"/>
          </w:tcPr>
          <w:p w14:paraId="666F2AD4"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PDIF, SORS</w:t>
            </w:r>
          </w:p>
        </w:tc>
        <w:tc>
          <w:tcPr>
            <w:tcW w:w="3009" w:type="dxa"/>
          </w:tcPr>
          <w:p w14:paraId="51CAF143" w14:textId="77777777" w:rsidR="00D12E11" w:rsidRPr="00F7050E" w:rsidRDefault="00D12E11" w:rsidP="00BC7D1B">
            <w:pPr>
              <w:pStyle w:val="Default"/>
              <w:rPr>
                <w:rFonts w:ascii="Arial" w:hAnsi="Arial" w:cs="Arial"/>
                <w:i/>
                <w:sz w:val="20"/>
                <w:szCs w:val="20"/>
                <w:lang w:val="en-GB"/>
              </w:rPr>
            </w:pPr>
            <w:r w:rsidRPr="00F7050E">
              <w:rPr>
                <w:rFonts w:ascii="Arial" w:hAnsi="Arial" w:cs="Arial"/>
                <w:i/>
                <w:sz w:val="20"/>
                <w:szCs w:val="20"/>
                <w:lang w:val="en-GB"/>
              </w:rPr>
              <w:t>Processing/calculation needed</w:t>
            </w:r>
          </w:p>
          <w:p w14:paraId="719686E8" w14:textId="77777777" w:rsidR="00D12E11" w:rsidRPr="00F7050E" w:rsidRDefault="00D12E11" w:rsidP="00BC7D1B">
            <w:pPr>
              <w:pStyle w:val="Default"/>
              <w:rPr>
                <w:rFonts w:ascii="Arial" w:hAnsi="Arial" w:cs="Arial"/>
                <w:sz w:val="20"/>
                <w:szCs w:val="20"/>
                <w:lang w:val="en-GB"/>
              </w:rPr>
            </w:pPr>
          </w:p>
          <w:p w14:paraId="36C25DE1" w14:textId="77777777" w:rsidR="00D12E11" w:rsidRPr="00F7050E" w:rsidRDefault="00D12E11" w:rsidP="00BC7D1B">
            <w:pPr>
              <w:pStyle w:val="Default"/>
              <w:rPr>
                <w:rFonts w:ascii="Arial" w:hAnsi="Arial" w:cs="Arial"/>
                <w:sz w:val="20"/>
                <w:szCs w:val="20"/>
                <w:lang w:val="en-GB"/>
              </w:rPr>
            </w:pPr>
          </w:p>
          <w:p w14:paraId="59985448" w14:textId="77777777" w:rsidR="00D12E11" w:rsidRPr="00F7050E" w:rsidRDefault="00D12E11" w:rsidP="00BC7D1B">
            <w:pPr>
              <w:pStyle w:val="Default"/>
              <w:rPr>
                <w:rFonts w:ascii="Arial" w:hAnsi="Arial" w:cs="Arial"/>
                <w:sz w:val="20"/>
                <w:szCs w:val="20"/>
                <w:highlight w:val="green"/>
                <w:lang w:val="en-GB"/>
              </w:rPr>
            </w:pPr>
            <w:r w:rsidRPr="00F7050E">
              <w:rPr>
                <w:rFonts w:ascii="Arial" w:hAnsi="Arial" w:cs="Arial"/>
                <w:sz w:val="20"/>
                <w:szCs w:val="20"/>
                <w:lang w:val="en-GB"/>
              </w:rPr>
              <w:t>May also serve as a secondary indicator</w:t>
            </w:r>
          </w:p>
        </w:tc>
      </w:tr>
      <w:tr w:rsidR="00D12E11" w:rsidRPr="00F7050E" w14:paraId="49969451" w14:textId="77777777" w:rsidTr="00BC7D1B">
        <w:trPr>
          <w:trHeight w:val="454"/>
          <w:jc w:val="center"/>
        </w:trPr>
        <w:tc>
          <w:tcPr>
            <w:tcW w:w="534" w:type="dxa"/>
            <w:vAlign w:val="center"/>
          </w:tcPr>
          <w:p w14:paraId="72A43042" w14:textId="77777777" w:rsidR="00D12E11" w:rsidRPr="00F7050E" w:rsidRDefault="00D12E11" w:rsidP="00BC7D1B">
            <w:pPr>
              <w:rPr>
                <w:rFonts w:ascii="Arial" w:hAnsi="Arial" w:cs="Arial"/>
                <w:sz w:val="20"/>
                <w:szCs w:val="20"/>
              </w:rPr>
            </w:pPr>
            <w:r w:rsidRPr="00F7050E">
              <w:rPr>
                <w:rFonts w:ascii="Arial" w:hAnsi="Arial" w:cs="Arial"/>
                <w:sz w:val="20"/>
                <w:szCs w:val="20"/>
              </w:rPr>
              <w:t>P</w:t>
            </w:r>
          </w:p>
        </w:tc>
        <w:tc>
          <w:tcPr>
            <w:tcW w:w="2409" w:type="dxa"/>
          </w:tcPr>
          <w:p w14:paraId="1FDC4F76" w14:textId="77777777" w:rsidR="00D12E11" w:rsidRPr="00F7050E" w:rsidRDefault="00D12E11" w:rsidP="00BC7D1B">
            <w:pPr>
              <w:rPr>
                <w:rFonts w:ascii="Arial" w:hAnsi="Arial" w:cs="Arial"/>
                <w:sz w:val="20"/>
                <w:szCs w:val="20"/>
              </w:rPr>
            </w:pPr>
          </w:p>
          <w:p w14:paraId="61E12287" w14:textId="77777777" w:rsidR="00D12E11" w:rsidRPr="00F7050E" w:rsidRDefault="00D12E11" w:rsidP="00BC7D1B">
            <w:pPr>
              <w:rPr>
                <w:rFonts w:ascii="Arial" w:hAnsi="Arial" w:cs="Arial"/>
                <w:sz w:val="20"/>
                <w:szCs w:val="20"/>
              </w:rPr>
            </w:pPr>
          </w:p>
          <w:p w14:paraId="14F68BE2" w14:textId="77777777" w:rsidR="00D12E11" w:rsidRPr="00F7050E" w:rsidRDefault="00D12E11" w:rsidP="00BC7D1B">
            <w:pPr>
              <w:rPr>
                <w:rFonts w:ascii="Arial" w:hAnsi="Arial" w:cs="Arial"/>
                <w:sz w:val="20"/>
                <w:szCs w:val="20"/>
              </w:rPr>
            </w:pPr>
            <w:r w:rsidRPr="00F7050E">
              <w:rPr>
                <w:rFonts w:ascii="Arial" w:hAnsi="Arial" w:cs="Arial"/>
                <w:sz w:val="20"/>
                <w:szCs w:val="20"/>
              </w:rPr>
              <w:t>Pensioners' poverty rate (percentage)</w:t>
            </w:r>
          </w:p>
        </w:tc>
        <w:tc>
          <w:tcPr>
            <w:tcW w:w="1772" w:type="dxa"/>
          </w:tcPr>
          <w:p w14:paraId="516113B9" w14:textId="77777777" w:rsidR="00D12E11" w:rsidRPr="00F7050E" w:rsidRDefault="00D12E11" w:rsidP="00BC7D1B">
            <w:pPr>
              <w:spacing w:after="120"/>
              <w:rPr>
                <w:rFonts w:ascii="Arial" w:hAnsi="Arial" w:cs="Arial"/>
                <w:sz w:val="20"/>
                <w:szCs w:val="20"/>
              </w:rPr>
            </w:pPr>
            <w:r w:rsidRPr="00F7050E">
              <w:rPr>
                <w:rFonts w:ascii="Arial" w:hAnsi="Arial" w:cs="Arial"/>
                <w:sz w:val="20"/>
                <w:szCs w:val="20"/>
              </w:rPr>
              <w:t>Adequate Pensions</w:t>
            </w:r>
          </w:p>
          <w:p w14:paraId="143E8A02"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tc>
        <w:tc>
          <w:tcPr>
            <w:tcW w:w="2906" w:type="dxa"/>
          </w:tcPr>
          <w:p w14:paraId="3E41347C" w14:textId="77777777" w:rsidR="00D12E11" w:rsidRPr="00F7050E" w:rsidRDefault="00D12E11" w:rsidP="00BC7D1B">
            <w:pPr>
              <w:rPr>
                <w:rFonts w:ascii="Arial" w:hAnsi="Arial" w:cs="Arial"/>
                <w:sz w:val="20"/>
                <w:szCs w:val="20"/>
              </w:rPr>
            </w:pPr>
            <w:r w:rsidRPr="00F7050E">
              <w:rPr>
                <w:rFonts w:ascii="Arial" w:hAnsi="Arial" w:cs="Arial"/>
                <w:sz w:val="20"/>
                <w:szCs w:val="20"/>
              </w:rPr>
              <w:t>Absolute poverty by expenditure</w:t>
            </w:r>
          </w:p>
        </w:tc>
        <w:tc>
          <w:tcPr>
            <w:tcW w:w="1630" w:type="dxa"/>
          </w:tcPr>
          <w:p w14:paraId="66875701" w14:textId="77777777" w:rsidR="00D12E11" w:rsidRPr="00F7050E" w:rsidRDefault="00D12E11" w:rsidP="00BC7D1B">
            <w:pPr>
              <w:rPr>
                <w:rFonts w:ascii="Arial" w:hAnsi="Arial" w:cs="Arial"/>
                <w:sz w:val="20"/>
                <w:szCs w:val="20"/>
              </w:rPr>
            </w:pPr>
            <w:r w:rsidRPr="00F7050E">
              <w:rPr>
                <w:rFonts w:ascii="Arial" w:hAnsi="Arial" w:cs="Arial"/>
                <w:sz w:val="20"/>
                <w:szCs w:val="20"/>
              </w:rPr>
              <w:t>By sex, by age groups (65+,75+)</w:t>
            </w:r>
          </w:p>
        </w:tc>
        <w:tc>
          <w:tcPr>
            <w:tcW w:w="1772" w:type="dxa"/>
          </w:tcPr>
          <w:p w14:paraId="7121B905" w14:textId="77777777" w:rsidR="00D12E11" w:rsidRPr="00F7050E" w:rsidRDefault="00D12E11" w:rsidP="00BC7D1B">
            <w:pPr>
              <w:rPr>
                <w:rFonts w:ascii="Arial" w:hAnsi="Arial" w:cs="Arial"/>
                <w:sz w:val="20"/>
                <w:szCs w:val="20"/>
              </w:rPr>
            </w:pPr>
            <w:r w:rsidRPr="00F7050E">
              <w:rPr>
                <w:rFonts w:ascii="Arial" w:hAnsi="Arial" w:cs="Arial"/>
                <w:sz w:val="20"/>
                <w:szCs w:val="20"/>
              </w:rPr>
              <w:t>SHC (Survey on Household Consumption)</w:t>
            </w:r>
          </w:p>
        </w:tc>
        <w:tc>
          <w:tcPr>
            <w:tcW w:w="3009" w:type="dxa"/>
          </w:tcPr>
          <w:p w14:paraId="35C3F817" w14:textId="77777777" w:rsidR="00D12E11" w:rsidRPr="00F7050E" w:rsidRDefault="00D12E11" w:rsidP="00BC7D1B">
            <w:pPr>
              <w:spacing w:after="120"/>
              <w:rPr>
                <w:rFonts w:ascii="Arial" w:hAnsi="Arial" w:cs="Arial"/>
                <w:i/>
                <w:sz w:val="20"/>
                <w:szCs w:val="20"/>
              </w:rPr>
            </w:pPr>
            <w:r w:rsidRPr="00F7050E">
              <w:rPr>
                <w:rFonts w:ascii="Arial" w:hAnsi="Arial" w:cs="Arial"/>
                <w:i/>
                <w:sz w:val="20"/>
                <w:szCs w:val="20"/>
              </w:rPr>
              <w:t>Absolute poverty is currently not covered by the official statistics</w:t>
            </w:r>
          </w:p>
          <w:p w14:paraId="3A116D30"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Bearing in mind that a significant part of Serbia's population cannot meet even its basic needs, this indicator needs to be monitored as an indicator complementing the at-risk-of-poverty rate</w:t>
            </w:r>
          </w:p>
        </w:tc>
      </w:tr>
      <w:tr w:rsidR="00D12E11" w:rsidRPr="00F7050E" w14:paraId="0211094A" w14:textId="77777777" w:rsidTr="00BC7D1B">
        <w:trPr>
          <w:trHeight w:val="454"/>
          <w:jc w:val="center"/>
        </w:trPr>
        <w:tc>
          <w:tcPr>
            <w:tcW w:w="534" w:type="dxa"/>
            <w:vAlign w:val="center"/>
          </w:tcPr>
          <w:p w14:paraId="30C4C503"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tcPr>
          <w:p w14:paraId="07C6D8EA" w14:textId="77777777" w:rsidR="00D12E11" w:rsidRPr="00F7050E" w:rsidRDefault="00D12E11" w:rsidP="00BC7D1B">
            <w:pPr>
              <w:pStyle w:val="Default"/>
              <w:rPr>
                <w:rFonts w:ascii="Arial" w:hAnsi="Arial" w:cs="Arial"/>
                <w:bCs/>
                <w:color w:val="0000FF"/>
                <w:sz w:val="20"/>
                <w:szCs w:val="20"/>
                <w:lang w:val="en-GB"/>
              </w:rPr>
            </w:pPr>
          </w:p>
          <w:p w14:paraId="727C2DCB" w14:textId="77777777" w:rsidR="00D12E11" w:rsidRPr="00F7050E" w:rsidRDefault="00D12E11" w:rsidP="00BC7D1B">
            <w:pPr>
              <w:pStyle w:val="Default"/>
              <w:rPr>
                <w:rFonts w:ascii="Arial" w:hAnsi="Arial" w:cs="Arial"/>
                <w:bCs/>
                <w:color w:val="0000FF"/>
                <w:sz w:val="20"/>
                <w:szCs w:val="20"/>
                <w:lang w:val="en-GB"/>
              </w:rPr>
            </w:pPr>
          </w:p>
          <w:p w14:paraId="20F5CC12" w14:textId="77777777" w:rsidR="00D12E11" w:rsidRPr="00F7050E" w:rsidRDefault="00D12E11" w:rsidP="00BC7D1B">
            <w:pPr>
              <w:pStyle w:val="Default"/>
              <w:rPr>
                <w:rFonts w:ascii="Arial" w:hAnsi="Arial" w:cs="Arial"/>
                <w:color w:val="0000FF"/>
                <w:sz w:val="20"/>
                <w:szCs w:val="20"/>
                <w:lang w:val="en-GB"/>
              </w:rPr>
            </w:pPr>
            <w:r w:rsidRPr="00F7050E">
              <w:rPr>
                <w:rFonts w:ascii="Arial" w:hAnsi="Arial" w:cs="Arial"/>
                <w:bCs/>
                <w:color w:val="auto"/>
                <w:sz w:val="20"/>
                <w:szCs w:val="20"/>
                <w:lang w:val="en-GB"/>
              </w:rPr>
              <w:lastRenderedPageBreak/>
              <w:t>At-risk-of-poverty rate of pensioners</w:t>
            </w:r>
            <w:r w:rsidRPr="00F7050E">
              <w:rPr>
                <w:rFonts w:ascii="Arial" w:hAnsi="Arial" w:cs="Arial"/>
                <w:bCs/>
                <w:color w:val="0000FF"/>
                <w:sz w:val="20"/>
                <w:szCs w:val="20"/>
                <w:lang w:val="en-GB"/>
              </w:rPr>
              <w:t xml:space="preserve"> </w:t>
            </w:r>
          </w:p>
          <w:p w14:paraId="10A283D1" w14:textId="77777777" w:rsidR="00D12E11" w:rsidRPr="00F7050E" w:rsidRDefault="00D12E11" w:rsidP="00BC7D1B">
            <w:pPr>
              <w:pStyle w:val="Default"/>
              <w:rPr>
                <w:rFonts w:ascii="Arial" w:hAnsi="Arial" w:cs="Arial"/>
                <w:bCs/>
                <w:color w:val="0000FF"/>
                <w:sz w:val="20"/>
                <w:szCs w:val="20"/>
                <w:lang w:val="en-GB"/>
              </w:rPr>
            </w:pPr>
          </w:p>
        </w:tc>
        <w:tc>
          <w:tcPr>
            <w:tcW w:w="1772" w:type="dxa"/>
          </w:tcPr>
          <w:p w14:paraId="45A7A205" w14:textId="77777777" w:rsidR="00D12E11" w:rsidRPr="00F7050E" w:rsidRDefault="00D12E11" w:rsidP="00BC7D1B">
            <w:pPr>
              <w:framePr w:hSpace="180" w:wrap="around" w:vAnchor="page" w:hAnchor="margin" w:x="-459" w:y="615"/>
              <w:rPr>
                <w:rFonts w:ascii="Arial" w:hAnsi="Arial" w:cs="Arial"/>
                <w:sz w:val="20"/>
                <w:szCs w:val="20"/>
              </w:rPr>
            </w:pPr>
            <w:r w:rsidRPr="00F7050E">
              <w:rPr>
                <w:rFonts w:ascii="Arial" w:hAnsi="Arial" w:cs="Arial"/>
                <w:sz w:val="20"/>
                <w:szCs w:val="20"/>
              </w:rPr>
              <w:lastRenderedPageBreak/>
              <w:t>Adequate Pensions</w:t>
            </w:r>
          </w:p>
          <w:p w14:paraId="4AFF8364" w14:textId="77777777" w:rsidR="00D12E11" w:rsidRPr="00F7050E" w:rsidRDefault="00D12E11" w:rsidP="00BC7D1B">
            <w:pPr>
              <w:framePr w:hSpace="180" w:wrap="around" w:vAnchor="page" w:hAnchor="margin" w:x="-459" w:y="615"/>
              <w:rPr>
                <w:rFonts w:ascii="Arial" w:hAnsi="Arial" w:cs="Arial"/>
                <w:i/>
                <w:sz w:val="20"/>
                <w:szCs w:val="20"/>
              </w:rPr>
            </w:pPr>
          </w:p>
          <w:p w14:paraId="47606A8B" w14:textId="77777777" w:rsidR="00D12E11" w:rsidRPr="00F7050E" w:rsidRDefault="00D12E11" w:rsidP="00BC7D1B">
            <w:pPr>
              <w:rPr>
                <w:rFonts w:ascii="Arial" w:hAnsi="Arial" w:cs="Arial"/>
                <w:sz w:val="20"/>
                <w:szCs w:val="20"/>
              </w:rPr>
            </w:pPr>
            <w:r w:rsidRPr="00F7050E">
              <w:rPr>
                <w:rFonts w:ascii="Arial" w:hAnsi="Arial" w:cs="Arial"/>
                <w:i/>
                <w:sz w:val="20"/>
                <w:szCs w:val="20"/>
              </w:rPr>
              <w:t>Secondary EU Indicator</w:t>
            </w:r>
          </w:p>
        </w:tc>
        <w:tc>
          <w:tcPr>
            <w:tcW w:w="2906" w:type="dxa"/>
          </w:tcPr>
          <w:p w14:paraId="58E440D1"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lastRenderedPageBreak/>
              <w:t xml:space="preserve">At-risk-of-poverty rate restricted to the </w:t>
            </w:r>
            <w:r w:rsidRPr="00F7050E">
              <w:rPr>
                <w:rFonts w:ascii="Arial" w:hAnsi="Arial" w:cs="Arial"/>
                <w:color w:val="auto"/>
                <w:sz w:val="20"/>
                <w:szCs w:val="20"/>
                <w:lang w:val="en-GB"/>
              </w:rPr>
              <w:t>group</w:t>
            </w:r>
            <w:r w:rsidRPr="00F7050E">
              <w:rPr>
                <w:rFonts w:ascii="Arial" w:hAnsi="Arial" w:cs="Arial"/>
                <w:sz w:val="20"/>
                <w:szCs w:val="20"/>
                <w:lang w:val="en-GB"/>
              </w:rPr>
              <w:t xml:space="preserve"> of </w:t>
            </w:r>
            <w:r w:rsidRPr="00F7050E">
              <w:rPr>
                <w:rFonts w:ascii="Arial" w:hAnsi="Arial" w:cs="Arial"/>
                <w:sz w:val="20"/>
                <w:szCs w:val="20"/>
                <w:lang w:val="en-GB"/>
              </w:rPr>
              <w:lastRenderedPageBreak/>
              <w:t xml:space="preserve">people whose main activity status is 'retired' </w:t>
            </w:r>
          </w:p>
          <w:p w14:paraId="47978876" w14:textId="77777777" w:rsidR="00D12E11" w:rsidRPr="00F7050E" w:rsidRDefault="00D12E11" w:rsidP="00BC7D1B">
            <w:pPr>
              <w:pStyle w:val="Default"/>
              <w:rPr>
                <w:rFonts w:ascii="Arial" w:hAnsi="Arial" w:cs="Arial"/>
                <w:sz w:val="20"/>
                <w:szCs w:val="20"/>
                <w:lang w:val="en-GB"/>
              </w:rPr>
            </w:pPr>
          </w:p>
        </w:tc>
        <w:tc>
          <w:tcPr>
            <w:tcW w:w="1630" w:type="dxa"/>
          </w:tcPr>
          <w:p w14:paraId="1B5AFE59"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lastRenderedPageBreak/>
              <w:t>By sex</w:t>
            </w:r>
          </w:p>
        </w:tc>
        <w:tc>
          <w:tcPr>
            <w:tcW w:w="1772" w:type="dxa"/>
          </w:tcPr>
          <w:p w14:paraId="0CDC49E4"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7A0B7416" w14:textId="77777777" w:rsidR="00D12E11" w:rsidRPr="00F7050E" w:rsidRDefault="00D12E11" w:rsidP="00BC7D1B">
            <w:pPr>
              <w:pStyle w:val="Default"/>
              <w:rPr>
                <w:rFonts w:ascii="Arial" w:hAnsi="Arial" w:cs="Arial"/>
                <w:sz w:val="20"/>
                <w:szCs w:val="20"/>
                <w:lang w:val="en-GB"/>
              </w:rPr>
            </w:pPr>
          </w:p>
        </w:tc>
        <w:tc>
          <w:tcPr>
            <w:tcW w:w="3009" w:type="dxa"/>
          </w:tcPr>
          <w:p w14:paraId="24715C0A"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This indicator complements indicators on poverty rates for </w:t>
            </w:r>
            <w:r w:rsidRPr="00F7050E">
              <w:rPr>
                <w:rFonts w:ascii="Arial" w:hAnsi="Arial" w:cs="Arial"/>
                <w:sz w:val="20"/>
                <w:szCs w:val="20"/>
                <w:lang w:val="en-GB"/>
              </w:rPr>
              <w:lastRenderedPageBreak/>
              <w:t xml:space="preserve">people whose status is retired. See also indicators for the third streamlined objective. </w:t>
            </w:r>
          </w:p>
          <w:p w14:paraId="2BE4C2C7" w14:textId="77777777" w:rsidR="00D12E11" w:rsidRPr="00F7050E" w:rsidRDefault="00D12E11" w:rsidP="00BC7D1B">
            <w:pPr>
              <w:rPr>
                <w:rFonts w:ascii="Arial" w:hAnsi="Arial" w:cs="Arial"/>
                <w:sz w:val="20"/>
                <w:szCs w:val="20"/>
              </w:rPr>
            </w:pPr>
          </w:p>
        </w:tc>
      </w:tr>
      <w:tr w:rsidR="00D12E11" w:rsidRPr="00F7050E" w14:paraId="19035446" w14:textId="77777777" w:rsidTr="00BC7D1B">
        <w:trPr>
          <w:trHeight w:val="454"/>
          <w:jc w:val="center"/>
        </w:trPr>
        <w:tc>
          <w:tcPr>
            <w:tcW w:w="534" w:type="dxa"/>
            <w:vAlign w:val="center"/>
          </w:tcPr>
          <w:p w14:paraId="629E09D0"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lastRenderedPageBreak/>
              <w:t>S</w:t>
            </w:r>
          </w:p>
        </w:tc>
        <w:tc>
          <w:tcPr>
            <w:tcW w:w="2409" w:type="dxa"/>
          </w:tcPr>
          <w:p w14:paraId="63EB57AA"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Minimum pension (employed and self-employed) relative to the average earnings (percentage)</w:t>
            </w:r>
          </w:p>
        </w:tc>
        <w:tc>
          <w:tcPr>
            <w:tcW w:w="1772" w:type="dxa"/>
          </w:tcPr>
          <w:p w14:paraId="568F0333" w14:textId="77777777" w:rsidR="00D12E11" w:rsidRPr="00F7050E" w:rsidRDefault="00D12E11" w:rsidP="00BC7D1B">
            <w:pPr>
              <w:rPr>
                <w:rFonts w:ascii="Arial" w:hAnsi="Arial" w:cs="Arial"/>
                <w:i/>
                <w:sz w:val="20"/>
                <w:szCs w:val="20"/>
              </w:rPr>
            </w:pPr>
            <w:r w:rsidRPr="00F7050E">
              <w:rPr>
                <w:rFonts w:ascii="Arial" w:hAnsi="Arial" w:cs="Arial"/>
                <w:sz w:val="20"/>
                <w:szCs w:val="20"/>
              </w:rPr>
              <w:br/>
            </w:r>
            <w:r w:rsidRPr="00F7050E">
              <w:rPr>
                <w:rFonts w:ascii="Arial" w:hAnsi="Arial" w:cs="Arial"/>
                <w:i/>
                <w:sz w:val="20"/>
                <w:szCs w:val="20"/>
              </w:rPr>
              <w:t>Country-specific</w:t>
            </w:r>
          </w:p>
          <w:p w14:paraId="477AB1B0" w14:textId="77777777" w:rsidR="00D12E11" w:rsidRPr="00F7050E" w:rsidRDefault="00D12E11" w:rsidP="00BC7D1B">
            <w:pPr>
              <w:rPr>
                <w:rFonts w:ascii="Arial" w:hAnsi="Arial" w:cs="Arial"/>
                <w:i/>
                <w:sz w:val="20"/>
                <w:szCs w:val="20"/>
              </w:rPr>
            </w:pPr>
          </w:p>
          <w:p w14:paraId="48FF97EF" w14:textId="77777777" w:rsidR="00D12E11" w:rsidRPr="00F7050E" w:rsidRDefault="00D12E11" w:rsidP="00BC7D1B">
            <w:pPr>
              <w:rPr>
                <w:rFonts w:ascii="Arial" w:hAnsi="Arial" w:cs="Arial"/>
                <w:i/>
                <w:sz w:val="20"/>
                <w:szCs w:val="20"/>
              </w:rPr>
            </w:pPr>
            <w:r w:rsidRPr="00F7050E">
              <w:rPr>
                <w:rFonts w:ascii="Arial" w:hAnsi="Arial" w:cs="Arial"/>
                <w:i/>
                <w:sz w:val="20"/>
                <w:szCs w:val="20"/>
              </w:rPr>
              <w:t>(Pensions at a Glance)</w:t>
            </w:r>
          </w:p>
        </w:tc>
        <w:tc>
          <w:tcPr>
            <w:tcW w:w="2906" w:type="dxa"/>
          </w:tcPr>
          <w:p w14:paraId="1074945A" w14:textId="77777777" w:rsidR="00D12E11" w:rsidRPr="00F7050E" w:rsidRDefault="00D12E11" w:rsidP="00BC7D1B">
            <w:pPr>
              <w:pStyle w:val="Default"/>
              <w:rPr>
                <w:rFonts w:ascii="Arial" w:hAnsi="Arial" w:cs="Arial"/>
                <w:sz w:val="20"/>
                <w:szCs w:val="20"/>
                <w:lang w:val="en-GB"/>
              </w:rPr>
            </w:pPr>
          </w:p>
        </w:tc>
        <w:tc>
          <w:tcPr>
            <w:tcW w:w="1630" w:type="dxa"/>
          </w:tcPr>
          <w:p w14:paraId="636C0314" w14:textId="77777777" w:rsidR="00D12E11" w:rsidRPr="00F7050E" w:rsidRDefault="00D12E11" w:rsidP="00BC7D1B">
            <w:pPr>
              <w:pStyle w:val="Default"/>
              <w:rPr>
                <w:rFonts w:ascii="Arial" w:hAnsi="Arial" w:cs="Arial"/>
                <w:sz w:val="20"/>
                <w:szCs w:val="20"/>
                <w:lang w:val="en-GB"/>
              </w:rPr>
            </w:pPr>
          </w:p>
        </w:tc>
        <w:tc>
          <w:tcPr>
            <w:tcW w:w="1772" w:type="dxa"/>
          </w:tcPr>
          <w:p w14:paraId="41BF13EC"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PDIF, SORS -</w:t>
            </w:r>
            <w:r w:rsidRPr="00F7050E">
              <w:rPr>
                <w:rFonts w:ascii="Arial" w:hAnsi="Arial" w:cs="Arial"/>
                <w:color w:val="666666"/>
                <w:sz w:val="20"/>
                <w:szCs w:val="20"/>
                <w:lang w:val="en-GB"/>
              </w:rPr>
              <w:t xml:space="preserve"> </w:t>
            </w:r>
            <w:r w:rsidRPr="00F7050E">
              <w:rPr>
                <w:rStyle w:val="Strong"/>
                <w:rFonts w:ascii="Arial" w:hAnsi="Arial" w:cs="Arial"/>
                <w:color w:val="auto"/>
                <w:sz w:val="20"/>
                <w:szCs w:val="20"/>
                <w:lang w:val="en-GB"/>
              </w:rPr>
              <w:t>Central Registry for Compulsory Social Insurance</w:t>
            </w:r>
          </w:p>
        </w:tc>
        <w:tc>
          <w:tcPr>
            <w:tcW w:w="3009" w:type="dxa"/>
          </w:tcPr>
          <w:p w14:paraId="5A6C0FA9" w14:textId="77777777" w:rsidR="00D12E11" w:rsidRPr="00F7050E" w:rsidRDefault="00D12E11" w:rsidP="00BC7D1B">
            <w:pPr>
              <w:pStyle w:val="Default"/>
              <w:rPr>
                <w:rFonts w:ascii="Arial" w:hAnsi="Arial" w:cs="Arial"/>
                <w:i/>
                <w:sz w:val="20"/>
                <w:szCs w:val="20"/>
                <w:lang w:val="en-GB"/>
              </w:rPr>
            </w:pPr>
            <w:r w:rsidRPr="00F7050E">
              <w:rPr>
                <w:rFonts w:ascii="Arial" w:hAnsi="Arial" w:cs="Arial"/>
                <w:i/>
                <w:sz w:val="20"/>
                <w:szCs w:val="20"/>
                <w:lang w:val="en-GB"/>
              </w:rPr>
              <w:t>Processing/calculation needed</w:t>
            </w:r>
          </w:p>
          <w:p w14:paraId="7EA1B8CE" w14:textId="77777777" w:rsidR="00D12E11" w:rsidRPr="00F7050E" w:rsidRDefault="00D12E11" w:rsidP="00BC7D1B">
            <w:pPr>
              <w:pStyle w:val="Default"/>
              <w:rPr>
                <w:rFonts w:ascii="Arial" w:hAnsi="Arial" w:cs="Arial"/>
                <w:i/>
                <w:sz w:val="20"/>
                <w:szCs w:val="20"/>
                <w:highlight w:val="green"/>
                <w:lang w:val="en-GB"/>
              </w:rPr>
            </w:pPr>
          </w:p>
          <w:p w14:paraId="1D3BC50D" w14:textId="77777777" w:rsidR="00D12E11" w:rsidRPr="00F7050E" w:rsidRDefault="00D12E11" w:rsidP="00BC7D1B">
            <w:pPr>
              <w:pStyle w:val="Default"/>
              <w:rPr>
                <w:rFonts w:ascii="Arial" w:hAnsi="Arial" w:cs="Arial"/>
                <w:sz w:val="20"/>
                <w:szCs w:val="20"/>
                <w:highlight w:val="green"/>
                <w:lang w:val="en-GB"/>
              </w:rPr>
            </w:pPr>
            <w:r w:rsidRPr="00F7050E">
              <w:rPr>
                <w:rFonts w:ascii="Arial" w:hAnsi="Arial" w:cs="Arial"/>
                <w:i/>
                <w:sz w:val="20"/>
                <w:szCs w:val="20"/>
                <w:lang w:val="en-GB"/>
              </w:rPr>
              <w:t>This indicator has been selected mainly for the sake of comparability with OECD Member States</w:t>
            </w:r>
          </w:p>
        </w:tc>
      </w:tr>
      <w:tr w:rsidR="00D12E11" w:rsidRPr="00F7050E" w14:paraId="4709791D" w14:textId="77777777" w:rsidTr="00BC7D1B">
        <w:trPr>
          <w:trHeight w:val="454"/>
          <w:jc w:val="center"/>
        </w:trPr>
        <w:tc>
          <w:tcPr>
            <w:tcW w:w="534" w:type="dxa"/>
            <w:vAlign w:val="center"/>
          </w:tcPr>
          <w:p w14:paraId="2FC4BF06"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29E1087F"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Minimum pension relative to the threshold of relative poverty</w:t>
            </w:r>
          </w:p>
        </w:tc>
        <w:tc>
          <w:tcPr>
            <w:tcW w:w="1772" w:type="dxa"/>
          </w:tcPr>
          <w:p w14:paraId="390FB645" w14:textId="77777777" w:rsidR="00D12E11" w:rsidRPr="00F7050E" w:rsidRDefault="00D12E11" w:rsidP="00BC7D1B">
            <w:pPr>
              <w:rPr>
                <w:rFonts w:ascii="Arial" w:hAnsi="Arial" w:cs="Arial"/>
                <w:sz w:val="20"/>
                <w:szCs w:val="20"/>
              </w:rPr>
            </w:pPr>
            <w:r w:rsidRPr="00F7050E">
              <w:rPr>
                <w:rFonts w:ascii="Arial" w:hAnsi="Arial" w:cs="Arial"/>
                <w:sz w:val="20"/>
                <w:szCs w:val="20"/>
              </w:rPr>
              <w:t>Pension adequacy report</w:t>
            </w:r>
          </w:p>
        </w:tc>
        <w:tc>
          <w:tcPr>
            <w:tcW w:w="2906" w:type="dxa"/>
          </w:tcPr>
          <w:p w14:paraId="2AD04F82" w14:textId="77777777" w:rsidR="00D12E11" w:rsidRPr="00F7050E" w:rsidRDefault="00D12E11" w:rsidP="00BC7D1B">
            <w:pPr>
              <w:pStyle w:val="Default"/>
              <w:rPr>
                <w:rFonts w:ascii="Arial" w:hAnsi="Arial" w:cs="Arial"/>
                <w:sz w:val="20"/>
                <w:szCs w:val="20"/>
                <w:lang w:val="en-GB"/>
              </w:rPr>
            </w:pPr>
          </w:p>
        </w:tc>
        <w:tc>
          <w:tcPr>
            <w:tcW w:w="1630" w:type="dxa"/>
          </w:tcPr>
          <w:p w14:paraId="1486EAEC"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Employed/self-employed and farmers, separately</w:t>
            </w:r>
          </w:p>
        </w:tc>
        <w:tc>
          <w:tcPr>
            <w:tcW w:w="1772" w:type="dxa"/>
          </w:tcPr>
          <w:p w14:paraId="16EF1829" w14:textId="77777777" w:rsidR="00D12E11" w:rsidRPr="00F7050E" w:rsidRDefault="00D12E11" w:rsidP="00BC7D1B">
            <w:pPr>
              <w:pStyle w:val="Default"/>
              <w:rPr>
                <w:rFonts w:ascii="Arial" w:hAnsi="Arial" w:cs="Arial"/>
                <w:sz w:val="20"/>
                <w:szCs w:val="20"/>
                <w:lang w:val="en-GB"/>
              </w:rPr>
            </w:pPr>
          </w:p>
        </w:tc>
        <w:tc>
          <w:tcPr>
            <w:tcW w:w="3009" w:type="dxa"/>
          </w:tcPr>
          <w:p w14:paraId="6D7E87C0" w14:textId="77777777" w:rsidR="00D12E11" w:rsidRPr="00F7050E" w:rsidRDefault="00D12E11" w:rsidP="00BC7D1B">
            <w:pPr>
              <w:pStyle w:val="Default"/>
              <w:rPr>
                <w:rFonts w:ascii="Arial" w:hAnsi="Arial" w:cs="Arial"/>
                <w:i/>
                <w:sz w:val="20"/>
                <w:szCs w:val="20"/>
                <w:highlight w:val="green"/>
                <w:lang w:val="en-GB"/>
              </w:rPr>
            </w:pPr>
            <w:r w:rsidRPr="00F7050E">
              <w:rPr>
                <w:rFonts w:ascii="Arial" w:hAnsi="Arial" w:cs="Arial"/>
                <w:i/>
                <w:sz w:val="20"/>
                <w:szCs w:val="20"/>
                <w:lang w:val="en-GB"/>
              </w:rPr>
              <w:t>Processing/calculation needed</w:t>
            </w:r>
          </w:p>
          <w:p w14:paraId="2A2ACD0F" w14:textId="77777777" w:rsidR="00D12E11" w:rsidRPr="00F7050E" w:rsidRDefault="00D12E11" w:rsidP="00BC7D1B">
            <w:pPr>
              <w:pStyle w:val="Default"/>
              <w:rPr>
                <w:rFonts w:ascii="Arial" w:hAnsi="Arial" w:cs="Arial"/>
                <w:sz w:val="20"/>
                <w:szCs w:val="20"/>
                <w:highlight w:val="green"/>
                <w:lang w:val="en-GB"/>
              </w:rPr>
            </w:pPr>
          </w:p>
        </w:tc>
      </w:tr>
      <w:tr w:rsidR="00D12E11" w:rsidRPr="00F7050E" w14:paraId="08240FB7" w14:textId="77777777" w:rsidTr="00BC7D1B">
        <w:trPr>
          <w:trHeight w:val="454"/>
          <w:jc w:val="center"/>
        </w:trPr>
        <w:tc>
          <w:tcPr>
            <w:tcW w:w="14032" w:type="dxa"/>
            <w:gridSpan w:val="7"/>
            <w:vAlign w:val="center"/>
          </w:tcPr>
          <w:p w14:paraId="51781E02" w14:textId="77777777" w:rsidR="00D12E11" w:rsidRPr="00F7050E" w:rsidRDefault="00D12E11" w:rsidP="00BC7D1B">
            <w:pPr>
              <w:rPr>
                <w:rFonts w:ascii="Arial" w:hAnsi="Arial" w:cs="Arial"/>
                <w:b/>
                <w:i/>
                <w:sz w:val="20"/>
                <w:szCs w:val="20"/>
              </w:rPr>
            </w:pPr>
            <w:r w:rsidRPr="00F7050E">
              <w:rPr>
                <w:rFonts w:ascii="Arial" w:hAnsi="Arial" w:cs="Arial"/>
                <w:b/>
                <w:i/>
                <w:sz w:val="20"/>
                <w:szCs w:val="20"/>
              </w:rPr>
              <w:t>Income Replacement, Relative Living Standard</w:t>
            </w:r>
          </w:p>
        </w:tc>
      </w:tr>
      <w:tr w:rsidR="00D12E11" w:rsidRPr="00F7050E" w14:paraId="31391B85" w14:textId="77777777" w:rsidTr="00BC7D1B">
        <w:trPr>
          <w:trHeight w:val="454"/>
          <w:jc w:val="center"/>
        </w:trPr>
        <w:tc>
          <w:tcPr>
            <w:tcW w:w="534" w:type="dxa"/>
            <w:vAlign w:val="center"/>
          </w:tcPr>
          <w:p w14:paraId="6A7BA2EA"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vAlign w:val="center"/>
          </w:tcPr>
          <w:p w14:paraId="2425D722" w14:textId="77777777" w:rsidR="00D12E11" w:rsidRPr="00F7050E" w:rsidRDefault="00D12E11" w:rsidP="00BC7D1B">
            <w:pPr>
              <w:rPr>
                <w:rFonts w:ascii="Arial" w:hAnsi="Arial" w:cs="Arial"/>
                <w:sz w:val="20"/>
                <w:szCs w:val="20"/>
              </w:rPr>
            </w:pPr>
            <w:r w:rsidRPr="00F7050E">
              <w:rPr>
                <w:rFonts w:ascii="Arial" w:hAnsi="Arial" w:cs="Arial"/>
                <w:sz w:val="20"/>
                <w:szCs w:val="20"/>
              </w:rPr>
              <w:t>Average old age pension RSD</w:t>
            </w:r>
          </w:p>
        </w:tc>
        <w:tc>
          <w:tcPr>
            <w:tcW w:w="1772" w:type="dxa"/>
            <w:vAlign w:val="center"/>
          </w:tcPr>
          <w:p w14:paraId="5ABAEAF2"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vAlign w:val="center"/>
          </w:tcPr>
          <w:p w14:paraId="4FD43D93"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Average old age pension from the pension coverage of employees and self-employed (excluding farmers)</w:t>
            </w:r>
          </w:p>
        </w:tc>
        <w:tc>
          <w:tcPr>
            <w:tcW w:w="1630" w:type="dxa"/>
            <w:vAlign w:val="center"/>
          </w:tcPr>
          <w:p w14:paraId="1C4B0D51" w14:textId="77777777" w:rsidR="00D12E11" w:rsidRPr="00F7050E" w:rsidRDefault="00D12E11" w:rsidP="00BC7D1B">
            <w:pPr>
              <w:rPr>
                <w:rFonts w:ascii="Arial" w:hAnsi="Arial" w:cs="Arial"/>
                <w:sz w:val="20"/>
                <w:szCs w:val="20"/>
              </w:rPr>
            </w:pPr>
          </w:p>
        </w:tc>
        <w:tc>
          <w:tcPr>
            <w:tcW w:w="1772" w:type="dxa"/>
            <w:vAlign w:val="center"/>
          </w:tcPr>
          <w:p w14:paraId="064A98E6"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p>
          <w:p w14:paraId="76D85311" w14:textId="77777777" w:rsidR="00D12E11" w:rsidRPr="00F7050E" w:rsidRDefault="00D12E11" w:rsidP="00BC7D1B">
            <w:pPr>
              <w:rPr>
                <w:rFonts w:ascii="Arial" w:hAnsi="Arial" w:cs="Arial"/>
                <w:i/>
                <w:sz w:val="20"/>
                <w:szCs w:val="20"/>
              </w:rPr>
            </w:pPr>
            <w:r w:rsidRPr="00F7050E">
              <w:rPr>
                <w:rFonts w:ascii="Arial" w:hAnsi="Arial" w:cs="Arial"/>
                <w:i/>
                <w:sz w:val="20"/>
                <w:szCs w:val="20"/>
              </w:rPr>
              <w:t>(Monthly, annually)</w:t>
            </w:r>
          </w:p>
        </w:tc>
        <w:tc>
          <w:tcPr>
            <w:tcW w:w="3009" w:type="dxa"/>
            <w:vAlign w:val="center"/>
          </w:tcPr>
          <w:p w14:paraId="63F7B71F" w14:textId="77777777" w:rsidR="00D12E11" w:rsidRPr="00F7050E" w:rsidRDefault="00D12E11" w:rsidP="00BC7D1B">
            <w:pPr>
              <w:rPr>
                <w:rFonts w:ascii="Arial" w:hAnsi="Arial" w:cs="Arial"/>
                <w:sz w:val="20"/>
                <w:szCs w:val="20"/>
              </w:rPr>
            </w:pPr>
            <w:r w:rsidRPr="00F7050E">
              <w:rPr>
                <w:rFonts w:ascii="Arial" w:hAnsi="Arial" w:cs="Arial"/>
                <w:i/>
                <w:sz w:val="20"/>
                <w:szCs w:val="20"/>
              </w:rPr>
              <w:t xml:space="preserve">PDIF Monthly Bulletin, additional analysis for pensions defined by chosen standards </w:t>
            </w:r>
          </w:p>
        </w:tc>
      </w:tr>
      <w:tr w:rsidR="00D12E11" w:rsidRPr="00F7050E" w14:paraId="4E630AE7" w14:textId="77777777" w:rsidTr="00BC7D1B">
        <w:trPr>
          <w:trHeight w:val="454"/>
          <w:jc w:val="center"/>
        </w:trPr>
        <w:tc>
          <w:tcPr>
            <w:tcW w:w="534" w:type="dxa"/>
            <w:vAlign w:val="center"/>
          </w:tcPr>
          <w:p w14:paraId="76E18F6F"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vAlign w:val="center"/>
          </w:tcPr>
          <w:p w14:paraId="46489886" w14:textId="77777777" w:rsidR="00D12E11" w:rsidRPr="00F7050E" w:rsidRDefault="00D12E11" w:rsidP="00BC7D1B">
            <w:pPr>
              <w:rPr>
                <w:rFonts w:ascii="Arial" w:hAnsi="Arial" w:cs="Arial"/>
                <w:sz w:val="20"/>
                <w:szCs w:val="20"/>
              </w:rPr>
            </w:pPr>
            <w:r w:rsidRPr="00F7050E">
              <w:rPr>
                <w:rFonts w:ascii="Arial" w:hAnsi="Arial" w:cs="Arial"/>
                <w:sz w:val="20"/>
                <w:szCs w:val="20"/>
              </w:rPr>
              <w:t>Average old age pension relative to the average net earnings (percentage)</w:t>
            </w:r>
          </w:p>
        </w:tc>
        <w:tc>
          <w:tcPr>
            <w:tcW w:w="1772" w:type="dxa"/>
            <w:vAlign w:val="center"/>
          </w:tcPr>
          <w:p w14:paraId="6A10289D" w14:textId="77777777" w:rsidR="00D12E11" w:rsidRPr="00F7050E" w:rsidRDefault="00D12E11" w:rsidP="00BC7D1B">
            <w:pPr>
              <w:rPr>
                <w:rFonts w:ascii="Arial" w:hAnsi="Arial" w:cs="Arial"/>
                <w:sz w:val="20"/>
                <w:szCs w:val="20"/>
              </w:rPr>
            </w:pPr>
          </w:p>
          <w:p w14:paraId="08F30A5F"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vAlign w:val="center"/>
          </w:tcPr>
          <w:p w14:paraId="6EE1913C"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Average old age pension (excluding farmers) as percentage of the average net earnings in the Republic of Serbia</w:t>
            </w:r>
          </w:p>
        </w:tc>
        <w:tc>
          <w:tcPr>
            <w:tcW w:w="1630" w:type="dxa"/>
            <w:vAlign w:val="center"/>
          </w:tcPr>
          <w:p w14:paraId="5E8DA9E0" w14:textId="77777777" w:rsidR="00D12E11" w:rsidRPr="00F7050E" w:rsidRDefault="00D12E11" w:rsidP="00BC7D1B">
            <w:pPr>
              <w:rPr>
                <w:rFonts w:ascii="Arial" w:hAnsi="Arial" w:cs="Arial"/>
                <w:sz w:val="20"/>
                <w:szCs w:val="20"/>
              </w:rPr>
            </w:pPr>
          </w:p>
        </w:tc>
        <w:tc>
          <w:tcPr>
            <w:tcW w:w="1772" w:type="dxa"/>
            <w:vAlign w:val="center"/>
          </w:tcPr>
          <w:p w14:paraId="7BBAD29C" w14:textId="77777777" w:rsidR="00D12E11" w:rsidRPr="00F7050E" w:rsidRDefault="00D12E11" w:rsidP="00BC7D1B">
            <w:pPr>
              <w:rPr>
                <w:rFonts w:ascii="Arial" w:hAnsi="Arial" w:cs="Arial"/>
                <w:i/>
                <w:sz w:val="20"/>
                <w:szCs w:val="20"/>
              </w:rPr>
            </w:pPr>
            <w:r w:rsidRPr="00F7050E">
              <w:rPr>
                <w:rFonts w:ascii="Arial" w:hAnsi="Arial" w:cs="Arial"/>
                <w:sz w:val="20"/>
                <w:szCs w:val="20"/>
              </w:rPr>
              <w:t>PDIF, SORS</w:t>
            </w:r>
          </w:p>
          <w:p w14:paraId="492E9B83"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r w:rsidRPr="00F7050E">
              <w:rPr>
                <w:rFonts w:ascii="Arial" w:hAnsi="Arial" w:cs="Arial"/>
                <w:sz w:val="20"/>
                <w:szCs w:val="20"/>
              </w:rPr>
              <w:t>)</w:t>
            </w:r>
          </w:p>
        </w:tc>
        <w:tc>
          <w:tcPr>
            <w:tcW w:w="3009" w:type="dxa"/>
            <w:vAlign w:val="center"/>
          </w:tcPr>
          <w:p w14:paraId="1C10DFB6" w14:textId="77777777" w:rsidR="00D12E11" w:rsidRPr="00F7050E" w:rsidRDefault="00D12E11" w:rsidP="00BC7D1B">
            <w:pPr>
              <w:jc w:val="center"/>
              <w:rPr>
                <w:rFonts w:ascii="Arial" w:hAnsi="Arial" w:cs="Arial"/>
                <w:sz w:val="20"/>
                <w:szCs w:val="20"/>
                <w:highlight w:val="yellow"/>
              </w:rPr>
            </w:pPr>
            <w:r w:rsidRPr="00F7050E">
              <w:rPr>
                <w:rFonts w:ascii="Arial" w:hAnsi="Arial" w:cs="Arial"/>
                <w:sz w:val="20"/>
                <w:szCs w:val="20"/>
              </w:rPr>
              <w:t>Idem</w:t>
            </w:r>
          </w:p>
        </w:tc>
      </w:tr>
      <w:tr w:rsidR="00D12E11" w:rsidRPr="00F7050E" w14:paraId="11242D78" w14:textId="77777777" w:rsidTr="00BC7D1B">
        <w:trPr>
          <w:trHeight w:val="454"/>
          <w:jc w:val="center"/>
        </w:trPr>
        <w:tc>
          <w:tcPr>
            <w:tcW w:w="534" w:type="dxa"/>
            <w:vAlign w:val="center"/>
          </w:tcPr>
          <w:p w14:paraId="48A62C30"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vAlign w:val="center"/>
          </w:tcPr>
          <w:p w14:paraId="29FA1956" w14:textId="77777777" w:rsidR="00D12E11" w:rsidRPr="00F7050E" w:rsidRDefault="00D12E11" w:rsidP="00BC7D1B">
            <w:pPr>
              <w:rPr>
                <w:rFonts w:ascii="Arial" w:hAnsi="Arial" w:cs="Arial"/>
                <w:sz w:val="20"/>
                <w:szCs w:val="20"/>
              </w:rPr>
            </w:pPr>
            <w:r w:rsidRPr="00F7050E">
              <w:rPr>
                <w:rFonts w:ascii="Arial" w:hAnsi="Arial" w:cs="Arial"/>
                <w:sz w:val="20"/>
                <w:szCs w:val="20"/>
              </w:rPr>
              <w:t>Average disability pension relative to the average net earnings (percentage)</w:t>
            </w:r>
          </w:p>
          <w:p w14:paraId="7AAAC14B" w14:textId="77777777" w:rsidR="00D12E11" w:rsidRPr="00F7050E" w:rsidRDefault="00D12E11" w:rsidP="00BC7D1B">
            <w:pPr>
              <w:rPr>
                <w:rFonts w:ascii="Arial" w:hAnsi="Arial" w:cs="Arial"/>
                <w:sz w:val="20"/>
                <w:szCs w:val="20"/>
              </w:rPr>
            </w:pPr>
          </w:p>
        </w:tc>
        <w:tc>
          <w:tcPr>
            <w:tcW w:w="1772" w:type="dxa"/>
            <w:vAlign w:val="center"/>
          </w:tcPr>
          <w:p w14:paraId="03C65E46" w14:textId="77777777" w:rsidR="00D12E11" w:rsidRPr="00F7050E" w:rsidRDefault="00D12E11" w:rsidP="00BC7D1B">
            <w:pPr>
              <w:rPr>
                <w:rFonts w:ascii="Arial" w:hAnsi="Arial" w:cs="Arial"/>
                <w:sz w:val="20"/>
                <w:szCs w:val="20"/>
              </w:rPr>
            </w:pPr>
          </w:p>
          <w:p w14:paraId="6C1B5900"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vAlign w:val="center"/>
          </w:tcPr>
          <w:p w14:paraId="70325054" w14:textId="77777777" w:rsidR="00D12E11" w:rsidRPr="00F7050E" w:rsidRDefault="00D12E11" w:rsidP="00BC7D1B">
            <w:pPr>
              <w:rPr>
                <w:rFonts w:ascii="Arial" w:hAnsi="Arial" w:cs="Arial"/>
                <w:sz w:val="20"/>
                <w:szCs w:val="20"/>
              </w:rPr>
            </w:pPr>
            <w:r w:rsidRPr="00F7050E">
              <w:rPr>
                <w:rFonts w:ascii="Arial" w:hAnsi="Arial" w:cs="Arial"/>
                <w:sz w:val="20"/>
                <w:szCs w:val="20"/>
              </w:rPr>
              <w:t>Average disability pension (excluding farmers) as percentage of the average net earnings in the Republic of Serbia</w:t>
            </w:r>
          </w:p>
          <w:p w14:paraId="5540A61E" w14:textId="77777777" w:rsidR="00D12E11" w:rsidRPr="00F7050E" w:rsidRDefault="00D12E11" w:rsidP="00BC7D1B">
            <w:pPr>
              <w:rPr>
                <w:rFonts w:ascii="Arial" w:hAnsi="Arial" w:cs="Arial"/>
                <w:sz w:val="20"/>
                <w:szCs w:val="20"/>
                <w:highlight w:val="green"/>
              </w:rPr>
            </w:pPr>
          </w:p>
        </w:tc>
        <w:tc>
          <w:tcPr>
            <w:tcW w:w="1630" w:type="dxa"/>
            <w:vAlign w:val="center"/>
          </w:tcPr>
          <w:p w14:paraId="2C31B3A0" w14:textId="77777777" w:rsidR="00D12E11" w:rsidRPr="00F7050E" w:rsidRDefault="00D12E11" w:rsidP="00BC7D1B">
            <w:pPr>
              <w:rPr>
                <w:rFonts w:ascii="Arial" w:hAnsi="Arial" w:cs="Arial"/>
                <w:sz w:val="20"/>
                <w:szCs w:val="20"/>
              </w:rPr>
            </w:pPr>
          </w:p>
        </w:tc>
        <w:tc>
          <w:tcPr>
            <w:tcW w:w="1772" w:type="dxa"/>
            <w:vAlign w:val="center"/>
          </w:tcPr>
          <w:p w14:paraId="09C4DC17" w14:textId="77777777" w:rsidR="00D12E11" w:rsidRPr="00F7050E" w:rsidRDefault="00D12E11" w:rsidP="00BC7D1B">
            <w:pPr>
              <w:rPr>
                <w:rFonts w:ascii="Arial" w:hAnsi="Arial" w:cs="Arial"/>
                <w:i/>
                <w:sz w:val="20"/>
                <w:szCs w:val="20"/>
              </w:rPr>
            </w:pPr>
            <w:r w:rsidRPr="00F7050E">
              <w:rPr>
                <w:rFonts w:ascii="Arial" w:hAnsi="Arial" w:cs="Arial"/>
                <w:sz w:val="20"/>
                <w:szCs w:val="20"/>
              </w:rPr>
              <w:t>PDIF, SORS</w:t>
            </w:r>
          </w:p>
          <w:p w14:paraId="603C2576" w14:textId="77777777" w:rsidR="00D12E11" w:rsidRPr="00F7050E" w:rsidRDefault="00D12E11" w:rsidP="00BC7D1B">
            <w:pPr>
              <w:rPr>
                <w:rFonts w:ascii="Arial" w:hAnsi="Arial" w:cs="Arial"/>
                <w:sz w:val="20"/>
                <w:szCs w:val="20"/>
              </w:rPr>
            </w:pPr>
            <w:r w:rsidRPr="00F7050E">
              <w:rPr>
                <w:rFonts w:ascii="Arial" w:hAnsi="Arial" w:cs="Arial"/>
                <w:i/>
                <w:sz w:val="20"/>
                <w:szCs w:val="20"/>
              </w:rPr>
              <w:t>(Annually</w:t>
            </w:r>
            <w:r w:rsidRPr="00F7050E">
              <w:rPr>
                <w:rFonts w:ascii="Arial" w:hAnsi="Arial" w:cs="Arial"/>
                <w:sz w:val="20"/>
                <w:szCs w:val="20"/>
              </w:rPr>
              <w:t>)</w:t>
            </w:r>
          </w:p>
        </w:tc>
        <w:tc>
          <w:tcPr>
            <w:tcW w:w="3009" w:type="dxa"/>
            <w:vAlign w:val="center"/>
          </w:tcPr>
          <w:p w14:paraId="7E76082A"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Idem</w:t>
            </w:r>
          </w:p>
        </w:tc>
      </w:tr>
      <w:tr w:rsidR="00D12E11" w:rsidRPr="00F7050E" w14:paraId="54529507" w14:textId="77777777" w:rsidTr="00BC7D1B">
        <w:trPr>
          <w:trHeight w:val="454"/>
          <w:jc w:val="center"/>
        </w:trPr>
        <w:tc>
          <w:tcPr>
            <w:tcW w:w="534" w:type="dxa"/>
            <w:vAlign w:val="center"/>
          </w:tcPr>
          <w:p w14:paraId="33F111F6"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vAlign w:val="center"/>
          </w:tcPr>
          <w:p w14:paraId="424ADB24"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Average survivors' pension relative to the average net earnings (percentage)</w:t>
            </w:r>
          </w:p>
          <w:p w14:paraId="4CC5C693" w14:textId="77777777" w:rsidR="00D12E11" w:rsidRPr="00F7050E" w:rsidRDefault="00D12E11" w:rsidP="00BC7D1B">
            <w:pPr>
              <w:rPr>
                <w:rFonts w:ascii="Arial" w:hAnsi="Arial" w:cs="Arial"/>
                <w:sz w:val="20"/>
                <w:szCs w:val="20"/>
              </w:rPr>
            </w:pPr>
          </w:p>
        </w:tc>
        <w:tc>
          <w:tcPr>
            <w:tcW w:w="1772" w:type="dxa"/>
            <w:vAlign w:val="center"/>
          </w:tcPr>
          <w:p w14:paraId="5A5FCEB7" w14:textId="77777777" w:rsidR="00D12E11" w:rsidRPr="00F7050E" w:rsidRDefault="00D12E11" w:rsidP="00BC7D1B">
            <w:pPr>
              <w:rPr>
                <w:rFonts w:ascii="Arial" w:hAnsi="Arial" w:cs="Arial"/>
                <w:sz w:val="20"/>
                <w:szCs w:val="20"/>
              </w:rPr>
            </w:pPr>
          </w:p>
          <w:p w14:paraId="288A301A"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vAlign w:val="center"/>
          </w:tcPr>
          <w:p w14:paraId="58642551"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Average survivors' pension (excluding farmers) as percentage of the average net earnings in the Republic of Serbia </w:t>
            </w:r>
          </w:p>
        </w:tc>
        <w:tc>
          <w:tcPr>
            <w:tcW w:w="1630" w:type="dxa"/>
            <w:vAlign w:val="center"/>
          </w:tcPr>
          <w:p w14:paraId="14F88665" w14:textId="77777777" w:rsidR="00D12E11" w:rsidRPr="00F7050E" w:rsidRDefault="00D12E11" w:rsidP="00BC7D1B">
            <w:pPr>
              <w:rPr>
                <w:rFonts w:ascii="Arial" w:hAnsi="Arial" w:cs="Arial"/>
                <w:sz w:val="20"/>
                <w:szCs w:val="20"/>
              </w:rPr>
            </w:pPr>
          </w:p>
        </w:tc>
        <w:tc>
          <w:tcPr>
            <w:tcW w:w="1772" w:type="dxa"/>
            <w:vAlign w:val="center"/>
          </w:tcPr>
          <w:p w14:paraId="1D488EBC" w14:textId="77777777" w:rsidR="00D12E11" w:rsidRPr="00F7050E" w:rsidRDefault="00D12E11" w:rsidP="00BC7D1B">
            <w:pPr>
              <w:rPr>
                <w:rFonts w:ascii="Arial" w:hAnsi="Arial" w:cs="Arial"/>
                <w:sz w:val="20"/>
                <w:szCs w:val="20"/>
              </w:rPr>
            </w:pPr>
            <w:r w:rsidRPr="00F7050E">
              <w:rPr>
                <w:rFonts w:ascii="Arial" w:hAnsi="Arial" w:cs="Arial"/>
                <w:sz w:val="20"/>
                <w:szCs w:val="20"/>
              </w:rPr>
              <w:t>PDIF, SORS</w:t>
            </w:r>
          </w:p>
          <w:p w14:paraId="03988510" w14:textId="77777777" w:rsidR="00D12E11" w:rsidRPr="00F7050E" w:rsidRDefault="00D12E11" w:rsidP="00BC7D1B">
            <w:pPr>
              <w:rPr>
                <w:rFonts w:ascii="Arial" w:hAnsi="Arial" w:cs="Arial"/>
                <w:sz w:val="20"/>
                <w:szCs w:val="20"/>
              </w:rPr>
            </w:pPr>
            <w:r w:rsidRPr="00F7050E">
              <w:rPr>
                <w:rFonts w:ascii="Arial" w:hAnsi="Arial" w:cs="Arial"/>
                <w:sz w:val="20"/>
                <w:szCs w:val="20"/>
              </w:rPr>
              <w:t>(Annually)</w:t>
            </w:r>
          </w:p>
        </w:tc>
        <w:tc>
          <w:tcPr>
            <w:tcW w:w="3009" w:type="dxa"/>
            <w:vAlign w:val="center"/>
          </w:tcPr>
          <w:p w14:paraId="0D356439"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Idem</w:t>
            </w:r>
          </w:p>
        </w:tc>
      </w:tr>
      <w:tr w:rsidR="00D12E11" w:rsidRPr="00F7050E" w14:paraId="7EB59A90" w14:textId="77777777" w:rsidTr="00BC7D1B">
        <w:trPr>
          <w:trHeight w:val="454"/>
          <w:jc w:val="center"/>
        </w:trPr>
        <w:tc>
          <w:tcPr>
            <w:tcW w:w="534" w:type="dxa"/>
            <w:vAlign w:val="center"/>
          </w:tcPr>
          <w:p w14:paraId="7F2C21D4"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vAlign w:val="center"/>
          </w:tcPr>
          <w:p w14:paraId="5B1ABE9F"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 xml:space="preserve">Average pension relative to the average earnings (percentage) </w:t>
            </w:r>
          </w:p>
          <w:p w14:paraId="2C0FB64D" w14:textId="77777777" w:rsidR="00D12E11" w:rsidRPr="00F7050E" w:rsidRDefault="00D12E11" w:rsidP="00BC7D1B">
            <w:pPr>
              <w:rPr>
                <w:rFonts w:ascii="Arial" w:hAnsi="Arial" w:cs="Arial"/>
                <w:sz w:val="20"/>
                <w:szCs w:val="20"/>
                <w:highlight w:val="green"/>
              </w:rPr>
            </w:pPr>
          </w:p>
        </w:tc>
        <w:tc>
          <w:tcPr>
            <w:tcW w:w="1772" w:type="dxa"/>
            <w:vAlign w:val="center"/>
          </w:tcPr>
          <w:p w14:paraId="71D167F5" w14:textId="77777777" w:rsidR="00D12E11" w:rsidRPr="00F7050E" w:rsidRDefault="00D12E11" w:rsidP="00BC7D1B">
            <w:pPr>
              <w:rPr>
                <w:rFonts w:ascii="Arial" w:hAnsi="Arial" w:cs="Arial"/>
                <w:i/>
                <w:sz w:val="20"/>
                <w:szCs w:val="20"/>
              </w:rPr>
            </w:pPr>
            <w:r w:rsidRPr="00F7050E">
              <w:rPr>
                <w:rFonts w:ascii="Arial" w:hAnsi="Arial" w:cs="Arial"/>
                <w:i/>
                <w:sz w:val="20"/>
                <w:szCs w:val="20"/>
              </w:rPr>
              <w:lastRenderedPageBreak/>
              <w:t>Country-specific</w:t>
            </w:r>
          </w:p>
          <w:p w14:paraId="098E26DB"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br/>
              <w:t>(Benefit ratio, Ageing Report)</w:t>
            </w:r>
          </w:p>
        </w:tc>
        <w:tc>
          <w:tcPr>
            <w:tcW w:w="2906" w:type="dxa"/>
            <w:vAlign w:val="center"/>
          </w:tcPr>
          <w:p w14:paraId="2D7554FC"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Total amount of an average pension relative to the total amount of average earnings</w:t>
            </w:r>
          </w:p>
          <w:p w14:paraId="094A0E95" w14:textId="77777777" w:rsidR="00D12E11" w:rsidRPr="00F7050E" w:rsidRDefault="00D12E11" w:rsidP="00BC7D1B">
            <w:pPr>
              <w:rPr>
                <w:rFonts w:ascii="Arial" w:hAnsi="Arial" w:cs="Arial"/>
                <w:sz w:val="20"/>
                <w:szCs w:val="20"/>
                <w:highlight w:val="green"/>
              </w:rPr>
            </w:pPr>
          </w:p>
        </w:tc>
        <w:tc>
          <w:tcPr>
            <w:tcW w:w="1630" w:type="dxa"/>
            <w:vAlign w:val="center"/>
          </w:tcPr>
          <w:p w14:paraId="791E2518"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 xml:space="preserve">By types of </w:t>
            </w:r>
          </w:p>
          <w:p w14:paraId="1482080D"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 xml:space="preserve">coverage (employees, </w:t>
            </w:r>
            <w:r w:rsidRPr="00F7050E">
              <w:rPr>
                <w:rFonts w:ascii="Arial" w:hAnsi="Arial" w:cs="Arial"/>
                <w:sz w:val="20"/>
                <w:szCs w:val="20"/>
              </w:rPr>
              <w:lastRenderedPageBreak/>
              <w:t>self-employed, farmers)</w:t>
            </w:r>
          </w:p>
        </w:tc>
        <w:tc>
          <w:tcPr>
            <w:tcW w:w="1772" w:type="dxa"/>
            <w:vAlign w:val="center"/>
          </w:tcPr>
          <w:p w14:paraId="5B7B97CA"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color w:val="auto"/>
                <w:sz w:val="20"/>
                <w:szCs w:val="20"/>
                <w:lang w:val="en-GB"/>
              </w:rPr>
              <w:lastRenderedPageBreak/>
              <w:t xml:space="preserve">PDIF </w:t>
            </w:r>
          </w:p>
          <w:p w14:paraId="2F7AFBA6" w14:textId="77777777" w:rsidR="00D12E11" w:rsidRPr="00F7050E" w:rsidRDefault="00D12E11" w:rsidP="00BC7D1B">
            <w:pPr>
              <w:pStyle w:val="Default"/>
              <w:rPr>
                <w:rFonts w:ascii="Arial" w:hAnsi="Arial" w:cs="Arial"/>
                <w:i/>
                <w:color w:val="auto"/>
                <w:sz w:val="20"/>
                <w:szCs w:val="20"/>
                <w:lang w:val="en-GB"/>
              </w:rPr>
            </w:pPr>
            <w:r w:rsidRPr="00F7050E">
              <w:rPr>
                <w:rFonts w:ascii="Arial" w:hAnsi="Arial" w:cs="Arial"/>
                <w:i/>
                <w:color w:val="auto"/>
                <w:sz w:val="20"/>
                <w:szCs w:val="20"/>
                <w:lang w:val="en-GB"/>
              </w:rPr>
              <w:t>(monthly, annually)</w:t>
            </w:r>
          </w:p>
        </w:tc>
        <w:tc>
          <w:tcPr>
            <w:tcW w:w="3009" w:type="dxa"/>
            <w:vAlign w:val="center"/>
          </w:tcPr>
          <w:p w14:paraId="1C14CBED" w14:textId="77777777" w:rsidR="00D12E11" w:rsidRPr="00F7050E" w:rsidRDefault="00D12E11" w:rsidP="00BC7D1B">
            <w:pPr>
              <w:pStyle w:val="Default"/>
              <w:spacing w:after="120"/>
              <w:rPr>
                <w:rFonts w:ascii="Arial" w:hAnsi="Arial" w:cs="Arial"/>
                <w:i/>
                <w:sz w:val="20"/>
                <w:szCs w:val="20"/>
                <w:highlight w:val="green"/>
                <w:lang w:val="en-GB"/>
              </w:rPr>
            </w:pPr>
            <w:r w:rsidRPr="00F7050E">
              <w:rPr>
                <w:rFonts w:ascii="Arial" w:hAnsi="Arial" w:cs="Arial"/>
                <w:sz w:val="20"/>
                <w:szCs w:val="20"/>
                <w:lang w:val="en-GB"/>
              </w:rPr>
              <w:t>PDIF</w:t>
            </w:r>
            <w:r w:rsidRPr="00F7050E">
              <w:rPr>
                <w:rFonts w:ascii="Arial" w:hAnsi="Arial" w:cs="Arial"/>
                <w:i/>
                <w:sz w:val="20"/>
                <w:szCs w:val="20"/>
                <w:lang w:val="en-GB"/>
              </w:rPr>
              <w:t xml:space="preserve"> </w:t>
            </w:r>
            <w:r w:rsidRPr="00F7050E">
              <w:rPr>
                <w:rFonts w:ascii="Arial" w:hAnsi="Arial" w:cs="Arial"/>
                <w:i/>
                <w:sz w:val="20"/>
                <w:szCs w:val="20"/>
              </w:rPr>
              <w:t>M</w:t>
            </w:r>
            <w:r w:rsidRPr="00F7050E">
              <w:rPr>
                <w:rFonts w:ascii="Arial" w:hAnsi="Arial" w:cs="Arial"/>
                <w:i/>
                <w:sz w:val="20"/>
                <w:szCs w:val="20"/>
                <w:lang w:val="en-GB"/>
              </w:rPr>
              <w:t xml:space="preserve">onthly and Annual Bulletins, </w:t>
            </w:r>
            <w:r w:rsidRPr="00F7050E">
              <w:rPr>
                <w:rFonts w:ascii="Arial" w:hAnsi="Arial" w:cs="Arial"/>
                <w:sz w:val="20"/>
                <w:szCs w:val="20"/>
              </w:rPr>
              <w:t>Ministry of Finance</w:t>
            </w:r>
            <w:r w:rsidRPr="00F7050E">
              <w:rPr>
                <w:rFonts w:ascii="Arial" w:hAnsi="Arial" w:cs="Arial"/>
                <w:i/>
                <w:sz w:val="20"/>
                <w:szCs w:val="20"/>
              </w:rPr>
              <w:t xml:space="preserve"> </w:t>
            </w:r>
            <w:r w:rsidRPr="00F7050E">
              <w:rPr>
                <w:rFonts w:ascii="Arial" w:hAnsi="Arial" w:cs="Arial"/>
                <w:i/>
                <w:sz w:val="20"/>
                <w:szCs w:val="20"/>
                <w:lang w:val="en-GB"/>
              </w:rPr>
              <w:lastRenderedPageBreak/>
              <w:t xml:space="preserve">Bulletin on </w:t>
            </w:r>
            <w:r w:rsidRPr="00F7050E">
              <w:rPr>
                <w:rFonts w:ascii="Arial" w:hAnsi="Arial" w:cs="Arial"/>
                <w:i/>
                <w:sz w:val="20"/>
                <w:szCs w:val="20"/>
              </w:rPr>
              <w:t>P</w:t>
            </w:r>
            <w:r w:rsidRPr="00F7050E">
              <w:rPr>
                <w:rFonts w:ascii="Arial" w:hAnsi="Arial" w:cs="Arial"/>
                <w:i/>
                <w:sz w:val="20"/>
                <w:szCs w:val="20"/>
                <w:lang w:val="en-GB"/>
              </w:rPr>
              <w:t xml:space="preserve">ublic </w:t>
            </w:r>
            <w:r w:rsidRPr="00F7050E">
              <w:rPr>
                <w:rFonts w:ascii="Arial" w:hAnsi="Arial" w:cs="Arial"/>
                <w:i/>
                <w:sz w:val="20"/>
                <w:szCs w:val="20"/>
              </w:rPr>
              <w:t>F</w:t>
            </w:r>
            <w:r w:rsidRPr="00F7050E">
              <w:rPr>
                <w:rFonts w:ascii="Arial" w:hAnsi="Arial" w:cs="Arial"/>
                <w:i/>
                <w:sz w:val="20"/>
                <w:szCs w:val="20"/>
                <w:lang w:val="en-GB"/>
              </w:rPr>
              <w:t>inances</w:t>
            </w:r>
          </w:p>
          <w:p w14:paraId="64DFF48C" w14:textId="77777777" w:rsidR="00D12E11" w:rsidRPr="00F7050E" w:rsidRDefault="00D12E11" w:rsidP="00BC7D1B">
            <w:pPr>
              <w:pStyle w:val="Default"/>
              <w:spacing w:after="120"/>
              <w:rPr>
                <w:rFonts w:ascii="Arial" w:hAnsi="Arial" w:cs="Arial"/>
                <w:sz w:val="20"/>
                <w:szCs w:val="20"/>
                <w:lang w:val="en-GB"/>
              </w:rPr>
            </w:pPr>
            <w:r w:rsidRPr="00F7050E">
              <w:rPr>
                <w:rFonts w:ascii="Arial" w:hAnsi="Arial" w:cs="Arial"/>
                <w:sz w:val="20"/>
                <w:szCs w:val="20"/>
                <w:lang w:val="en-GB"/>
              </w:rPr>
              <w:t>This indicator is not particularly informative, especially if pensions from all three types of coverage are observed as a group; still, its use has taken root in the public, and it is also, to a certain extent, comparable with the EU benefit ratio, albeit these two indicators differ not only methodologically, but also essentially, due to the specificities of farmers' pensions in Serbia</w:t>
            </w:r>
          </w:p>
        </w:tc>
      </w:tr>
      <w:tr w:rsidR="00D12E11" w:rsidRPr="00F7050E" w14:paraId="1121C6A8" w14:textId="77777777" w:rsidTr="00BC7D1B">
        <w:trPr>
          <w:trHeight w:val="454"/>
          <w:jc w:val="center"/>
        </w:trPr>
        <w:tc>
          <w:tcPr>
            <w:tcW w:w="534" w:type="dxa"/>
            <w:vAlign w:val="center"/>
          </w:tcPr>
          <w:p w14:paraId="17F7823F"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lastRenderedPageBreak/>
              <w:t>P</w:t>
            </w:r>
          </w:p>
        </w:tc>
        <w:tc>
          <w:tcPr>
            <w:tcW w:w="2409" w:type="dxa"/>
            <w:vAlign w:val="center"/>
          </w:tcPr>
          <w:p w14:paraId="0D4C6F26" w14:textId="77777777" w:rsidR="00D12E11" w:rsidRPr="00F7050E" w:rsidRDefault="00D12E11" w:rsidP="00BC7D1B">
            <w:pPr>
              <w:rPr>
                <w:rFonts w:ascii="Arial" w:hAnsi="Arial" w:cs="Arial"/>
                <w:sz w:val="20"/>
                <w:szCs w:val="20"/>
              </w:rPr>
            </w:pPr>
            <w:r w:rsidRPr="00F7050E">
              <w:rPr>
                <w:rFonts w:ascii="Arial" w:hAnsi="Arial" w:cs="Arial"/>
                <w:sz w:val="20"/>
                <w:szCs w:val="20"/>
              </w:rPr>
              <w:t>Aggregate replacement ratio - percentage</w:t>
            </w:r>
          </w:p>
          <w:p w14:paraId="4850CA7D" w14:textId="77777777" w:rsidR="00D12E11" w:rsidRPr="00F7050E" w:rsidRDefault="00D12E11" w:rsidP="00BC7D1B">
            <w:pPr>
              <w:rPr>
                <w:rFonts w:ascii="Arial" w:hAnsi="Arial" w:cs="Arial"/>
                <w:sz w:val="20"/>
                <w:szCs w:val="20"/>
                <w:highlight w:val="green"/>
              </w:rPr>
            </w:pPr>
          </w:p>
          <w:p w14:paraId="5E74F466" w14:textId="77777777" w:rsidR="00D12E11" w:rsidRPr="00F7050E" w:rsidRDefault="00D12E11" w:rsidP="00BC7D1B">
            <w:pPr>
              <w:rPr>
                <w:rFonts w:ascii="Arial" w:hAnsi="Arial" w:cs="Arial"/>
                <w:sz w:val="20"/>
                <w:szCs w:val="20"/>
                <w:highlight w:val="green"/>
              </w:rPr>
            </w:pPr>
          </w:p>
          <w:p w14:paraId="47D0E8D6" w14:textId="77777777" w:rsidR="00D12E11" w:rsidRPr="00F7050E" w:rsidRDefault="00D12E11" w:rsidP="00BC7D1B">
            <w:pPr>
              <w:rPr>
                <w:rFonts w:ascii="Arial" w:hAnsi="Arial" w:cs="Arial"/>
                <w:b/>
                <w:sz w:val="20"/>
                <w:szCs w:val="20"/>
                <w:highlight w:val="green"/>
              </w:rPr>
            </w:pPr>
          </w:p>
        </w:tc>
        <w:tc>
          <w:tcPr>
            <w:tcW w:w="1772" w:type="dxa"/>
            <w:vAlign w:val="center"/>
          </w:tcPr>
          <w:p w14:paraId="34813648" w14:textId="77777777" w:rsidR="00D12E11" w:rsidRPr="00F7050E" w:rsidRDefault="00D12E11" w:rsidP="00BC7D1B">
            <w:pPr>
              <w:rPr>
                <w:rFonts w:ascii="Arial" w:hAnsi="Arial" w:cs="Arial"/>
                <w:i/>
                <w:sz w:val="20"/>
                <w:szCs w:val="20"/>
              </w:rPr>
            </w:pPr>
            <w:r w:rsidRPr="00F7050E">
              <w:rPr>
                <w:rFonts w:ascii="Arial" w:hAnsi="Arial" w:cs="Arial"/>
                <w:i/>
                <w:sz w:val="20"/>
                <w:szCs w:val="20"/>
              </w:rPr>
              <w:t>Adequate Pensions-</w:t>
            </w:r>
          </w:p>
          <w:p w14:paraId="5C0C2825" w14:textId="77777777" w:rsidR="00D12E11" w:rsidRPr="00F7050E" w:rsidRDefault="00D12E11" w:rsidP="00BC7D1B">
            <w:pPr>
              <w:rPr>
                <w:rFonts w:ascii="Arial" w:hAnsi="Arial" w:cs="Arial"/>
                <w:sz w:val="20"/>
                <w:szCs w:val="20"/>
              </w:rPr>
            </w:pPr>
            <w:r w:rsidRPr="00F7050E">
              <w:rPr>
                <w:rFonts w:ascii="Arial" w:hAnsi="Arial" w:cs="Arial"/>
                <w:i/>
                <w:sz w:val="20"/>
                <w:szCs w:val="20"/>
              </w:rPr>
              <w:t>Primary EU Indicator</w:t>
            </w:r>
          </w:p>
          <w:p w14:paraId="596CF1ED" w14:textId="77777777" w:rsidR="00D12E11" w:rsidRPr="00F7050E" w:rsidRDefault="00D12E11" w:rsidP="00BC7D1B">
            <w:pPr>
              <w:rPr>
                <w:rFonts w:ascii="Arial" w:hAnsi="Arial" w:cs="Arial"/>
                <w:i/>
                <w:sz w:val="20"/>
                <w:szCs w:val="20"/>
              </w:rPr>
            </w:pPr>
          </w:p>
          <w:p w14:paraId="4389ECCF" w14:textId="77777777" w:rsidR="00D12E11" w:rsidRPr="00F7050E" w:rsidRDefault="00D12E11" w:rsidP="00BC7D1B">
            <w:pPr>
              <w:rPr>
                <w:rFonts w:ascii="Arial" w:hAnsi="Arial" w:cs="Arial"/>
                <w:i/>
                <w:sz w:val="20"/>
                <w:szCs w:val="20"/>
              </w:rPr>
            </w:pPr>
            <w:r w:rsidRPr="00F7050E">
              <w:rPr>
                <w:rFonts w:ascii="Arial" w:hAnsi="Arial" w:cs="Arial"/>
                <w:i/>
                <w:sz w:val="20"/>
                <w:szCs w:val="20"/>
              </w:rPr>
              <w:t>Dashboard indicator</w:t>
            </w:r>
          </w:p>
          <w:p w14:paraId="1D4EA7A1" w14:textId="77777777" w:rsidR="00D12E11" w:rsidRPr="00F7050E" w:rsidRDefault="00D12E11" w:rsidP="00BC7D1B">
            <w:pPr>
              <w:jc w:val="center"/>
              <w:rPr>
                <w:rFonts w:ascii="Arial" w:hAnsi="Arial" w:cs="Arial"/>
                <w:b/>
                <w:sz w:val="20"/>
                <w:szCs w:val="20"/>
              </w:rPr>
            </w:pPr>
          </w:p>
        </w:tc>
        <w:tc>
          <w:tcPr>
            <w:tcW w:w="2906" w:type="dxa"/>
            <w:vAlign w:val="center"/>
          </w:tcPr>
          <w:p w14:paraId="6D818A93" w14:textId="77777777" w:rsidR="00D12E11" w:rsidRPr="00F7050E" w:rsidRDefault="00D12E11" w:rsidP="00BC7D1B">
            <w:pPr>
              <w:rPr>
                <w:rFonts w:ascii="Arial" w:hAnsi="Arial" w:cs="Arial"/>
                <w:b/>
                <w:sz w:val="20"/>
                <w:szCs w:val="20"/>
              </w:rPr>
            </w:pPr>
            <w:r w:rsidRPr="00F7050E">
              <w:rPr>
                <w:rFonts w:ascii="Arial" w:hAnsi="Arial" w:cs="Arial"/>
                <w:sz w:val="20"/>
                <w:szCs w:val="20"/>
              </w:rPr>
              <w:t>The aggregate replacement ratio is the gross median individual pension income of the population aged 65–74 relative to the gross median individual earnings from work of the population aged 50–59, excluding other social benefits.</w:t>
            </w:r>
          </w:p>
        </w:tc>
        <w:tc>
          <w:tcPr>
            <w:tcW w:w="1630" w:type="dxa"/>
            <w:vAlign w:val="center"/>
          </w:tcPr>
          <w:p w14:paraId="1DAE275C" w14:textId="77777777" w:rsidR="00D12E11" w:rsidRPr="00F7050E" w:rsidRDefault="00D12E11" w:rsidP="00BC7D1B">
            <w:pPr>
              <w:rPr>
                <w:rFonts w:ascii="Arial" w:hAnsi="Arial" w:cs="Arial"/>
                <w:b/>
                <w:sz w:val="20"/>
                <w:szCs w:val="20"/>
              </w:rPr>
            </w:pPr>
            <w:r w:rsidRPr="00F7050E">
              <w:rPr>
                <w:rFonts w:ascii="Arial" w:hAnsi="Arial" w:cs="Arial"/>
                <w:sz w:val="20"/>
                <w:szCs w:val="20"/>
              </w:rPr>
              <w:t>By sex</w:t>
            </w:r>
          </w:p>
        </w:tc>
        <w:tc>
          <w:tcPr>
            <w:tcW w:w="1772" w:type="dxa"/>
            <w:vAlign w:val="center"/>
          </w:tcPr>
          <w:p w14:paraId="3D28B4F0"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sz w:val="20"/>
                <w:szCs w:val="20"/>
                <w:lang w:val="en-GB"/>
              </w:rPr>
              <w:t>SORS</w:t>
            </w:r>
            <w:r w:rsidRPr="00F7050E">
              <w:rPr>
                <w:rFonts w:ascii="Arial" w:hAnsi="Arial" w:cs="Arial"/>
                <w:color w:val="auto"/>
                <w:sz w:val="20"/>
                <w:szCs w:val="20"/>
                <w:lang w:val="en-GB"/>
              </w:rPr>
              <w:t xml:space="preserve"> (EU-SILC)</w:t>
            </w:r>
          </w:p>
          <w:p w14:paraId="5DB21DB9" w14:textId="77777777" w:rsidR="00D12E11" w:rsidRPr="00F7050E" w:rsidRDefault="00D12E11" w:rsidP="00BC7D1B">
            <w:pPr>
              <w:rPr>
                <w:rFonts w:ascii="Arial" w:hAnsi="Arial" w:cs="Arial"/>
                <w:b/>
                <w:sz w:val="20"/>
                <w:szCs w:val="20"/>
              </w:rPr>
            </w:pPr>
            <w:r w:rsidRPr="00F7050E">
              <w:rPr>
                <w:rFonts w:ascii="Arial" w:hAnsi="Arial" w:cs="Arial"/>
                <w:i/>
                <w:sz w:val="20"/>
                <w:szCs w:val="20"/>
              </w:rPr>
              <w:t>(Annually)</w:t>
            </w:r>
          </w:p>
        </w:tc>
        <w:tc>
          <w:tcPr>
            <w:tcW w:w="3009" w:type="dxa"/>
            <w:vAlign w:val="center"/>
          </w:tcPr>
          <w:p w14:paraId="152B2770"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EUROSTAT</w:t>
            </w:r>
            <w:r w:rsidRPr="00F7050E">
              <w:rPr>
                <w:rFonts w:ascii="Arial" w:hAnsi="Arial" w:cs="Arial"/>
                <w:i/>
                <w:sz w:val="20"/>
                <w:szCs w:val="20"/>
                <w:lang w:val="en-GB"/>
              </w:rPr>
              <w:t xml:space="preserve"> data for 2013, 2014 and 2015</w:t>
            </w:r>
          </w:p>
          <w:p w14:paraId="3394B660" w14:textId="77777777" w:rsidR="00D12E11" w:rsidRPr="00F7050E" w:rsidRDefault="00D12E11" w:rsidP="00BC7D1B">
            <w:pPr>
              <w:pStyle w:val="Default"/>
              <w:framePr w:hSpace="180" w:wrap="around" w:vAnchor="page" w:hAnchor="margin" w:x="-459" w:y="615"/>
              <w:rPr>
                <w:rFonts w:ascii="Arial" w:hAnsi="Arial" w:cs="Arial"/>
                <w:color w:val="auto"/>
                <w:sz w:val="20"/>
                <w:szCs w:val="20"/>
                <w:lang w:val="en-GB"/>
              </w:rPr>
            </w:pPr>
            <w:r w:rsidRPr="00F7050E">
              <w:rPr>
                <w:rFonts w:ascii="Arial" w:hAnsi="Arial" w:cs="Arial"/>
                <w:color w:val="auto"/>
                <w:sz w:val="20"/>
                <w:szCs w:val="20"/>
                <w:lang w:val="en-GB"/>
              </w:rPr>
              <w:t xml:space="preserve">This indicator informs on the overall adequacy of pensioners' income in relation to older workers </w:t>
            </w:r>
          </w:p>
          <w:p w14:paraId="6B254DAD" w14:textId="77777777" w:rsidR="00D12E11" w:rsidRPr="00F7050E" w:rsidRDefault="00D12E11" w:rsidP="00BC7D1B">
            <w:pPr>
              <w:rPr>
                <w:rFonts w:ascii="Arial" w:hAnsi="Arial" w:cs="Arial"/>
                <w:b/>
                <w:sz w:val="20"/>
                <w:szCs w:val="20"/>
              </w:rPr>
            </w:pPr>
            <w:r w:rsidRPr="00F7050E">
              <w:rPr>
                <w:rFonts w:ascii="Arial" w:hAnsi="Arial" w:cs="Arial"/>
                <w:sz w:val="20"/>
                <w:szCs w:val="20"/>
              </w:rPr>
              <w:t>Currently pension income encompasses only the first pillar schemes.</w:t>
            </w:r>
          </w:p>
        </w:tc>
      </w:tr>
      <w:tr w:rsidR="00D12E11" w:rsidRPr="00F7050E" w14:paraId="048912F7" w14:textId="77777777" w:rsidTr="00BC7D1B">
        <w:trPr>
          <w:trHeight w:val="454"/>
          <w:jc w:val="center"/>
        </w:trPr>
        <w:tc>
          <w:tcPr>
            <w:tcW w:w="534" w:type="dxa"/>
            <w:vAlign w:val="center"/>
          </w:tcPr>
          <w:p w14:paraId="57CEE895"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37BD75E5" w14:textId="77777777" w:rsidR="00D12E11" w:rsidRPr="00F7050E" w:rsidRDefault="00D12E11" w:rsidP="00BC7D1B">
            <w:pPr>
              <w:pStyle w:val="Default"/>
              <w:rPr>
                <w:rFonts w:ascii="Arial" w:hAnsi="Arial" w:cs="Arial"/>
                <w:bCs/>
                <w:color w:val="auto"/>
                <w:sz w:val="20"/>
                <w:szCs w:val="20"/>
                <w:lang w:val="en-GB"/>
              </w:rPr>
            </w:pPr>
          </w:p>
          <w:p w14:paraId="7A609CE4" w14:textId="77777777" w:rsidR="00D12E11" w:rsidRPr="00F7050E" w:rsidRDefault="00D12E11" w:rsidP="00BC7D1B">
            <w:pPr>
              <w:pStyle w:val="Default"/>
              <w:rPr>
                <w:rFonts w:ascii="Arial" w:hAnsi="Arial" w:cs="Arial"/>
                <w:bCs/>
                <w:color w:val="auto"/>
                <w:sz w:val="20"/>
                <w:szCs w:val="20"/>
                <w:lang w:val="en-GB"/>
              </w:rPr>
            </w:pPr>
            <w:r w:rsidRPr="00F7050E">
              <w:rPr>
                <w:rFonts w:ascii="Arial" w:hAnsi="Arial" w:cs="Arial"/>
                <w:bCs/>
                <w:color w:val="auto"/>
                <w:sz w:val="20"/>
                <w:szCs w:val="20"/>
                <w:lang w:val="en-GB"/>
              </w:rPr>
              <w:t xml:space="preserve">Aggregate replacement ratio (including other social benefits) </w:t>
            </w:r>
          </w:p>
          <w:p w14:paraId="676FDAB3" w14:textId="77777777" w:rsidR="00D12E11" w:rsidRPr="00F7050E" w:rsidRDefault="00D12E11" w:rsidP="00BC7D1B">
            <w:pPr>
              <w:pStyle w:val="Default"/>
              <w:rPr>
                <w:rFonts w:ascii="Arial" w:hAnsi="Arial" w:cs="Arial"/>
                <w:bCs/>
                <w:color w:val="auto"/>
                <w:sz w:val="20"/>
                <w:szCs w:val="20"/>
                <w:lang w:val="en-GB"/>
              </w:rPr>
            </w:pPr>
          </w:p>
          <w:p w14:paraId="4925F93E" w14:textId="77777777" w:rsidR="00D12E11" w:rsidRPr="00F7050E" w:rsidRDefault="00D12E11" w:rsidP="00BC7D1B">
            <w:pPr>
              <w:pStyle w:val="Default"/>
              <w:rPr>
                <w:rFonts w:ascii="Arial" w:hAnsi="Arial" w:cs="Arial"/>
                <w:color w:val="auto"/>
                <w:sz w:val="20"/>
                <w:szCs w:val="20"/>
                <w:lang w:val="en-GB"/>
              </w:rPr>
            </w:pPr>
          </w:p>
          <w:p w14:paraId="50D78ECC" w14:textId="77777777" w:rsidR="00D12E11" w:rsidRPr="00F7050E" w:rsidRDefault="00D12E11" w:rsidP="00BC7D1B">
            <w:pPr>
              <w:pStyle w:val="Default"/>
              <w:rPr>
                <w:rFonts w:ascii="Arial" w:hAnsi="Arial" w:cs="Arial"/>
                <w:bCs/>
                <w:color w:val="auto"/>
                <w:sz w:val="20"/>
                <w:szCs w:val="20"/>
                <w:lang w:val="en-GB"/>
              </w:rPr>
            </w:pPr>
          </w:p>
        </w:tc>
        <w:tc>
          <w:tcPr>
            <w:tcW w:w="1772" w:type="dxa"/>
          </w:tcPr>
          <w:p w14:paraId="788E08B0" w14:textId="77777777" w:rsidR="00D12E11" w:rsidRPr="00F7050E" w:rsidRDefault="00D12E11" w:rsidP="00BC7D1B">
            <w:pPr>
              <w:rPr>
                <w:rFonts w:ascii="Arial" w:hAnsi="Arial" w:cs="Arial"/>
                <w:sz w:val="20"/>
                <w:szCs w:val="20"/>
              </w:rPr>
            </w:pPr>
            <w:r w:rsidRPr="00F7050E">
              <w:rPr>
                <w:rFonts w:ascii="Arial" w:hAnsi="Arial" w:cs="Arial"/>
                <w:sz w:val="20"/>
                <w:szCs w:val="20"/>
              </w:rPr>
              <w:t>Adequate Pensions</w:t>
            </w:r>
          </w:p>
          <w:p w14:paraId="7BF04D4E" w14:textId="77777777" w:rsidR="00D12E11" w:rsidRPr="00F7050E" w:rsidRDefault="00D12E11" w:rsidP="00BC7D1B">
            <w:pPr>
              <w:rPr>
                <w:rFonts w:ascii="Arial" w:hAnsi="Arial" w:cs="Arial"/>
                <w:i/>
                <w:sz w:val="20"/>
                <w:szCs w:val="20"/>
              </w:rPr>
            </w:pPr>
            <w:r w:rsidRPr="00F7050E">
              <w:rPr>
                <w:rFonts w:ascii="Arial" w:hAnsi="Arial" w:cs="Arial"/>
                <w:i/>
                <w:sz w:val="20"/>
                <w:szCs w:val="20"/>
              </w:rPr>
              <w:t xml:space="preserve">Secondary EU </w:t>
            </w:r>
          </w:p>
          <w:p w14:paraId="4CD2B5D3" w14:textId="77777777" w:rsidR="00D12E11" w:rsidRPr="00F7050E" w:rsidRDefault="00D12E11" w:rsidP="00BC7D1B">
            <w:pPr>
              <w:rPr>
                <w:rFonts w:ascii="Arial" w:hAnsi="Arial" w:cs="Arial"/>
                <w:sz w:val="20"/>
                <w:szCs w:val="20"/>
              </w:rPr>
            </w:pPr>
            <w:r w:rsidRPr="00F7050E">
              <w:rPr>
                <w:rFonts w:ascii="Arial" w:hAnsi="Arial" w:cs="Arial"/>
                <w:i/>
                <w:sz w:val="20"/>
                <w:szCs w:val="20"/>
              </w:rPr>
              <w:t>Indicator</w:t>
            </w:r>
          </w:p>
        </w:tc>
        <w:tc>
          <w:tcPr>
            <w:tcW w:w="2906" w:type="dxa"/>
          </w:tcPr>
          <w:p w14:paraId="4A964FAB"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color w:val="auto"/>
                <w:sz w:val="20"/>
                <w:szCs w:val="20"/>
                <w:lang w:val="en-GB"/>
              </w:rPr>
              <w:t xml:space="preserve">Ratio of the median individual pensions of the 65-74 age group relative to the median individual earnings of the 50-59 age group, including other social benefits </w:t>
            </w:r>
          </w:p>
        </w:tc>
        <w:tc>
          <w:tcPr>
            <w:tcW w:w="1630" w:type="dxa"/>
          </w:tcPr>
          <w:p w14:paraId="037B422B"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color w:val="auto"/>
                <w:sz w:val="20"/>
                <w:szCs w:val="20"/>
                <w:lang w:val="en-GB"/>
              </w:rPr>
              <w:t>By sex</w:t>
            </w:r>
          </w:p>
        </w:tc>
        <w:tc>
          <w:tcPr>
            <w:tcW w:w="1772" w:type="dxa"/>
          </w:tcPr>
          <w:p w14:paraId="2AA62671"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sz w:val="20"/>
                <w:szCs w:val="20"/>
                <w:lang w:val="en-GB"/>
              </w:rPr>
              <w:t>SORS</w:t>
            </w:r>
            <w:r w:rsidRPr="00F7050E">
              <w:rPr>
                <w:rFonts w:ascii="Arial" w:hAnsi="Arial" w:cs="Arial"/>
                <w:color w:val="auto"/>
                <w:sz w:val="20"/>
                <w:szCs w:val="20"/>
                <w:lang w:val="en-GB"/>
              </w:rPr>
              <w:t xml:space="preserve"> (EU-SILC)</w:t>
            </w:r>
          </w:p>
          <w:p w14:paraId="431D8714"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i/>
                <w:color w:val="auto"/>
                <w:sz w:val="20"/>
                <w:szCs w:val="20"/>
                <w:lang w:val="en-GB"/>
              </w:rPr>
              <w:t>(Annually)</w:t>
            </w:r>
          </w:p>
        </w:tc>
        <w:tc>
          <w:tcPr>
            <w:tcW w:w="3009" w:type="dxa"/>
          </w:tcPr>
          <w:p w14:paraId="5ED3F5C9" w14:textId="77777777" w:rsidR="00D12E11" w:rsidRPr="00F7050E" w:rsidRDefault="00D12E11" w:rsidP="00BC7D1B">
            <w:pPr>
              <w:pStyle w:val="Default"/>
              <w:rPr>
                <w:rFonts w:ascii="Arial" w:hAnsi="Arial" w:cs="Arial"/>
                <w:sz w:val="20"/>
                <w:szCs w:val="20"/>
              </w:rPr>
            </w:pPr>
            <w:r w:rsidRPr="00F7050E">
              <w:rPr>
                <w:rFonts w:ascii="Arial" w:hAnsi="Arial" w:cs="Arial"/>
                <w:color w:val="auto"/>
                <w:sz w:val="20"/>
                <w:szCs w:val="20"/>
                <w:lang w:val="en-GB"/>
              </w:rPr>
              <w:t xml:space="preserve">Currently pension income encompasses only the first pillar schemes. </w:t>
            </w:r>
            <w:r w:rsidRPr="00F7050E">
              <w:rPr>
                <w:rFonts w:ascii="Arial" w:hAnsi="Arial" w:cs="Arial"/>
                <w:sz w:val="20"/>
                <w:szCs w:val="20"/>
              </w:rPr>
              <w:softHyphen/>
            </w:r>
          </w:p>
        </w:tc>
      </w:tr>
      <w:tr w:rsidR="00D12E11" w:rsidRPr="00F7050E" w14:paraId="0B20B7FC" w14:textId="77777777" w:rsidTr="00BC7D1B">
        <w:trPr>
          <w:trHeight w:val="340"/>
          <w:jc w:val="center"/>
        </w:trPr>
        <w:tc>
          <w:tcPr>
            <w:tcW w:w="14032" w:type="dxa"/>
            <w:gridSpan w:val="7"/>
            <w:vAlign w:val="center"/>
          </w:tcPr>
          <w:p w14:paraId="19A93346" w14:textId="77777777" w:rsidR="00D12E11" w:rsidRPr="00F7050E" w:rsidRDefault="00D12E11" w:rsidP="00BC7D1B">
            <w:pPr>
              <w:rPr>
                <w:rFonts w:ascii="Arial" w:hAnsi="Arial" w:cs="Arial"/>
                <w:b/>
                <w:i/>
                <w:sz w:val="20"/>
                <w:szCs w:val="20"/>
              </w:rPr>
            </w:pPr>
            <w:r w:rsidRPr="00F7050E">
              <w:rPr>
                <w:rFonts w:ascii="Arial" w:hAnsi="Arial" w:cs="Arial"/>
                <w:b/>
                <w:i/>
                <w:sz w:val="20"/>
                <w:szCs w:val="20"/>
              </w:rPr>
              <w:t>Gender/Income Inequality</w:t>
            </w:r>
          </w:p>
        </w:tc>
      </w:tr>
      <w:tr w:rsidR="00D12E11" w:rsidRPr="00F7050E" w14:paraId="3BFA21A2" w14:textId="77777777" w:rsidTr="00BC7D1B">
        <w:trPr>
          <w:trHeight w:val="454"/>
          <w:jc w:val="center"/>
        </w:trPr>
        <w:tc>
          <w:tcPr>
            <w:tcW w:w="534" w:type="dxa"/>
            <w:vAlign w:val="center"/>
          </w:tcPr>
          <w:p w14:paraId="013EF0D4"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vAlign w:val="center"/>
          </w:tcPr>
          <w:p w14:paraId="66A9A3EB" w14:textId="77777777" w:rsidR="00D12E11" w:rsidRPr="00F7050E" w:rsidRDefault="00D12E11" w:rsidP="00BC7D1B">
            <w:pPr>
              <w:pStyle w:val="Default"/>
              <w:rPr>
                <w:rFonts w:ascii="Arial" w:hAnsi="Arial" w:cs="Arial"/>
                <w:bCs/>
                <w:sz w:val="20"/>
                <w:szCs w:val="20"/>
                <w:highlight w:val="green"/>
                <w:lang w:val="en-GB"/>
              </w:rPr>
            </w:pPr>
            <w:r w:rsidRPr="00F7050E">
              <w:rPr>
                <w:rFonts w:ascii="Arial" w:hAnsi="Arial" w:cs="Arial"/>
                <w:bCs/>
                <w:sz w:val="20"/>
                <w:szCs w:val="20"/>
                <w:lang w:val="en-GB"/>
              </w:rPr>
              <w:t>Distribution of pensions (percentage of beneficiaries beneath the average pensions)</w:t>
            </w:r>
          </w:p>
        </w:tc>
        <w:tc>
          <w:tcPr>
            <w:tcW w:w="1772" w:type="dxa"/>
          </w:tcPr>
          <w:p w14:paraId="15026357" w14:textId="77777777" w:rsidR="00D12E11" w:rsidRPr="00F7050E" w:rsidRDefault="00D12E11" w:rsidP="00BC7D1B">
            <w:pPr>
              <w:rPr>
                <w:rFonts w:ascii="Arial" w:hAnsi="Arial" w:cs="Arial"/>
                <w:sz w:val="20"/>
                <w:szCs w:val="20"/>
              </w:rPr>
            </w:pPr>
            <w:r w:rsidRPr="00F7050E">
              <w:rPr>
                <w:rFonts w:ascii="Arial" w:hAnsi="Arial" w:cs="Arial"/>
                <w:sz w:val="20"/>
                <w:szCs w:val="20"/>
              </w:rPr>
              <w:br/>
            </w:r>
            <w:r w:rsidRPr="00F7050E">
              <w:rPr>
                <w:rFonts w:ascii="Arial" w:hAnsi="Arial" w:cs="Arial"/>
                <w:i/>
                <w:sz w:val="20"/>
                <w:szCs w:val="20"/>
              </w:rPr>
              <w:t>Country-specific</w:t>
            </w:r>
          </w:p>
        </w:tc>
        <w:tc>
          <w:tcPr>
            <w:tcW w:w="2906" w:type="dxa"/>
          </w:tcPr>
          <w:p w14:paraId="17A9ADF1"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Calculate separately by groups: employees/self-employed/ farmers</w:t>
            </w:r>
          </w:p>
          <w:p w14:paraId="6382A5E7" w14:textId="77777777" w:rsidR="00D12E11" w:rsidRPr="00F7050E" w:rsidRDefault="00D12E11" w:rsidP="00BC7D1B">
            <w:pPr>
              <w:pStyle w:val="Default"/>
              <w:rPr>
                <w:rFonts w:ascii="Arial" w:hAnsi="Arial" w:cs="Arial"/>
                <w:sz w:val="20"/>
                <w:szCs w:val="20"/>
                <w:lang w:val="en-GB"/>
              </w:rPr>
            </w:pPr>
          </w:p>
        </w:tc>
        <w:tc>
          <w:tcPr>
            <w:tcW w:w="1630" w:type="dxa"/>
          </w:tcPr>
          <w:p w14:paraId="26238754"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Old age pensions, disability pensions, survivors' pensions</w:t>
            </w:r>
          </w:p>
        </w:tc>
        <w:tc>
          <w:tcPr>
            <w:tcW w:w="1772" w:type="dxa"/>
          </w:tcPr>
          <w:p w14:paraId="3C0B7762"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PDIF</w:t>
            </w:r>
          </w:p>
        </w:tc>
        <w:tc>
          <w:tcPr>
            <w:tcW w:w="3009" w:type="dxa"/>
          </w:tcPr>
          <w:p w14:paraId="1EEFCA96" w14:textId="77777777" w:rsidR="00D12E11" w:rsidRPr="00F7050E" w:rsidRDefault="00D12E11" w:rsidP="00BC7D1B">
            <w:pPr>
              <w:pStyle w:val="Default"/>
              <w:rPr>
                <w:rFonts w:ascii="Arial" w:hAnsi="Arial" w:cs="Arial"/>
                <w:i/>
                <w:sz w:val="20"/>
                <w:szCs w:val="20"/>
                <w:lang w:val="en-GB"/>
              </w:rPr>
            </w:pPr>
            <w:r w:rsidRPr="00F7050E">
              <w:rPr>
                <w:rFonts w:ascii="Arial" w:hAnsi="Arial" w:cs="Arial"/>
                <w:sz w:val="20"/>
                <w:szCs w:val="20"/>
                <w:lang w:val="en-GB"/>
              </w:rPr>
              <w:t>PDIF</w:t>
            </w:r>
            <w:r w:rsidRPr="00F7050E">
              <w:rPr>
                <w:rFonts w:ascii="Arial" w:hAnsi="Arial" w:cs="Arial"/>
                <w:i/>
                <w:sz w:val="20"/>
                <w:szCs w:val="20"/>
                <w:lang w:val="en-GB"/>
              </w:rPr>
              <w:t xml:space="preserve"> Monthly Bulletin</w:t>
            </w:r>
          </w:p>
          <w:p w14:paraId="703BAA1E"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Pay special attention to the “proportionate” pensions which should be taken out from the distribution </w:t>
            </w:r>
          </w:p>
        </w:tc>
      </w:tr>
      <w:tr w:rsidR="00D12E11" w:rsidRPr="00F7050E" w14:paraId="6305DFB6" w14:textId="77777777" w:rsidTr="00BC7D1B">
        <w:trPr>
          <w:trHeight w:val="454"/>
          <w:jc w:val="center"/>
        </w:trPr>
        <w:tc>
          <w:tcPr>
            <w:tcW w:w="534" w:type="dxa"/>
            <w:vAlign w:val="center"/>
          </w:tcPr>
          <w:p w14:paraId="05E90A83"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P</w:t>
            </w:r>
          </w:p>
        </w:tc>
        <w:tc>
          <w:tcPr>
            <w:tcW w:w="2409" w:type="dxa"/>
            <w:vAlign w:val="center"/>
          </w:tcPr>
          <w:p w14:paraId="58450214" w14:textId="77777777" w:rsidR="00D12E11" w:rsidRPr="00F7050E" w:rsidRDefault="00D12E11" w:rsidP="00BC7D1B">
            <w:pPr>
              <w:rPr>
                <w:rFonts w:ascii="Arial" w:hAnsi="Arial" w:cs="Arial"/>
                <w:sz w:val="20"/>
                <w:szCs w:val="20"/>
                <w:highlight w:val="yellow"/>
              </w:rPr>
            </w:pPr>
          </w:p>
          <w:p w14:paraId="6A6DA5D6" w14:textId="77777777" w:rsidR="00D12E11" w:rsidRPr="00F7050E" w:rsidRDefault="00D12E11" w:rsidP="00BC7D1B">
            <w:pPr>
              <w:rPr>
                <w:rFonts w:ascii="Arial" w:hAnsi="Arial" w:cs="Arial"/>
                <w:sz w:val="20"/>
                <w:szCs w:val="20"/>
              </w:rPr>
            </w:pPr>
            <w:r w:rsidRPr="00F7050E">
              <w:rPr>
                <w:rFonts w:ascii="Arial" w:hAnsi="Arial" w:cs="Arial"/>
                <w:sz w:val="20"/>
                <w:szCs w:val="20"/>
              </w:rPr>
              <w:t>Gender pension gap M/W (percentage)</w:t>
            </w:r>
          </w:p>
          <w:p w14:paraId="0B7FE427" w14:textId="77777777" w:rsidR="00D12E11" w:rsidRPr="00F7050E" w:rsidRDefault="00D12E11" w:rsidP="00BC7D1B">
            <w:pPr>
              <w:rPr>
                <w:rFonts w:ascii="Arial" w:hAnsi="Arial" w:cs="Arial"/>
                <w:sz w:val="20"/>
                <w:szCs w:val="20"/>
                <w:highlight w:val="green"/>
              </w:rPr>
            </w:pPr>
          </w:p>
          <w:p w14:paraId="446064BD" w14:textId="77777777" w:rsidR="00D12E11" w:rsidRPr="00F7050E" w:rsidRDefault="00D12E11" w:rsidP="00BC7D1B">
            <w:pPr>
              <w:rPr>
                <w:rFonts w:ascii="Arial" w:hAnsi="Arial" w:cs="Arial"/>
                <w:sz w:val="20"/>
                <w:szCs w:val="20"/>
                <w:highlight w:val="green"/>
              </w:rPr>
            </w:pPr>
          </w:p>
        </w:tc>
        <w:tc>
          <w:tcPr>
            <w:tcW w:w="1772" w:type="dxa"/>
          </w:tcPr>
          <w:p w14:paraId="410585D2" w14:textId="77777777" w:rsidR="00D12E11" w:rsidRPr="00F7050E" w:rsidRDefault="00D12E11" w:rsidP="00BC7D1B">
            <w:pPr>
              <w:rPr>
                <w:rFonts w:ascii="Arial" w:hAnsi="Arial" w:cs="Arial"/>
                <w:i/>
                <w:sz w:val="20"/>
                <w:szCs w:val="20"/>
              </w:rPr>
            </w:pPr>
          </w:p>
          <w:p w14:paraId="0BEB96FE" w14:textId="77777777" w:rsidR="00D12E11" w:rsidRPr="00F7050E" w:rsidRDefault="00D12E11" w:rsidP="00BC7D1B">
            <w:pPr>
              <w:rPr>
                <w:rFonts w:ascii="Arial" w:hAnsi="Arial" w:cs="Arial"/>
                <w:i/>
                <w:sz w:val="20"/>
                <w:szCs w:val="20"/>
              </w:rPr>
            </w:pPr>
            <w:r w:rsidRPr="00F7050E">
              <w:rPr>
                <w:rFonts w:ascii="Arial" w:hAnsi="Arial" w:cs="Arial"/>
                <w:i/>
                <w:sz w:val="20"/>
                <w:szCs w:val="20"/>
              </w:rPr>
              <w:t>Pension Adequacy Report, EC Report Gender Gap</w:t>
            </w:r>
          </w:p>
        </w:tc>
        <w:tc>
          <w:tcPr>
            <w:tcW w:w="2906" w:type="dxa"/>
          </w:tcPr>
          <w:p w14:paraId="680C4F9C" w14:textId="77777777" w:rsidR="00D12E11" w:rsidRPr="00F7050E" w:rsidRDefault="00D12E11" w:rsidP="00BC7D1B">
            <w:pPr>
              <w:rPr>
                <w:rFonts w:ascii="Arial" w:hAnsi="Arial" w:cs="Arial"/>
                <w:sz w:val="20"/>
                <w:szCs w:val="20"/>
              </w:rPr>
            </w:pPr>
            <w:r w:rsidRPr="00F7050E">
              <w:rPr>
                <w:rFonts w:ascii="Arial" w:hAnsi="Arial" w:cs="Arial"/>
                <w:sz w:val="20"/>
                <w:szCs w:val="20"/>
              </w:rPr>
              <w:t>Gender Pension Gap = (1 – Women’s average individual old age income /Men’s average individual old age income) x 100</w:t>
            </w:r>
          </w:p>
        </w:tc>
        <w:tc>
          <w:tcPr>
            <w:tcW w:w="1630" w:type="dxa"/>
          </w:tcPr>
          <w:p w14:paraId="3B56FC7F" w14:textId="77777777" w:rsidR="00D12E11" w:rsidRPr="00F7050E" w:rsidRDefault="00D12E11" w:rsidP="00BC7D1B">
            <w:pPr>
              <w:rPr>
                <w:rFonts w:ascii="Arial" w:hAnsi="Arial" w:cs="Arial"/>
                <w:sz w:val="20"/>
                <w:szCs w:val="20"/>
              </w:rPr>
            </w:pPr>
            <w:r w:rsidRPr="00F7050E">
              <w:rPr>
                <w:rFonts w:ascii="Arial" w:hAnsi="Arial" w:cs="Arial"/>
                <w:sz w:val="20"/>
                <w:szCs w:val="20"/>
              </w:rPr>
              <w:t>Old age pensions, disability pensions</w:t>
            </w:r>
          </w:p>
        </w:tc>
        <w:tc>
          <w:tcPr>
            <w:tcW w:w="1772" w:type="dxa"/>
          </w:tcPr>
          <w:p w14:paraId="13217266"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p>
        </w:tc>
        <w:tc>
          <w:tcPr>
            <w:tcW w:w="3009" w:type="dxa"/>
          </w:tcPr>
          <w:p w14:paraId="052E79DE" w14:textId="77777777" w:rsidR="00D12E11" w:rsidRPr="00F7050E" w:rsidRDefault="00D12E11" w:rsidP="00BC7D1B">
            <w:pPr>
              <w:rPr>
                <w:rFonts w:ascii="Arial" w:hAnsi="Arial" w:cs="Arial"/>
                <w:i/>
                <w:sz w:val="20"/>
                <w:szCs w:val="20"/>
              </w:rPr>
            </w:pPr>
            <w:r w:rsidRPr="00F7050E">
              <w:rPr>
                <w:rFonts w:ascii="Arial" w:hAnsi="Arial" w:cs="Arial"/>
                <w:i/>
                <w:sz w:val="20"/>
                <w:szCs w:val="20"/>
              </w:rPr>
              <w:t>Additional calculations needed</w:t>
            </w:r>
          </w:p>
        </w:tc>
      </w:tr>
      <w:tr w:rsidR="00D12E11" w:rsidRPr="00F7050E" w14:paraId="2F6F38FF" w14:textId="77777777" w:rsidTr="00BC7D1B">
        <w:trPr>
          <w:trHeight w:val="454"/>
          <w:jc w:val="center"/>
        </w:trPr>
        <w:tc>
          <w:tcPr>
            <w:tcW w:w="534" w:type="dxa"/>
            <w:vAlign w:val="center"/>
          </w:tcPr>
          <w:p w14:paraId="73642D71" w14:textId="77777777" w:rsidR="00D12E11" w:rsidRPr="00F7050E" w:rsidRDefault="00D12E11" w:rsidP="00BC7D1B">
            <w:pPr>
              <w:rPr>
                <w:rFonts w:ascii="Arial" w:hAnsi="Arial" w:cs="Arial"/>
                <w:sz w:val="20"/>
                <w:szCs w:val="20"/>
              </w:rPr>
            </w:pPr>
            <w:r w:rsidRPr="00F7050E">
              <w:rPr>
                <w:rFonts w:ascii="Arial" w:hAnsi="Arial" w:cs="Arial"/>
                <w:sz w:val="20"/>
                <w:szCs w:val="20"/>
              </w:rPr>
              <w:t>P</w:t>
            </w:r>
          </w:p>
        </w:tc>
        <w:tc>
          <w:tcPr>
            <w:tcW w:w="2409" w:type="dxa"/>
            <w:vAlign w:val="center"/>
          </w:tcPr>
          <w:p w14:paraId="65305091" w14:textId="77777777" w:rsidR="00D12E11" w:rsidRPr="00F7050E" w:rsidRDefault="00D12E11" w:rsidP="00BC7D1B">
            <w:pPr>
              <w:pStyle w:val="Default"/>
              <w:rPr>
                <w:rFonts w:ascii="Arial" w:hAnsi="Arial" w:cs="Arial"/>
                <w:bCs/>
                <w:sz w:val="20"/>
                <w:szCs w:val="20"/>
                <w:lang w:val="en-GB"/>
              </w:rPr>
            </w:pPr>
          </w:p>
          <w:p w14:paraId="098FC915" w14:textId="77777777" w:rsidR="00D12E11" w:rsidRPr="00F7050E" w:rsidRDefault="00D12E11" w:rsidP="00BC7D1B">
            <w:pPr>
              <w:pStyle w:val="Default"/>
              <w:rPr>
                <w:rFonts w:ascii="Arial" w:hAnsi="Arial" w:cs="Arial"/>
                <w:bCs/>
                <w:sz w:val="20"/>
                <w:szCs w:val="20"/>
                <w:lang w:val="en-GB"/>
              </w:rPr>
            </w:pPr>
          </w:p>
          <w:p w14:paraId="6C21EE83"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bCs/>
                <w:color w:val="auto"/>
                <w:sz w:val="20"/>
                <w:szCs w:val="20"/>
                <w:lang w:val="en-GB"/>
              </w:rPr>
              <w:t xml:space="preserve">Gender differences in aggregate replacement ratio </w:t>
            </w:r>
          </w:p>
          <w:p w14:paraId="6CC80728" w14:textId="77777777" w:rsidR="00D12E11" w:rsidRPr="00F7050E" w:rsidRDefault="00D12E11" w:rsidP="00BC7D1B">
            <w:pPr>
              <w:rPr>
                <w:rFonts w:ascii="Arial" w:hAnsi="Arial" w:cs="Arial"/>
                <w:b/>
                <w:sz w:val="20"/>
                <w:szCs w:val="20"/>
              </w:rPr>
            </w:pPr>
          </w:p>
        </w:tc>
        <w:tc>
          <w:tcPr>
            <w:tcW w:w="1772" w:type="dxa"/>
          </w:tcPr>
          <w:p w14:paraId="50C77534" w14:textId="77777777" w:rsidR="00D12E11" w:rsidRPr="00F7050E" w:rsidRDefault="00D12E11" w:rsidP="00BC7D1B">
            <w:pPr>
              <w:rPr>
                <w:rFonts w:ascii="Arial" w:hAnsi="Arial" w:cs="Arial"/>
                <w:i/>
                <w:sz w:val="20"/>
                <w:szCs w:val="20"/>
              </w:rPr>
            </w:pPr>
            <w:r w:rsidRPr="00F7050E">
              <w:rPr>
                <w:rFonts w:ascii="Arial" w:hAnsi="Arial" w:cs="Arial"/>
                <w:i/>
                <w:sz w:val="20"/>
                <w:szCs w:val="20"/>
              </w:rPr>
              <w:t>Modernised Pensions-</w:t>
            </w:r>
          </w:p>
          <w:p w14:paraId="0EE8267B" w14:textId="77777777" w:rsidR="00D12E11" w:rsidRPr="00F7050E" w:rsidRDefault="00D12E11" w:rsidP="00BC7D1B">
            <w:pPr>
              <w:rPr>
                <w:rFonts w:ascii="Arial" w:hAnsi="Arial" w:cs="Arial"/>
                <w:i/>
                <w:sz w:val="20"/>
                <w:szCs w:val="20"/>
              </w:rPr>
            </w:pPr>
            <w:r w:rsidRPr="00F7050E">
              <w:rPr>
                <w:rFonts w:ascii="Arial" w:hAnsi="Arial" w:cs="Arial"/>
                <w:i/>
                <w:sz w:val="20"/>
                <w:szCs w:val="20"/>
              </w:rPr>
              <w:t>Primary EU Indicator</w:t>
            </w:r>
          </w:p>
        </w:tc>
        <w:tc>
          <w:tcPr>
            <w:tcW w:w="2906" w:type="dxa"/>
          </w:tcPr>
          <w:p w14:paraId="7B19074F" w14:textId="77777777" w:rsidR="00D12E11" w:rsidRPr="00F7050E" w:rsidRDefault="00D12E11" w:rsidP="00BC7D1B">
            <w:pPr>
              <w:rPr>
                <w:rFonts w:ascii="Arial" w:hAnsi="Arial" w:cs="Arial"/>
                <w:b/>
                <w:sz w:val="20"/>
                <w:szCs w:val="20"/>
              </w:rPr>
            </w:pPr>
            <w:r w:rsidRPr="00F7050E">
              <w:rPr>
                <w:rFonts w:ascii="Arial" w:hAnsi="Arial" w:cs="Arial"/>
                <w:sz w:val="20"/>
                <w:szCs w:val="20"/>
              </w:rPr>
              <w:t>The absolute difference between the males and the females in the aggregate replacement ratio. The aggregate replacement ratio is defined as the ratio of the median individual gross pensions of 65-74 age category relative to the median individual gross earnings of 50-59 age category, excluding other social benefits</w:t>
            </w:r>
          </w:p>
        </w:tc>
        <w:tc>
          <w:tcPr>
            <w:tcW w:w="1630" w:type="dxa"/>
          </w:tcPr>
          <w:p w14:paraId="0A3A5E9C" w14:textId="77777777" w:rsidR="00D12E11" w:rsidRPr="00F7050E" w:rsidRDefault="00D12E11" w:rsidP="00BC7D1B">
            <w:pPr>
              <w:rPr>
                <w:rFonts w:ascii="Arial" w:hAnsi="Arial" w:cs="Arial"/>
                <w:b/>
                <w:sz w:val="20"/>
                <w:szCs w:val="20"/>
              </w:rPr>
            </w:pPr>
          </w:p>
        </w:tc>
        <w:tc>
          <w:tcPr>
            <w:tcW w:w="1772" w:type="dxa"/>
          </w:tcPr>
          <w:p w14:paraId="7C4C325A"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SORS (EU-SILC)</w:t>
            </w:r>
          </w:p>
          <w:p w14:paraId="1234A2EE" w14:textId="77777777" w:rsidR="00D12E11" w:rsidRPr="00F7050E" w:rsidRDefault="00D12E11" w:rsidP="00BC7D1B">
            <w:pPr>
              <w:rPr>
                <w:rFonts w:ascii="Arial" w:hAnsi="Arial" w:cs="Arial"/>
                <w:b/>
                <w:sz w:val="20"/>
                <w:szCs w:val="20"/>
              </w:rPr>
            </w:pPr>
          </w:p>
        </w:tc>
        <w:tc>
          <w:tcPr>
            <w:tcW w:w="3009" w:type="dxa"/>
          </w:tcPr>
          <w:p w14:paraId="085B3E3C" w14:textId="77777777" w:rsidR="00D12E11" w:rsidRPr="00F7050E" w:rsidRDefault="00D12E11" w:rsidP="00BC7D1B">
            <w:pPr>
              <w:rPr>
                <w:rFonts w:ascii="Arial" w:hAnsi="Arial" w:cs="Arial"/>
                <w:b/>
                <w:sz w:val="20"/>
                <w:szCs w:val="20"/>
              </w:rPr>
            </w:pPr>
          </w:p>
        </w:tc>
      </w:tr>
      <w:tr w:rsidR="00D12E11" w:rsidRPr="00F7050E" w14:paraId="33832452" w14:textId="77777777" w:rsidTr="00BC7D1B">
        <w:trPr>
          <w:trHeight w:val="510"/>
          <w:jc w:val="center"/>
        </w:trPr>
        <w:tc>
          <w:tcPr>
            <w:tcW w:w="14032" w:type="dxa"/>
            <w:gridSpan w:val="7"/>
            <w:shd w:val="clear" w:color="auto" w:fill="CCFFFF"/>
            <w:vAlign w:val="center"/>
          </w:tcPr>
          <w:p w14:paraId="58EA6720"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FINACIAL SUSTAINABILITY</w:t>
            </w:r>
          </w:p>
        </w:tc>
      </w:tr>
      <w:tr w:rsidR="00D12E11" w:rsidRPr="00F7050E" w14:paraId="401B8D2A" w14:textId="77777777" w:rsidTr="00BC7D1B">
        <w:trPr>
          <w:trHeight w:val="454"/>
          <w:jc w:val="center"/>
        </w:trPr>
        <w:tc>
          <w:tcPr>
            <w:tcW w:w="534" w:type="dxa"/>
            <w:vAlign w:val="center"/>
          </w:tcPr>
          <w:p w14:paraId="491534A1"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P/S</w:t>
            </w:r>
          </w:p>
        </w:tc>
        <w:tc>
          <w:tcPr>
            <w:tcW w:w="2409" w:type="dxa"/>
            <w:vAlign w:val="center"/>
          </w:tcPr>
          <w:p w14:paraId="4D90F255"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Indicator Title</w:t>
            </w:r>
          </w:p>
          <w:p w14:paraId="4CAD8BA8"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 xml:space="preserve"> (Unit) </w:t>
            </w:r>
          </w:p>
        </w:tc>
        <w:tc>
          <w:tcPr>
            <w:tcW w:w="1772" w:type="dxa"/>
            <w:vAlign w:val="center"/>
          </w:tcPr>
          <w:p w14:paraId="38D391A3" w14:textId="77777777" w:rsidR="00D12E11" w:rsidRPr="00F7050E" w:rsidRDefault="00D12E11" w:rsidP="00BC7D1B">
            <w:pPr>
              <w:jc w:val="center"/>
              <w:rPr>
                <w:rFonts w:ascii="Arial" w:hAnsi="Arial" w:cs="Arial"/>
                <w:b/>
                <w:sz w:val="20"/>
                <w:szCs w:val="20"/>
              </w:rPr>
            </w:pPr>
            <w:r w:rsidRPr="00F7050E">
              <w:rPr>
                <w:rFonts w:ascii="Arial" w:hAnsi="Arial" w:cs="Arial"/>
                <w:b/>
                <w:sz w:val="20"/>
                <w:szCs w:val="20"/>
              </w:rPr>
              <w:t>Indicator</w:t>
            </w:r>
          </w:p>
          <w:p w14:paraId="2786D962"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Type/Origin</w:t>
            </w:r>
            <w:r w:rsidRPr="00F7050E">
              <w:rPr>
                <w:rFonts w:ascii="Arial" w:hAnsi="Arial" w:cs="Arial"/>
                <w:b/>
                <w:sz w:val="20"/>
                <w:szCs w:val="20"/>
                <w:highlight w:val="yellow"/>
              </w:rPr>
              <w:t xml:space="preserve"> </w:t>
            </w:r>
          </w:p>
        </w:tc>
        <w:tc>
          <w:tcPr>
            <w:tcW w:w="2906" w:type="dxa"/>
            <w:vAlign w:val="center"/>
          </w:tcPr>
          <w:p w14:paraId="7B4E3CCB"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 xml:space="preserve">Definitions </w:t>
            </w:r>
          </w:p>
        </w:tc>
        <w:tc>
          <w:tcPr>
            <w:tcW w:w="1630" w:type="dxa"/>
            <w:vAlign w:val="center"/>
          </w:tcPr>
          <w:p w14:paraId="037F40CB"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 xml:space="preserve">Disaggregation/Variants </w:t>
            </w:r>
          </w:p>
        </w:tc>
        <w:tc>
          <w:tcPr>
            <w:tcW w:w="1772" w:type="dxa"/>
            <w:vAlign w:val="center"/>
          </w:tcPr>
          <w:p w14:paraId="43E567C4"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 xml:space="preserve">Data Source (Time Frame) </w:t>
            </w:r>
          </w:p>
        </w:tc>
        <w:tc>
          <w:tcPr>
            <w:tcW w:w="3009" w:type="dxa"/>
            <w:vAlign w:val="center"/>
          </w:tcPr>
          <w:p w14:paraId="52CA90A3" w14:textId="77777777" w:rsidR="00D12E11" w:rsidRPr="00F7050E" w:rsidRDefault="00D12E11" w:rsidP="00BC7D1B">
            <w:pPr>
              <w:jc w:val="center"/>
              <w:rPr>
                <w:rFonts w:ascii="Arial" w:hAnsi="Arial" w:cs="Arial"/>
                <w:sz w:val="20"/>
                <w:szCs w:val="20"/>
              </w:rPr>
            </w:pPr>
            <w:r w:rsidRPr="00F7050E">
              <w:rPr>
                <w:rFonts w:ascii="Arial" w:hAnsi="Arial" w:cs="Arial"/>
                <w:b/>
                <w:sz w:val="20"/>
                <w:szCs w:val="20"/>
              </w:rPr>
              <w:t xml:space="preserve">Data Availability and Comments </w:t>
            </w:r>
          </w:p>
        </w:tc>
      </w:tr>
      <w:tr w:rsidR="00D12E11" w:rsidRPr="00F7050E" w14:paraId="1C6E8CEF" w14:textId="77777777" w:rsidTr="00BC7D1B">
        <w:trPr>
          <w:trHeight w:val="856"/>
          <w:jc w:val="center"/>
        </w:trPr>
        <w:tc>
          <w:tcPr>
            <w:tcW w:w="534" w:type="dxa"/>
            <w:vAlign w:val="center"/>
          </w:tcPr>
          <w:p w14:paraId="7C0356D3"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tcPr>
          <w:p w14:paraId="2726E34D" w14:textId="77777777" w:rsidR="00D12E11" w:rsidRPr="00F7050E" w:rsidRDefault="00D12E11" w:rsidP="00BC7D1B">
            <w:pPr>
              <w:pStyle w:val="Default"/>
              <w:rPr>
                <w:rFonts w:ascii="Arial" w:hAnsi="Arial" w:cs="Arial"/>
                <w:b/>
                <w:bCs/>
                <w:sz w:val="20"/>
                <w:szCs w:val="20"/>
                <w:lang w:val="en-GB"/>
              </w:rPr>
            </w:pPr>
          </w:p>
          <w:p w14:paraId="19EAC430" w14:textId="77777777" w:rsidR="00D12E11" w:rsidRPr="00F7050E" w:rsidRDefault="00D12E11" w:rsidP="00BC7D1B">
            <w:pPr>
              <w:pStyle w:val="Default"/>
              <w:rPr>
                <w:rFonts w:ascii="Arial" w:hAnsi="Arial" w:cs="Arial"/>
                <w:color w:val="auto"/>
                <w:sz w:val="20"/>
                <w:szCs w:val="20"/>
                <w:lang w:val="en-GB"/>
              </w:rPr>
            </w:pPr>
            <w:r w:rsidRPr="00F7050E">
              <w:rPr>
                <w:rFonts w:ascii="Arial" w:hAnsi="Arial" w:cs="Arial"/>
                <w:bCs/>
                <w:color w:val="auto"/>
                <w:sz w:val="20"/>
                <w:szCs w:val="20"/>
                <w:lang w:val="en-GB"/>
              </w:rPr>
              <w:t xml:space="preserve">Total current pension expenditure (percentage of GDP) </w:t>
            </w:r>
          </w:p>
          <w:p w14:paraId="5E75164A" w14:textId="77777777" w:rsidR="00D12E11" w:rsidRPr="00F7050E" w:rsidRDefault="00D12E11" w:rsidP="00BC7D1B">
            <w:pPr>
              <w:rPr>
                <w:rFonts w:ascii="Arial" w:hAnsi="Arial" w:cs="Arial"/>
                <w:sz w:val="20"/>
                <w:szCs w:val="20"/>
              </w:rPr>
            </w:pPr>
          </w:p>
          <w:p w14:paraId="4CE4FF35" w14:textId="77777777" w:rsidR="00D12E11" w:rsidRPr="00F7050E" w:rsidRDefault="00D12E11" w:rsidP="00BC7D1B">
            <w:pPr>
              <w:pStyle w:val="Default"/>
              <w:rPr>
                <w:rFonts w:ascii="Arial" w:hAnsi="Arial" w:cs="Arial"/>
                <w:sz w:val="20"/>
                <w:szCs w:val="20"/>
                <w:lang w:val="en-GB"/>
              </w:rPr>
            </w:pPr>
          </w:p>
        </w:tc>
        <w:tc>
          <w:tcPr>
            <w:tcW w:w="1772" w:type="dxa"/>
          </w:tcPr>
          <w:p w14:paraId="081F646E" w14:textId="77777777" w:rsidR="00D12E11" w:rsidRPr="00F7050E" w:rsidRDefault="00D12E11" w:rsidP="00BC7D1B">
            <w:pPr>
              <w:rPr>
                <w:rFonts w:ascii="Arial" w:hAnsi="Arial" w:cs="Arial"/>
                <w:i/>
                <w:sz w:val="20"/>
                <w:szCs w:val="20"/>
                <w:highlight w:val="green"/>
              </w:rPr>
            </w:pPr>
          </w:p>
          <w:p w14:paraId="375C9113" w14:textId="77777777" w:rsidR="00D12E11" w:rsidRPr="00F7050E" w:rsidRDefault="00D12E11" w:rsidP="00BC7D1B">
            <w:pPr>
              <w:rPr>
                <w:rFonts w:ascii="Arial" w:hAnsi="Arial" w:cs="Arial"/>
                <w:i/>
                <w:sz w:val="20"/>
                <w:szCs w:val="20"/>
              </w:rPr>
            </w:pPr>
            <w:r w:rsidRPr="00F7050E">
              <w:rPr>
                <w:rFonts w:ascii="Arial" w:hAnsi="Arial" w:cs="Arial"/>
                <w:i/>
                <w:sz w:val="20"/>
                <w:szCs w:val="20"/>
              </w:rPr>
              <w:t>Sustainable Pensions</w:t>
            </w:r>
          </w:p>
          <w:p w14:paraId="753659D2" w14:textId="77777777" w:rsidR="00D12E11" w:rsidRPr="00F7050E" w:rsidRDefault="00D12E11" w:rsidP="00BC7D1B">
            <w:pPr>
              <w:rPr>
                <w:rFonts w:ascii="Arial" w:hAnsi="Arial" w:cs="Arial"/>
                <w:i/>
                <w:sz w:val="20"/>
                <w:szCs w:val="20"/>
                <w:highlight w:val="green"/>
              </w:rPr>
            </w:pPr>
            <w:r w:rsidRPr="00F7050E">
              <w:rPr>
                <w:rFonts w:ascii="Arial" w:hAnsi="Arial" w:cs="Arial"/>
                <w:i/>
                <w:sz w:val="20"/>
                <w:szCs w:val="20"/>
              </w:rPr>
              <w:t>Primary EU-NAT Indicator</w:t>
            </w:r>
          </w:p>
        </w:tc>
        <w:tc>
          <w:tcPr>
            <w:tcW w:w="2906" w:type="dxa"/>
          </w:tcPr>
          <w:p w14:paraId="4120B7EA"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“Pension expenditure” is the sum of seven different categories of benefits, as defined in the ESSPROS Manual 1996: disability pension, early retirement benefit due to the reduced capacity to work, old age pension, anticipated old age pension, partial pension, survivors' pension and early retirement benefit for labour market reasons. </w:t>
            </w:r>
          </w:p>
        </w:tc>
        <w:tc>
          <w:tcPr>
            <w:tcW w:w="1630" w:type="dxa"/>
          </w:tcPr>
          <w:p w14:paraId="1F3C51C5" w14:textId="77777777" w:rsidR="00D12E11" w:rsidRPr="00F7050E" w:rsidRDefault="00D12E11" w:rsidP="00BC7D1B">
            <w:pPr>
              <w:rPr>
                <w:rFonts w:ascii="Arial" w:hAnsi="Arial" w:cs="Arial"/>
                <w:sz w:val="20"/>
                <w:szCs w:val="20"/>
              </w:rPr>
            </w:pPr>
            <w:r w:rsidRPr="00F7050E">
              <w:rPr>
                <w:rFonts w:ascii="Arial" w:hAnsi="Arial" w:cs="Arial"/>
                <w:sz w:val="20"/>
                <w:szCs w:val="20"/>
              </w:rPr>
              <w:t>By function (types of pensions): disability, old age, survivors' pensions</w:t>
            </w:r>
          </w:p>
          <w:p w14:paraId="6819AA29" w14:textId="77777777" w:rsidR="00D12E11" w:rsidRPr="00F7050E" w:rsidRDefault="00D12E11" w:rsidP="00BC7D1B">
            <w:pPr>
              <w:rPr>
                <w:rFonts w:ascii="Arial" w:hAnsi="Arial" w:cs="Arial"/>
                <w:sz w:val="20"/>
                <w:szCs w:val="20"/>
                <w:highlight w:val="green"/>
              </w:rPr>
            </w:pPr>
          </w:p>
          <w:p w14:paraId="3BA1DE8E" w14:textId="77777777" w:rsidR="00D12E11" w:rsidRPr="00F7050E" w:rsidRDefault="00D12E11" w:rsidP="00BC7D1B">
            <w:pPr>
              <w:rPr>
                <w:rFonts w:ascii="Arial" w:hAnsi="Arial" w:cs="Arial"/>
                <w:sz w:val="20"/>
                <w:szCs w:val="20"/>
              </w:rPr>
            </w:pPr>
          </w:p>
        </w:tc>
        <w:tc>
          <w:tcPr>
            <w:tcW w:w="1772" w:type="dxa"/>
          </w:tcPr>
          <w:p w14:paraId="4BE3CA7F"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EUROSTAT – ESSPROS</w:t>
            </w:r>
          </w:p>
          <w:p w14:paraId="7CDC4CF7" w14:textId="77777777" w:rsidR="00D12E11" w:rsidRPr="00F7050E" w:rsidRDefault="00D12E11" w:rsidP="00BC7D1B">
            <w:pPr>
              <w:pStyle w:val="Default"/>
              <w:rPr>
                <w:rFonts w:ascii="Arial" w:hAnsi="Arial" w:cs="Arial"/>
                <w:sz w:val="20"/>
                <w:szCs w:val="20"/>
                <w:lang w:val="en-GB"/>
              </w:rPr>
            </w:pPr>
          </w:p>
          <w:p w14:paraId="2A818FFA"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PDIF Financial Report</w:t>
            </w:r>
          </w:p>
          <w:p w14:paraId="477D2131" w14:textId="77777777" w:rsidR="00D12E11" w:rsidRPr="00F7050E" w:rsidRDefault="00D12E11" w:rsidP="00BC7D1B">
            <w:pPr>
              <w:rPr>
                <w:rFonts w:ascii="Arial" w:hAnsi="Arial" w:cs="Arial"/>
                <w:sz w:val="20"/>
                <w:szCs w:val="20"/>
              </w:rPr>
            </w:pPr>
          </w:p>
        </w:tc>
        <w:tc>
          <w:tcPr>
            <w:tcW w:w="3009" w:type="dxa"/>
          </w:tcPr>
          <w:p w14:paraId="266F378F" w14:textId="77777777" w:rsidR="00D12E11" w:rsidRPr="00F7050E" w:rsidRDefault="00D12E11" w:rsidP="00BC7D1B">
            <w:pPr>
              <w:rPr>
                <w:rFonts w:ascii="Arial" w:hAnsi="Arial" w:cs="Arial"/>
                <w:i/>
                <w:sz w:val="20"/>
                <w:szCs w:val="20"/>
              </w:rPr>
            </w:pPr>
            <w:r w:rsidRPr="00F7050E">
              <w:rPr>
                <w:rFonts w:ascii="Arial" w:hAnsi="Arial" w:cs="Arial"/>
                <w:sz w:val="20"/>
                <w:szCs w:val="20"/>
              </w:rPr>
              <w:t xml:space="preserve">EUROSTAT </w:t>
            </w:r>
            <w:r w:rsidRPr="00F7050E">
              <w:rPr>
                <w:rFonts w:ascii="Arial" w:hAnsi="Arial" w:cs="Arial"/>
                <w:i/>
                <w:sz w:val="20"/>
                <w:szCs w:val="20"/>
              </w:rPr>
              <w:t xml:space="preserve">(data available for  2010- 2013) and </w:t>
            </w:r>
            <w:r w:rsidRPr="00F7050E">
              <w:rPr>
                <w:rFonts w:ascii="Arial" w:hAnsi="Arial" w:cs="Arial"/>
                <w:sz w:val="20"/>
                <w:szCs w:val="20"/>
              </w:rPr>
              <w:t>PDIF</w:t>
            </w:r>
            <w:r w:rsidRPr="00F7050E">
              <w:rPr>
                <w:rFonts w:ascii="Arial" w:hAnsi="Arial" w:cs="Arial"/>
                <w:i/>
                <w:sz w:val="20"/>
                <w:szCs w:val="20"/>
              </w:rPr>
              <w:t xml:space="preserve"> Financial Reports as the primary source </w:t>
            </w:r>
          </w:p>
          <w:p w14:paraId="13B32BDD" w14:textId="77777777" w:rsidR="00D12E11" w:rsidRPr="00F7050E" w:rsidRDefault="00D12E11" w:rsidP="00BC7D1B">
            <w:pPr>
              <w:rPr>
                <w:rFonts w:ascii="Arial" w:hAnsi="Arial" w:cs="Arial"/>
                <w:sz w:val="20"/>
                <w:szCs w:val="20"/>
              </w:rPr>
            </w:pPr>
          </w:p>
          <w:p w14:paraId="5BA678A1" w14:textId="77777777" w:rsidR="00D12E11" w:rsidRPr="00F7050E" w:rsidRDefault="00D12E11" w:rsidP="00BC7D1B">
            <w:pPr>
              <w:rPr>
                <w:rFonts w:ascii="Arial" w:hAnsi="Arial" w:cs="Arial"/>
                <w:sz w:val="20"/>
                <w:szCs w:val="20"/>
              </w:rPr>
            </w:pPr>
            <w:r w:rsidRPr="00F7050E">
              <w:rPr>
                <w:rFonts w:ascii="Arial" w:hAnsi="Arial" w:cs="Arial"/>
                <w:sz w:val="20"/>
                <w:szCs w:val="20"/>
              </w:rPr>
              <w:t>Another variant: pension expenditure according to OECD methodology</w:t>
            </w:r>
          </w:p>
        </w:tc>
      </w:tr>
      <w:tr w:rsidR="00D12E11" w:rsidRPr="00F7050E" w14:paraId="5DC82576" w14:textId="77777777" w:rsidTr="00BC7D1B">
        <w:trPr>
          <w:trHeight w:val="454"/>
          <w:jc w:val="center"/>
        </w:trPr>
        <w:tc>
          <w:tcPr>
            <w:tcW w:w="534" w:type="dxa"/>
            <w:vAlign w:val="center"/>
          </w:tcPr>
          <w:p w14:paraId="58217B7F"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lastRenderedPageBreak/>
              <w:t>S</w:t>
            </w:r>
          </w:p>
        </w:tc>
        <w:tc>
          <w:tcPr>
            <w:tcW w:w="2409" w:type="dxa"/>
          </w:tcPr>
          <w:p w14:paraId="178BACB4"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Net pension expenditure as percentage of the total general government spending </w:t>
            </w:r>
          </w:p>
        </w:tc>
        <w:tc>
          <w:tcPr>
            <w:tcW w:w="1772" w:type="dxa"/>
          </w:tcPr>
          <w:p w14:paraId="646D28A4"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 (OECD)</w:t>
            </w:r>
          </w:p>
        </w:tc>
        <w:tc>
          <w:tcPr>
            <w:tcW w:w="2906" w:type="dxa"/>
          </w:tcPr>
          <w:p w14:paraId="4ABCFEB5" w14:textId="77777777" w:rsidR="00D12E11" w:rsidRPr="00F7050E" w:rsidRDefault="00D12E11" w:rsidP="00BC7D1B">
            <w:pPr>
              <w:rPr>
                <w:rFonts w:ascii="Arial" w:hAnsi="Arial" w:cs="Arial"/>
                <w:sz w:val="20"/>
                <w:szCs w:val="20"/>
              </w:rPr>
            </w:pPr>
            <w:r w:rsidRPr="00F7050E">
              <w:rPr>
                <w:rFonts w:ascii="Arial" w:hAnsi="Arial" w:cs="Arial"/>
                <w:sz w:val="20"/>
                <w:szCs w:val="20"/>
              </w:rPr>
              <w:t>Net pension expenditure as percentage of the general government expenditure</w:t>
            </w:r>
          </w:p>
        </w:tc>
        <w:tc>
          <w:tcPr>
            <w:tcW w:w="1630" w:type="dxa"/>
          </w:tcPr>
          <w:p w14:paraId="4F844B82" w14:textId="77777777" w:rsidR="00D12E11" w:rsidRPr="00F7050E" w:rsidRDefault="00D12E11" w:rsidP="00BC7D1B">
            <w:pPr>
              <w:rPr>
                <w:rFonts w:ascii="Arial" w:hAnsi="Arial" w:cs="Arial"/>
                <w:sz w:val="20"/>
                <w:szCs w:val="20"/>
              </w:rPr>
            </w:pPr>
          </w:p>
        </w:tc>
        <w:tc>
          <w:tcPr>
            <w:tcW w:w="1772" w:type="dxa"/>
          </w:tcPr>
          <w:p w14:paraId="21518754" w14:textId="77777777" w:rsidR="00D12E11" w:rsidRPr="00F7050E" w:rsidRDefault="00D12E11" w:rsidP="00BC7D1B">
            <w:pPr>
              <w:rPr>
                <w:rFonts w:ascii="Arial" w:hAnsi="Arial" w:cs="Arial"/>
                <w:sz w:val="20"/>
                <w:szCs w:val="20"/>
              </w:rPr>
            </w:pPr>
            <w:r w:rsidRPr="00F7050E">
              <w:rPr>
                <w:rFonts w:ascii="Arial" w:hAnsi="Arial" w:cs="Arial"/>
                <w:sz w:val="20"/>
                <w:szCs w:val="20"/>
              </w:rPr>
              <w:t>PDIF Financial Report, Ministry of Finance</w:t>
            </w:r>
          </w:p>
        </w:tc>
        <w:tc>
          <w:tcPr>
            <w:tcW w:w="3009" w:type="dxa"/>
          </w:tcPr>
          <w:p w14:paraId="4FC177D5" w14:textId="77777777" w:rsidR="00D12E11" w:rsidRPr="00F7050E" w:rsidRDefault="00D12E11" w:rsidP="00BC7D1B">
            <w:pPr>
              <w:rPr>
                <w:rFonts w:ascii="Arial" w:hAnsi="Arial" w:cs="Arial"/>
                <w:i/>
                <w:sz w:val="20"/>
                <w:szCs w:val="20"/>
              </w:rPr>
            </w:pPr>
          </w:p>
          <w:p w14:paraId="4C1F09CF" w14:textId="77777777" w:rsidR="00D12E11" w:rsidRPr="00F7050E" w:rsidRDefault="00D12E11" w:rsidP="00BC7D1B">
            <w:pPr>
              <w:rPr>
                <w:rFonts w:ascii="Arial" w:hAnsi="Arial" w:cs="Arial"/>
                <w:i/>
                <w:sz w:val="20"/>
                <w:szCs w:val="20"/>
              </w:rPr>
            </w:pPr>
            <w:r w:rsidRPr="00F7050E">
              <w:rPr>
                <w:rFonts w:ascii="Arial" w:hAnsi="Arial" w:cs="Arial"/>
                <w:i/>
                <w:sz w:val="20"/>
                <w:szCs w:val="20"/>
              </w:rPr>
              <w:t>Additional calculation</w:t>
            </w:r>
          </w:p>
        </w:tc>
      </w:tr>
      <w:tr w:rsidR="00D12E11" w:rsidRPr="00F7050E" w14:paraId="510EC6EB" w14:textId="77777777" w:rsidTr="00BC7D1B">
        <w:trPr>
          <w:trHeight w:val="454"/>
          <w:jc w:val="center"/>
        </w:trPr>
        <w:tc>
          <w:tcPr>
            <w:tcW w:w="534" w:type="dxa"/>
            <w:vAlign w:val="center"/>
          </w:tcPr>
          <w:p w14:paraId="625202D8"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tcPr>
          <w:p w14:paraId="7F4416A5" w14:textId="77777777" w:rsidR="00D12E11" w:rsidRPr="00F7050E" w:rsidRDefault="00D12E11" w:rsidP="00BC7D1B">
            <w:pPr>
              <w:rPr>
                <w:rFonts w:ascii="Arial" w:hAnsi="Arial" w:cs="Arial"/>
                <w:sz w:val="20"/>
                <w:szCs w:val="20"/>
              </w:rPr>
            </w:pPr>
          </w:p>
          <w:p w14:paraId="7225B3A5" w14:textId="77777777" w:rsidR="00D12E11" w:rsidRPr="00F7050E" w:rsidRDefault="00D12E11" w:rsidP="00BC7D1B">
            <w:pPr>
              <w:rPr>
                <w:rFonts w:ascii="Arial" w:hAnsi="Arial" w:cs="Arial"/>
                <w:sz w:val="20"/>
                <w:szCs w:val="20"/>
              </w:rPr>
            </w:pPr>
            <w:r w:rsidRPr="00F7050E">
              <w:rPr>
                <w:rFonts w:ascii="Arial" w:hAnsi="Arial" w:cs="Arial"/>
                <w:sz w:val="20"/>
                <w:szCs w:val="20"/>
              </w:rPr>
              <w:t>Pension system (employee/self-employed) dependency ratio</w:t>
            </w:r>
          </w:p>
        </w:tc>
        <w:tc>
          <w:tcPr>
            <w:tcW w:w="1772" w:type="dxa"/>
          </w:tcPr>
          <w:p w14:paraId="2B69BCF3" w14:textId="77777777" w:rsidR="00D12E11" w:rsidRPr="00F7050E" w:rsidRDefault="00D12E11" w:rsidP="00BC7D1B">
            <w:pPr>
              <w:rPr>
                <w:rFonts w:ascii="Arial" w:hAnsi="Arial" w:cs="Arial"/>
                <w:sz w:val="20"/>
                <w:szCs w:val="20"/>
              </w:rPr>
            </w:pPr>
          </w:p>
          <w:p w14:paraId="1282816F"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tc>
        <w:tc>
          <w:tcPr>
            <w:tcW w:w="2906" w:type="dxa"/>
          </w:tcPr>
          <w:p w14:paraId="33AC39EB" w14:textId="77777777" w:rsidR="00D12E11" w:rsidRPr="00F7050E" w:rsidRDefault="00D12E11" w:rsidP="00BC7D1B">
            <w:pPr>
              <w:rPr>
                <w:rFonts w:ascii="Arial" w:hAnsi="Arial" w:cs="Arial"/>
                <w:sz w:val="20"/>
                <w:szCs w:val="20"/>
              </w:rPr>
            </w:pPr>
            <w:r w:rsidRPr="00F7050E">
              <w:rPr>
                <w:rFonts w:ascii="Arial" w:hAnsi="Arial" w:cs="Arial"/>
                <w:sz w:val="20"/>
                <w:szCs w:val="20"/>
              </w:rPr>
              <w:t>Number of pensioners (coverage of the employees and the self-employed) relative to the number of the employees and the self-employed. People working on service contracts, members of the Ministry of the Interior and servicemen of the Armed Forces are to be included into the number of the employees and the self-employed</w:t>
            </w:r>
          </w:p>
        </w:tc>
        <w:tc>
          <w:tcPr>
            <w:tcW w:w="1630" w:type="dxa"/>
          </w:tcPr>
          <w:p w14:paraId="7136C7DB" w14:textId="77777777" w:rsidR="00D12E11" w:rsidRPr="00F7050E" w:rsidRDefault="00D12E11" w:rsidP="00BC7D1B">
            <w:pPr>
              <w:rPr>
                <w:rFonts w:ascii="Arial" w:hAnsi="Arial" w:cs="Arial"/>
                <w:sz w:val="20"/>
                <w:szCs w:val="20"/>
              </w:rPr>
            </w:pPr>
          </w:p>
        </w:tc>
        <w:tc>
          <w:tcPr>
            <w:tcW w:w="1772" w:type="dxa"/>
          </w:tcPr>
          <w:p w14:paraId="5D9E1471"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PDIF, </w:t>
            </w:r>
          </w:p>
          <w:p w14:paraId="148324DF" w14:textId="77777777" w:rsidR="00D12E11" w:rsidRPr="00F7050E" w:rsidRDefault="00D12E11" w:rsidP="00BC7D1B">
            <w:pPr>
              <w:rPr>
                <w:rFonts w:ascii="Arial" w:hAnsi="Arial" w:cs="Arial"/>
                <w:sz w:val="20"/>
                <w:szCs w:val="20"/>
              </w:rPr>
            </w:pPr>
            <w:r w:rsidRPr="00F7050E">
              <w:rPr>
                <w:rFonts w:ascii="Arial" w:hAnsi="Arial" w:cs="Arial"/>
                <w:sz w:val="20"/>
                <w:szCs w:val="20"/>
              </w:rPr>
              <w:t>SORS /</w:t>
            </w:r>
            <w:r w:rsidRPr="00F7050E">
              <w:rPr>
                <w:rFonts w:ascii="Arial" w:hAnsi="Arial" w:cs="Arial"/>
                <w:color w:val="666666"/>
                <w:sz w:val="20"/>
                <w:szCs w:val="20"/>
              </w:rPr>
              <w:t xml:space="preserve"> </w:t>
            </w:r>
            <w:r w:rsidRPr="00F7050E">
              <w:rPr>
                <w:rStyle w:val="Strong"/>
                <w:rFonts w:ascii="Arial" w:hAnsi="Arial" w:cs="Arial"/>
                <w:sz w:val="20"/>
                <w:szCs w:val="20"/>
              </w:rPr>
              <w:t>Central Registry for Compulsory Social Insurance</w:t>
            </w:r>
          </w:p>
        </w:tc>
        <w:tc>
          <w:tcPr>
            <w:tcW w:w="3009" w:type="dxa"/>
          </w:tcPr>
          <w:p w14:paraId="062A2F1F" w14:textId="77777777" w:rsidR="00D12E11" w:rsidRPr="00F7050E" w:rsidRDefault="00D12E11" w:rsidP="00BC7D1B">
            <w:pPr>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additional calculation</w:t>
            </w:r>
          </w:p>
          <w:p w14:paraId="1B5E5CE7" w14:textId="77777777" w:rsidR="00D12E11" w:rsidRPr="00F7050E" w:rsidRDefault="00D12E11" w:rsidP="00BC7D1B">
            <w:pPr>
              <w:rPr>
                <w:rFonts w:ascii="Arial" w:hAnsi="Arial" w:cs="Arial"/>
                <w:sz w:val="20"/>
                <w:szCs w:val="20"/>
              </w:rPr>
            </w:pPr>
          </w:p>
          <w:p w14:paraId="0E1EDCF1" w14:textId="77777777" w:rsidR="00D12E11" w:rsidRPr="00F7050E" w:rsidRDefault="00D12E11" w:rsidP="00BC7D1B">
            <w:pPr>
              <w:rPr>
                <w:rFonts w:ascii="Arial" w:hAnsi="Arial" w:cs="Arial"/>
                <w:sz w:val="20"/>
                <w:szCs w:val="20"/>
              </w:rPr>
            </w:pPr>
            <w:r w:rsidRPr="00F7050E">
              <w:rPr>
                <w:rFonts w:ascii="Arial" w:hAnsi="Arial" w:cs="Arial"/>
                <w:sz w:val="20"/>
                <w:szCs w:val="20"/>
              </w:rPr>
              <w:t>A similar indicator is the contextual information for sustainable pensions (the number of pensioners relative to the number of contributors, current and projected up to 2050). Specific assumptions by Ageing Working Group (AWG)</w:t>
            </w:r>
          </w:p>
        </w:tc>
      </w:tr>
      <w:tr w:rsidR="00D12E11" w:rsidRPr="00F7050E" w14:paraId="46710767" w14:textId="77777777" w:rsidTr="00BC7D1B">
        <w:trPr>
          <w:trHeight w:val="454"/>
          <w:jc w:val="center"/>
        </w:trPr>
        <w:tc>
          <w:tcPr>
            <w:tcW w:w="534" w:type="dxa"/>
            <w:vAlign w:val="center"/>
          </w:tcPr>
          <w:p w14:paraId="3EF1F625"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tc>
        <w:tc>
          <w:tcPr>
            <w:tcW w:w="2409" w:type="dxa"/>
          </w:tcPr>
          <w:p w14:paraId="637CBBF0" w14:textId="77777777" w:rsidR="00D12E11" w:rsidRPr="00F7050E" w:rsidRDefault="00D12E11" w:rsidP="00BC7D1B">
            <w:pPr>
              <w:rPr>
                <w:rFonts w:ascii="Arial" w:hAnsi="Arial" w:cs="Arial"/>
                <w:sz w:val="20"/>
                <w:szCs w:val="20"/>
              </w:rPr>
            </w:pPr>
          </w:p>
          <w:p w14:paraId="4342BF81" w14:textId="77777777" w:rsidR="00D12E11" w:rsidRPr="00F7050E" w:rsidRDefault="00D12E11" w:rsidP="00BC7D1B">
            <w:pPr>
              <w:rPr>
                <w:rFonts w:ascii="Arial" w:hAnsi="Arial" w:cs="Arial"/>
                <w:sz w:val="20"/>
                <w:szCs w:val="20"/>
              </w:rPr>
            </w:pPr>
            <w:r w:rsidRPr="00F7050E">
              <w:rPr>
                <w:rFonts w:ascii="Arial" w:hAnsi="Arial" w:cs="Arial"/>
                <w:sz w:val="20"/>
                <w:szCs w:val="20"/>
              </w:rPr>
              <w:t>Pension system (farmers) dependency ratio</w:t>
            </w:r>
          </w:p>
        </w:tc>
        <w:tc>
          <w:tcPr>
            <w:tcW w:w="1772" w:type="dxa"/>
          </w:tcPr>
          <w:p w14:paraId="72B97F1E" w14:textId="77777777" w:rsidR="00D12E11" w:rsidRPr="00F7050E" w:rsidRDefault="00D12E11" w:rsidP="00BC7D1B">
            <w:pPr>
              <w:rPr>
                <w:rFonts w:ascii="Arial" w:hAnsi="Arial" w:cs="Arial"/>
                <w:sz w:val="20"/>
                <w:szCs w:val="20"/>
              </w:rPr>
            </w:pPr>
          </w:p>
          <w:p w14:paraId="514E9822"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4F2F4277"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Number of pensioners (coverage of farmers) relative to the number of active regular contributors (estimates based on the paid contributions and the annual minimum retirement benefit base, as well as on the data obtained from </w:t>
            </w:r>
            <w:r w:rsidRPr="00F7050E">
              <w:rPr>
                <w:rFonts w:ascii="Arial" w:hAnsi="Arial" w:cs="Arial"/>
                <w:b/>
                <w:sz w:val="20"/>
                <w:szCs w:val="20"/>
              </w:rPr>
              <w:t xml:space="preserve">CROSO </w:t>
            </w:r>
            <w:r w:rsidRPr="00F7050E">
              <w:rPr>
                <w:rFonts w:ascii="Arial" w:hAnsi="Arial" w:cs="Arial"/>
                <w:sz w:val="20"/>
                <w:szCs w:val="20"/>
              </w:rPr>
              <w:t>(</w:t>
            </w:r>
            <w:r w:rsidRPr="00F7050E">
              <w:rPr>
                <w:rStyle w:val="Emphasis"/>
                <w:rFonts w:ascii="Arial" w:hAnsi="Arial" w:cs="Arial"/>
                <w:bCs/>
                <w:sz w:val="20"/>
                <w:szCs w:val="20"/>
                <w:shd w:val="clear" w:color="auto" w:fill="FFFFFF"/>
              </w:rPr>
              <w:t>Central Registry</w:t>
            </w:r>
            <w:r w:rsidRPr="00F7050E">
              <w:rPr>
                <w:rFonts w:ascii="Arial" w:hAnsi="Arial" w:cs="Arial"/>
                <w:sz w:val="20"/>
                <w:szCs w:val="20"/>
                <w:shd w:val="clear" w:color="auto" w:fill="FFFFFF"/>
              </w:rPr>
              <w:t> of Compulsory </w:t>
            </w:r>
            <w:r w:rsidRPr="00F7050E">
              <w:rPr>
                <w:rStyle w:val="Emphasis"/>
                <w:rFonts w:ascii="Arial" w:hAnsi="Arial" w:cs="Arial"/>
                <w:bCs/>
                <w:sz w:val="20"/>
                <w:szCs w:val="20"/>
                <w:shd w:val="clear" w:color="auto" w:fill="FFFFFF"/>
              </w:rPr>
              <w:t>Social Insurance</w:t>
            </w:r>
            <w:r w:rsidRPr="00F7050E">
              <w:rPr>
                <w:rFonts w:ascii="Arial" w:hAnsi="Arial" w:cs="Arial"/>
                <w:sz w:val="20"/>
                <w:szCs w:val="20"/>
              </w:rPr>
              <w:t xml:space="preserve">) </w:t>
            </w:r>
          </w:p>
        </w:tc>
        <w:tc>
          <w:tcPr>
            <w:tcW w:w="1630" w:type="dxa"/>
          </w:tcPr>
          <w:p w14:paraId="6315C192" w14:textId="77777777" w:rsidR="00D12E11" w:rsidRPr="00F7050E" w:rsidRDefault="00D12E11" w:rsidP="00BC7D1B">
            <w:pPr>
              <w:rPr>
                <w:rFonts w:ascii="Arial" w:hAnsi="Arial" w:cs="Arial"/>
                <w:sz w:val="20"/>
                <w:szCs w:val="20"/>
              </w:rPr>
            </w:pPr>
          </w:p>
        </w:tc>
        <w:tc>
          <w:tcPr>
            <w:tcW w:w="1772" w:type="dxa"/>
          </w:tcPr>
          <w:p w14:paraId="54AFDEEC"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p>
          <w:p w14:paraId="7A07D840" w14:textId="77777777" w:rsidR="00D12E11" w:rsidRPr="00F7050E" w:rsidRDefault="00D12E11" w:rsidP="00BC7D1B">
            <w:pPr>
              <w:rPr>
                <w:rFonts w:ascii="Arial" w:hAnsi="Arial" w:cs="Arial"/>
                <w:sz w:val="20"/>
                <w:szCs w:val="20"/>
                <w:highlight w:val="yellow"/>
              </w:rPr>
            </w:pPr>
          </w:p>
          <w:p w14:paraId="1A000B42" w14:textId="77777777" w:rsidR="00D12E11" w:rsidRPr="00F7050E" w:rsidRDefault="00D12E11" w:rsidP="00BC7D1B">
            <w:pPr>
              <w:rPr>
                <w:rFonts w:ascii="Arial" w:hAnsi="Arial" w:cs="Arial"/>
                <w:b/>
                <w:sz w:val="20"/>
                <w:szCs w:val="20"/>
              </w:rPr>
            </w:pPr>
            <w:r w:rsidRPr="00F7050E">
              <w:rPr>
                <w:rStyle w:val="Strong"/>
                <w:rFonts w:ascii="Arial" w:hAnsi="Arial" w:cs="Arial"/>
                <w:sz w:val="20"/>
                <w:szCs w:val="20"/>
              </w:rPr>
              <w:t>Central Registry for Compulsory Social Insurance</w:t>
            </w:r>
          </w:p>
        </w:tc>
        <w:tc>
          <w:tcPr>
            <w:tcW w:w="3009" w:type="dxa"/>
          </w:tcPr>
          <w:p w14:paraId="0EBCAE22" w14:textId="77777777" w:rsidR="00D12E11" w:rsidRPr="00F7050E" w:rsidRDefault="00D12E11" w:rsidP="00BC7D1B">
            <w:pPr>
              <w:rPr>
                <w:rFonts w:ascii="Arial" w:hAnsi="Arial" w:cs="Arial"/>
                <w:i/>
                <w:sz w:val="20"/>
                <w:szCs w:val="20"/>
              </w:rPr>
            </w:pPr>
            <w:r w:rsidRPr="00F7050E">
              <w:rPr>
                <w:rFonts w:ascii="Arial" w:hAnsi="Arial" w:cs="Arial"/>
                <w:sz w:val="20"/>
                <w:szCs w:val="20"/>
              </w:rPr>
              <w:t>PDIF, CROSO</w:t>
            </w:r>
            <w:r w:rsidRPr="00F7050E">
              <w:rPr>
                <w:rFonts w:ascii="Arial" w:hAnsi="Arial" w:cs="Arial"/>
                <w:i/>
                <w:sz w:val="20"/>
                <w:szCs w:val="20"/>
              </w:rPr>
              <w:t>, additional calculation</w:t>
            </w:r>
          </w:p>
          <w:p w14:paraId="777108F1" w14:textId="77777777" w:rsidR="00D12E11" w:rsidRPr="00F7050E" w:rsidRDefault="00D12E11" w:rsidP="00BC7D1B">
            <w:pPr>
              <w:rPr>
                <w:rFonts w:ascii="Arial" w:hAnsi="Arial" w:cs="Arial"/>
                <w:sz w:val="20"/>
                <w:szCs w:val="20"/>
              </w:rPr>
            </w:pPr>
          </w:p>
        </w:tc>
      </w:tr>
      <w:tr w:rsidR="00D12E11" w:rsidRPr="00F7050E" w14:paraId="0951C13C" w14:textId="77777777" w:rsidTr="00BC7D1B">
        <w:trPr>
          <w:jc w:val="center"/>
        </w:trPr>
        <w:tc>
          <w:tcPr>
            <w:tcW w:w="534" w:type="dxa"/>
            <w:vAlign w:val="center"/>
          </w:tcPr>
          <w:p w14:paraId="7935CC03" w14:textId="77777777" w:rsidR="00D12E11" w:rsidRPr="00F7050E" w:rsidRDefault="00D12E11" w:rsidP="00BC7D1B">
            <w:pPr>
              <w:jc w:val="center"/>
              <w:rPr>
                <w:rFonts w:ascii="Arial" w:hAnsi="Arial" w:cs="Arial"/>
                <w:sz w:val="20"/>
                <w:szCs w:val="20"/>
              </w:rPr>
            </w:pPr>
          </w:p>
          <w:p w14:paraId="1FE087E0"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P</w:t>
            </w:r>
          </w:p>
          <w:p w14:paraId="03C96EBA" w14:textId="77777777" w:rsidR="00D12E11" w:rsidRPr="00F7050E" w:rsidRDefault="00D12E11" w:rsidP="00BC7D1B">
            <w:pPr>
              <w:jc w:val="center"/>
              <w:rPr>
                <w:rFonts w:ascii="Arial" w:hAnsi="Arial" w:cs="Arial"/>
                <w:sz w:val="20"/>
                <w:szCs w:val="20"/>
              </w:rPr>
            </w:pPr>
          </w:p>
        </w:tc>
        <w:tc>
          <w:tcPr>
            <w:tcW w:w="2409" w:type="dxa"/>
          </w:tcPr>
          <w:p w14:paraId="61A97A95" w14:textId="77777777" w:rsidR="00D12E11" w:rsidRPr="00F7050E" w:rsidRDefault="00D12E11" w:rsidP="00BC7D1B">
            <w:pPr>
              <w:pStyle w:val="Default"/>
              <w:rPr>
                <w:rFonts w:ascii="Arial" w:hAnsi="Arial" w:cs="Arial"/>
                <w:bCs/>
                <w:sz w:val="20"/>
                <w:szCs w:val="20"/>
                <w:lang w:val="en-GB"/>
              </w:rPr>
            </w:pPr>
          </w:p>
          <w:p w14:paraId="3DD09BFE"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Contributions to PDIF (as percentage of GDP)</w:t>
            </w:r>
          </w:p>
        </w:tc>
        <w:tc>
          <w:tcPr>
            <w:tcW w:w="1772" w:type="dxa"/>
          </w:tcPr>
          <w:p w14:paraId="06FD2E67"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r w:rsidRPr="00F7050E">
              <w:rPr>
                <w:rFonts w:ascii="Arial" w:hAnsi="Arial" w:cs="Arial"/>
                <w:sz w:val="20"/>
                <w:szCs w:val="20"/>
              </w:rPr>
              <w:t xml:space="preserve"> (OECD, WB, EU contextual info)</w:t>
            </w:r>
          </w:p>
        </w:tc>
        <w:tc>
          <w:tcPr>
            <w:tcW w:w="2906" w:type="dxa"/>
          </w:tcPr>
          <w:p w14:paraId="39E9D1B4"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Contributions paid to PDIF as  percentage of GDP (all contributions, including transfers from </w:t>
            </w:r>
            <w:r w:rsidRPr="00F7050E">
              <w:rPr>
                <w:rFonts w:ascii="Arial" w:hAnsi="Arial" w:cs="Arial"/>
                <w:b/>
                <w:sz w:val="20"/>
                <w:szCs w:val="20"/>
              </w:rPr>
              <w:t>NEA</w:t>
            </w:r>
            <w:r w:rsidRPr="00F7050E">
              <w:rPr>
                <w:rFonts w:ascii="Arial" w:hAnsi="Arial" w:cs="Arial"/>
                <w:sz w:val="20"/>
                <w:szCs w:val="20"/>
              </w:rPr>
              <w:t xml:space="preserve"> (National Employment Agency)and </w:t>
            </w:r>
            <w:r w:rsidRPr="00F7050E">
              <w:rPr>
                <w:rFonts w:ascii="Arial" w:hAnsi="Arial" w:cs="Arial"/>
                <w:b/>
                <w:sz w:val="20"/>
                <w:szCs w:val="20"/>
              </w:rPr>
              <w:t>NHIF</w:t>
            </w:r>
            <w:r w:rsidRPr="00F7050E">
              <w:rPr>
                <w:rFonts w:ascii="Arial" w:hAnsi="Arial" w:cs="Arial"/>
                <w:sz w:val="20"/>
                <w:szCs w:val="20"/>
              </w:rPr>
              <w:t xml:space="preserve"> (National Health Insurance Fund) </w:t>
            </w:r>
          </w:p>
        </w:tc>
        <w:tc>
          <w:tcPr>
            <w:tcW w:w="1630" w:type="dxa"/>
          </w:tcPr>
          <w:p w14:paraId="5A1EA747" w14:textId="77777777" w:rsidR="00D12E11" w:rsidRPr="00F7050E" w:rsidRDefault="00D12E11" w:rsidP="00BC7D1B">
            <w:pPr>
              <w:rPr>
                <w:rFonts w:ascii="Arial" w:hAnsi="Arial" w:cs="Arial"/>
                <w:sz w:val="20"/>
                <w:szCs w:val="20"/>
              </w:rPr>
            </w:pPr>
          </w:p>
        </w:tc>
        <w:tc>
          <w:tcPr>
            <w:tcW w:w="1772" w:type="dxa"/>
          </w:tcPr>
          <w:p w14:paraId="6504342B" w14:textId="77777777" w:rsidR="00D12E11" w:rsidRPr="00F7050E" w:rsidRDefault="00D12E11" w:rsidP="00BC7D1B">
            <w:pPr>
              <w:rPr>
                <w:rFonts w:ascii="Arial" w:hAnsi="Arial" w:cs="Arial"/>
                <w:sz w:val="20"/>
                <w:szCs w:val="20"/>
              </w:rPr>
            </w:pPr>
            <w:r w:rsidRPr="00F7050E">
              <w:rPr>
                <w:rFonts w:ascii="Arial" w:hAnsi="Arial" w:cs="Arial"/>
                <w:sz w:val="20"/>
                <w:szCs w:val="20"/>
              </w:rPr>
              <w:t>PDIF, Ministry of Finance, SORS</w:t>
            </w:r>
          </w:p>
        </w:tc>
        <w:tc>
          <w:tcPr>
            <w:tcW w:w="3009" w:type="dxa"/>
          </w:tcPr>
          <w:p w14:paraId="6D524C9B" w14:textId="77777777" w:rsidR="00D12E11" w:rsidRPr="00F7050E" w:rsidRDefault="00D12E11" w:rsidP="00BC7D1B">
            <w:pPr>
              <w:rPr>
                <w:rFonts w:ascii="Arial" w:hAnsi="Arial" w:cs="Arial"/>
                <w:i/>
                <w:sz w:val="20"/>
                <w:szCs w:val="20"/>
              </w:rPr>
            </w:pPr>
            <w:r w:rsidRPr="00F7050E">
              <w:rPr>
                <w:rFonts w:ascii="Arial" w:hAnsi="Arial" w:cs="Arial"/>
                <w:i/>
                <w:sz w:val="20"/>
                <w:szCs w:val="20"/>
              </w:rPr>
              <w:t>Calculation needed</w:t>
            </w:r>
          </w:p>
        </w:tc>
      </w:tr>
      <w:tr w:rsidR="00D12E11" w:rsidRPr="00F7050E" w14:paraId="484E8030" w14:textId="77777777" w:rsidTr="00BC7D1B">
        <w:trPr>
          <w:trHeight w:val="454"/>
          <w:jc w:val="center"/>
        </w:trPr>
        <w:tc>
          <w:tcPr>
            <w:tcW w:w="534" w:type="dxa"/>
            <w:tcBorders>
              <w:bottom w:val="single" w:sz="4" w:space="0" w:color="000000"/>
            </w:tcBorders>
            <w:vAlign w:val="center"/>
          </w:tcPr>
          <w:p w14:paraId="206ED611"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Borders>
              <w:bottom w:val="single" w:sz="4" w:space="0" w:color="000000"/>
            </w:tcBorders>
          </w:tcPr>
          <w:p w14:paraId="571717A7" w14:textId="77777777" w:rsidR="00D12E11" w:rsidRPr="00F7050E" w:rsidRDefault="00D12E11" w:rsidP="00BC7D1B">
            <w:pPr>
              <w:pStyle w:val="Default"/>
              <w:rPr>
                <w:rFonts w:ascii="Arial" w:hAnsi="Arial" w:cs="Arial"/>
                <w:bCs/>
                <w:sz w:val="20"/>
                <w:szCs w:val="20"/>
                <w:lang w:val="en-GB"/>
              </w:rPr>
            </w:pPr>
          </w:p>
          <w:p w14:paraId="2BF33477"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Effective contribution rate</w:t>
            </w:r>
          </w:p>
        </w:tc>
        <w:tc>
          <w:tcPr>
            <w:tcW w:w="1772" w:type="dxa"/>
            <w:tcBorders>
              <w:bottom w:val="single" w:sz="4" w:space="0" w:color="000000"/>
            </w:tcBorders>
          </w:tcPr>
          <w:p w14:paraId="2C30880E" w14:textId="77777777" w:rsidR="00D12E11" w:rsidRPr="00F7050E" w:rsidRDefault="00D12E11" w:rsidP="00BC7D1B">
            <w:pPr>
              <w:framePr w:hSpace="180" w:wrap="around" w:vAnchor="page" w:hAnchor="margin" w:x="-459" w:y="615"/>
              <w:rPr>
                <w:rFonts w:ascii="Arial" w:hAnsi="Arial" w:cs="Arial"/>
                <w:i/>
                <w:sz w:val="20"/>
                <w:szCs w:val="20"/>
              </w:rPr>
            </w:pPr>
            <w:r w:rsidRPr="00F7050E">
              <w:rPr>
                <w:rFonts w:ascii="Arial" w:hAnsi="Arial" w:cs="Arial"/>
                <w:i/>
                <w:sz w:val="20"/>
                <w:szCs w:val="20"/>
              </w:rPr>
              <w:t>Country-specific</w:t>
            </w:r>
          </w:p>
          <w:p w14:paraId="5CE05E38" w14:textId="77777777" w:rsidR="00D12E11" w:rsidRPr="00F7050E" w:rsidRDefault="00D12E11" w:rsidP="00BC7D1B">
            <w:pPr>
              <w:framePr w:hSpace="180" w:wrap="around" w:vAnchor="page" w:hAnchor="margin" w:x="-459" w:y="615"/>
              <w:rPr>
                <w:rFonts w:ascii="Arial" w:hAnsi="Arial" w:cs="Arial"/>
                <w:i/>
                <w:sz w:val="20"/>
                <w:szCs w:val="20"/>
              </w:rPr>
            </w:pPr>
          </w:p>
          <w:p w14:paraId="268B8215" w14:textId="77777777" w:rsidR="00D12E11" w:rsidRPr="00F7050E" w:rsidRDefault="00D12E11" w:rsidP="00BC7D1B">
            <w:pPr>
              <w:framePr w:hSpace="180" w:wrap="around" w:vAnchor="page" w:hAnchor="margin" w:x="-459" w:y="615"/>
              <w:rPr>
                <w:rFonts w:ascii="Arial" w:hAnsi="Arial" w:cs="Arial"/>
                <w:i/>
                <w:sz w:val="20"/>
                <w:szCs w:val="20"/>
              </w:rPr>
            </w:pPr>
            <w:r w:rsidRPr="00F7050E">
              <w:rPr>
                <w:rFonts w:ascii="Arial" w:hAnsi="Arial" w:cs="Arial"/>
                <w:i/>
                <w:sz w:val="20"/>
                <w:szCs w:val="20"/>
              </w:rPr>
              <w:t>(Disney, 2004; Stanić, 2012)</w:t>
            </w:r>
          </w:p>
        </w:tc>
        <w:tc>
          <w:tcPr>
            <w:tcW w:w="2906" w:type="dxa"/>
            <w:tcBorders>
              <w:bottom w:val="single" w:sz="4" w:space="0" w:color="000000"/>
            </w:tcBorders>
          </w:tcPr>
          <w:p w14:paraId="510A1D25"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Total expenditure for the net pensions relative to the aggregate indicator of the total compensation for the employees, which consists of </w:t>
            </w:r>
            <w:r w:rsidRPr="00F7050E">
              <w:rPr>
                <w:rFonts w:ascii="Arial" w:hAnsi="Arial" w:cs="Arial"/>
                <w:sz w:val="20"/>
                <w:szCs w:val="20"/>
                <w:lang w:val="en-GB"/>
              </w:rPr>
              <w:lastRenderedPageBreak/>
              <w:t>the gross earnings of all employed citizens in the Republic of Serbia and the contributions paid by the employers</w:t>
            </w:r>
          </w:p>
        </w:tc>
        <w:tc>
          <w:tcPr>
            <w:tcW w:w="1630" w:type="dxa"/>
            <w:tcBorders>
              <w:bottom w:val="single" w:sz="4" w:space="0" w:color="000000"/>
            </w:tcBorders>
          </w:tcPr>
          <w:p w14:paraId="0C0CF327" w14:textId="77777777" w:rsidR="00D12E11" w:rsidRPr="00F7050E" w:rsidRDefault="00D12E11" w:rsidP="00BC7D1B">
            <w:pPr>
              <w:pStyle w:val="Default"/>
              <w:rPr>
                <w:rFonts w:ascii="Arial" w:hAnsi="Arial" w:cs="Arial"/>
                <w:sz w:val="20"/>
                <w:szCs w:val="20"/>
                <w:lang w:val="en-GB"/>
              </w:rPr>
            </w:pPr>
          </w:p>
        </w:tc>
        <w:tc>
          <w:tcPr>
            <w:tcW w:w="1772" w:type="dxa"/>
            <w:tcBorders>
              <w:bottom w:val="single" w:sz="4" w:space="0" w:color="000000"/>
            </w:tcBorders>
          </w:tcPr>
          <w:p w14:paraId="67D8E96B"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PDIF for expenditure,  </w:t>
            </w:r>
            <w:r w:rsidRPr="00F7050E">
              <w:rPr>
                <w:rStyle w:val="Strong"/>
                <w:rFonts w:ascii="Arial" w:hAnsi="Arial" w:cs="Arial"/>
                <w:sz w:val="20"/>
                <w:szCs w:val="20"/>
              </w:rPr>
              <w:t xml:space="preserve">Central Registry for Compulsory Social </w:t>
            </w:r>
            <w:r w:rsidRPr="00F7050E">
              <w:rPr>
                <w:rStyle w:val="Strong"/>
                <w:rFonts w:ascii="Arial" w:hAnsi="Arial" w:cs="Arial"/>
                <w:sz w:val="20"/>
                <w:szCs w:val="20"/>
              </w:rPr>
              <w:lastRenderedPageBreak/>
              <w:t xml:space="preserve">Insurance </w:t>
            </w:r>
            <w:r w:rsidRPr="00F7050E">
              <w:rPr>
                <w:rFonts w:ascii="Arial" w:hAnsi="Arial" w:cs="Arial"/>
                <w:sz w:val="20"/>
                <w:szCs w:val="20"/>
              </w:rPr>
              <w:t xml:space="preserve">for the total compensation for the employed </w:t>
            </w:r>
          </w:p>
        </w:tc>
        <w:tc>
          <w:tcPr>
            <w:tcW w:w="3009" w:type="dxa"/>
            <w:tcBorders>
              <w:bottom w:val="single" w:sz="4" w:space="0" w:color="000000"/>
            </w:tcBorders>
          </w:tcPr>
          <w:p w14:paraId="077FAE4D" w14:textId="77777777" w:rsidR="00D12E11" w:rsidRPr="00F7050E" w:rsidRDefault="00D12E11" w:rsidP="00BC7D1B">
            <w:pPr>
              <w:rPr>
                <w:rFonts w:ascii="Arial" w:hAnsi="Arial" w:cs="Arial"/>
                <w:i/>
                <w:sz w:val="20"/>
                <w:szCs w:val="20"/>
              </w:rPr>
            </w:pPr>
            <w:r w:rsidRPr="00F7050E">
              <w:rPr>
                <w:rFonts w:ascii="Arial" w:hAnsi="Arial" w:cs="Arial"/>
                <w:i/>
                <w:sz w:val="20"/>
                <w:szCs w:val="20"/>
              </w:rPr>
              <w:lastRenderedPageBreak/>
              <w:t>Calculation needed</w:t>
            </w:r>
          </w:p>
        </w:tc>
      </w:tr>
      <w:tr w:rsidR="00D12E11" w:rsidRPr="00F7050E" w14:paraId="081FC4BA" w14:textId="77777777" w:rsidTr="00BC7D1B">
        <w:trPr>
          <w:trHeight w:val="454"/>
          <w:jc w:val="center"/>
        </w:trPr>
        <w:tc>
          <w:tcPr>
            <w:tcW w:w="534" w:type="dxa"/>
            <w:vAlign w:val="center"/>
          </w:tcPr>
          <w:p w14:paraId="06987E78"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23386A95"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Budget subsidies to PIO fund (percentage of net expenditure on pensions) </w:t>
            </w:r>
          </w:p>
        </w:tc>
        <w:tc>
          <w:tcPr>
            <w:tcW w:w="1772" w:type="dxa"/>
          </w:tcPr>
          <w:p w14:paraId="465D9751"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0F82D951" w14:textId="77777777" w:rsidR="00D12E11" w:rsidRPr="00F7050E" w:rsidRDefault="00D12E11" w:rsidP="00BC7D1B">
            <w:pPr>
              <w:rPr>
                <w:rFonts w:ascii="Arial" w:hAnsi="Arial" w:cs="Arial"/>
                <w:sz w:val="20"/>
                <w:szCs w:val="20"/>
              </w:rPr>
            </w:pPr>
            <w:r w:rsidRPr="00F7050E">
              <w:rPr>
                <w:rFonts w:ascii="Arial" w:hAnsi="Arial" w:cs="Arial"/>
                <w:sz w:val="20"/>
                <w:szCs w:val="20"/>
              </w:rPr>
              <w:t>Total transfers (for the entitlements/rights accrued/realised in accordance with special regulations+transfers for the coverage of the difference from the lowest pension (amount of pension))/net pension expenditure)x100</w:t>
            </w:r>
          </w:p>
        </w:tc>
        <w:tc>
          <w:tcPr>
            <w:tcW w:w="1630" w:type="dxa"/>
          </w:tcPr>
          <w:p w14:paraId="29D7B891" w14:textId="77777777" w:rsidR="00D12E11" w:rsidRPr="00F7050E" w:rsidRDefault="00D12E11" w:rsidP="00BC7D1B">
            <w:pPr>
              <w:rPr>
                <w:rFonts w:ascii="Arial" w:hAnsi="Arial" w:cs="Arial"/>
                <w:sz w:val="20"/>
                <w:szCs w:val="20"/>
              </w:rPr>
            </w:pPr>
          </w:p>
        </w:tc>
        <w:tc>
          <w:tcPr>
            <w:tcW w:w="1772" w:type="dxa"/>
          </w:tcPr>
          <w:p w14:paraId="53D058BC" w14:textId="77777777" w:rsidR="00D12E11" w:rsidRPr="00F7050E" w:rsidRDefault="00D12E11" w:rsidP="00BC7D1B">
            <w:pPr>
              <w:rPr>
                <w:rFonts w:ascii="Arial" w:hAnsi="Arial" w:cs="Arial"/>
                <w:sz w:val="20"/>
                <w:szCs w:val="20"/>
                <w:highlight w:val="yellow"/>
              </w:rPr>
            </w:pPr>
            <w:r w:rsidRPr="00F7050E">
              <w:rPr>
                <w:rFonts w:ascii="Arial" w:hAnsi="Arial" w:cs="Arial"/>
                <w:sz w:val="20"/>
                <w:szCs w:val="20"/>
              </w:rPr>
              <w:t>PDIF Financial Report</w:t>
            </w:r>
          </w:p>
        </w:tc>
        <w:tc>
          <w:tcPr>
            <w:tcW w:w="3009" w:type="dxa"/>
          </w:tcPr>
          <w:p w14:paraId="7AE8F7C4" w14:textId="77777777" w:rsidR="00D12E11" w:rsidRPr="00F7050E" w:rsidRDefault="00D12E11" w:rsidP="00BC7D1B">
            <w:pPr>
              <w:spacing w:after="120"/>
              <w:rPr>
                <w:rFonts w:ascii="Arial" w:hAnsi="Arial" w:cs="Arial"/>
                <w:i/>
                <w:sz w:val="20"/>
                <w:szCs w:val="20"/>
              </w:rPr>
            </w:pPr>
            <w:r w:rsidRPr="00F7050E">
              <w:rPr>
                <w:rFonts w:ascii="Arial" w:hAnsi="Arial" w:cs="Arial"/>
                <w:i/>
                <w:sz w:val="20"/>
                <w:szCs w:val="20"/>
              </w:rPr>
              <w:t>Calculation needed</w:t>
            </w:r>
          </w:p>
          <w:p w14:paraId="56760161" w14:textId="77777777" w:rsidR="00D12E11" w:rsidRPr="00F7050E" w:rsidRDefault="00D12E11" w:rsidP="00BC7D1B">
            <w:pPr>
              <w:spacing w:after="120"/>
              <w:rPr>
                <w:rFonts w:ascii="Arial" w:hAnsi="Arial" w:cs="Arial"/>
                <w:i/>
                <w:sz w:val="20"/>
                <w:szCs w:val="20"/>
              </w:rPr>
            </w:pPr>
          </w:p>
        </w:tc>
      </w:tr>
      <w:tr w:rsidR="00D12E11" w:rsidRPr="00F7050E" w14:paraId="361CCCE3" w14:textId="77777777" w:rsidTr="00BC7D1B">
        <w:trPr>
          <w:trHeight w:val="121"/>
          <w:jc w:val="center"/>
        </w:trPr>
        <w:tc>
          <w:tcPr>
            <w:tcW w:w="534" w:type="dxa"/>
            <w:vAlign w:val="center"/>
          </w:tcPr>
          <w:p w14:paraId="45CAC8EB"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0F8AC5CD" w14:textId="77777777" w:rsidR="00D12E11" w:rsidRPr="00F7050E" w:rsidRDefault="00D12E11" w:rsidP="00BC7D1B">
            <w:pPr>
              <w:rPr>
                <w:rFonts w:ascii="Arial" w:hAnsi="Arial" w:cs="Arial"/>
                <w:sz w:val="20"/>
                <w:szCs w:val="20"/>
                <w:highlight w:val="green"/>
              </w:rPr>
            </w:pPr>
          </w:p>
          <w:p w14:paraId="59D30890" w14:textId="77777777" w:rsidR="00D12E11" w:rsidRPr="00F7050E" w:rsidRDefault="00D12E11" w:rsidP="00BC7D1B">
            <w:pPr>
              <w:rPr>
                <w:rFonts w:ascii="Arial" w:hAnsi="Arial" w:cs="Arial"/>
                <w:sz w:val="20"/>
                <w:szCs w:val="20"/>
                <w:highlight w:val="green"/>
              </w:rPr>
            </w:pPr>
          </w:p>
          <w:p w14:paraId="0FFC53E8"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Pension System Deficit (as percentage of GDP)</w:t>
            </w:r>
          </w:p>
        </w:tc>
        <w:tc>
          <w:tcPr>
            <w:tcW w:w="1772" w:type="dxa"/>
          </w:tcPr>
          <w:p w14:paraId="5E2BABB8" w14:textId="77777777" w:rsidR="00D12E11" w:rsidRPr="00F7050E" w:rsidRDefault="00D12E11" w:rsidP="00BC7D1B">
            <w:pPr>
              <w:rPr>
                <w:rFonts w:ascii="Arial" w:hAnsi="Arial" w:cs="Arial"/>
                <w:sz w:val="20"/>
                <w:szCs w:val="20"/>
              </w:rPr>
            </w:pPr>
          </w:p>
          <w:p w14:paraId="4C6793C6"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3C9CFC48" w14:textId="77777777" w:rsidR="00D12E11" w:rsidRPr="00F7050E" w:rsidRDefault="00D12E11" w:rsidP="00BC7D1B">
            <w:pPr>
              <w:rPr>
                <w:rFonts w:ascii="Arial" w:hAnsi="Arial" w:cs="Arial"/>
                <w:sz w:val="20"/>
                <w:szCs w:val="20"/>
              </w:rPr>
            </w:pPr>
            <w:r w:rsidRPr="00F7050E">
              <w:rPr>
                <w:rFonts w:ascii="Arial" w:hAnsi="Arial" w:cs="Arial"/>
                <w:sz w:val="20"/>
                <w:szCs w:val="20"/>
              </w:rPr>
              <w:t>(Contributions+transfers for the entitlements/rights accrued/realised in accordance with special regulations+transfers for the coverage of the difference from the lowest pension (amount of pension)-net pension)/GDP</w:t>
            </w:r>
          </w:p>
        </w:tc>
        <w:tc>
          <w:tcPr>
            <w:tcW w:w="1630" w:type="dxa"/>
          </w:tcPr>
          <w:p w14:paraId="6D871877" w14:textId="77777777" w:rsidR="00D12E11" w:rsidRPr="00F7050E" w:rsidRDefault="00D12E11" w:rsidP="00BC7D1B">
            <w:pPr>
              <w:rPr>
                <w:rFonts w:ascii="Arial" w:hAnsi="Arial" w:cs="Arial"/>
                <w:sz w:val="20"/>
                <w:szCs w:val="20"/>
              </w:rPr>
            </w:pPr>
          </w:p>
        </w:tc>
        <w:tc>
          <w:tcPr>
            <w:tcW w:w="1772" w:type="dxa"/>
          </w:tcPr>
          <w:p w14:paraId="72C283EA" w14:textId="77777777" w:rsidR="00D12E11" w:rsidRPr="00F7050E" w:rsidRDefault="00D12E11" w:rsidP="00BC7D1B">
            <w:pPr>
              <w:rPr>
                <w:rFonts w:ascii="Arial" w:hAnsi="Arial" w:cs="Arial"/>
                <w:sz w:val="20"/>
                <w:szCs w:val="20"/>
                <w:highlight w:val="yellow"/>
              </w:rPr>
            </w:pPr>
            <w:r w:rsidRPr="00F7050E">
              <w:rPr>
                <w:rFonts w:ascii="Arial" w:hAnsi="Arial" w:cs="Arial"/>
                <w:sz w:val="20"/>
                <w:szCs w:val="20"/>
              </w:rPr>
              <w:t>PDIF Financial Report</w:t>
            </w:r>
          </w:p>
        </w:tc>
        <w:tc>
          <w:tcPr>
            <w:tcW w:w="3009" w:type="dxa"/>
          </w:tcPr>
          <w:p w14:paraId="2B4B9D6C" w14:textId="77777777" w:rsidR="00D12E11" w:rsidRPr="00F7050E" w:rsidRDefault="00D12E11" w:rsidP="00BC7D1B">
            <w:pPr>
              <w:rPr>
                <w:rFonts w:ascii="Arial" w:hAnsi="Arial" w:cs="Arial"/>
                <w:i/>
                <w:sz w:val="20"/>
                <w:szCs w:val="20"/>
              </w:rPr>
            </w:pPr>
            <w:r w:rsidRPr="00F7050E">
              <w:rPr>
                <w:rFonts w:ascii="Arial" w:hAnsi="Arial" w:cs="Arial"/>
                <w:i/>
                <w:sz w:val="20"/>
                <w:szCs w:val="20"/>
              </w:rPr>
              <w:t>Calculation needed</w:t>
            </w:r>
          </w:p>
          <w:p w14:paraId="0EE303FD"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Although the deficit is very often used as one of the basic indicators defining a pension system, in Serbia it is not an adequate indicator, especially since the complete budget transfers to the PDIF, which include some other expenditures, are often presented as deficit. Therefore, it is important, when analysing, to look at the deficit of the pension system. </w:t>
            </w:r>
          </w:p>
        </w:tc>
      </w:tr>
      <w:tr w:rsidR="00D12E11" w:rsidRPr="00F7050E" w14:paraId="2598BBC9" w14:textId="77777777" w:rsidTr="00BC7D1B">
        <w:trPr>
          <w:trHeight w:val="454"/>
          <w:jc w:val="center"/>
        </w:trPr>
        <w:tc>
          <w:tcPr>
            <w:tcW w:w="534" w:type="dxa"/>
            <w:vAlign w:val="center"/>
          </w:tcPr>
          <w:p w14:paraId="09ED015A"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645987D9" w14:textId="77777777" w:rsidR="00D12E11" w:rsidRPr="00F7050E" w:rsidRDefault="00D12E11" w:rsidP="00BC7D1B">
            <w:pPr>
              <w:pStyle w:val="Default"/>
              <w:spacing w:before="120"/>
              <w:rPr>
                <w:rFonts w:ascii="Arial" w:hAnsi="Arial" w:cs="Arial"/>
                <w:sz w:val="20"/>
                <w:szCs w:val="20"/>
                <w:lang w:val="en-GB"/>
              </w:rPr>
            </w:pPr>
            <w:r w:rsidRPr="00F7050E">
              <w:rPr>
                <w:rFonts w:ascii="Arial" w:hAnsi="Arial" w:cs="Arial"/>
                <w:sz w:val="20"/>
                <w:szCs w:val="20"/>
                <w:lang w:val="en-GB"/>
              </w:rPr>
              <w:t xml:space="preserve">Per capita expenditure on pensions </w:t>
            </w:r>
          </w:p>
          <w:p w14:paraId="59BD8BD6" w14:textId="77777777" w:rsidR="00D12E11" w:rsidRPr="00F7050E" w:rsidRDefault="00D12E11" w:rsidP="00BC7D1B">
            <w:pPr>
              <w:pStyle w:val="Default"/>
              <w:spacing w:before="120"/>
              <w:rPr>
                <w:rFonts w:ascii="Arial" w:hAnsi="Arial" w:cs="Arial"/>
                <w:sz w:val="20"/>
                <w:szCs w:val="20"/>
                <w:highlight w:val="yellow"/>
                <w:lang w:val="en-GB"/>
              </w:rPr>
            </w:pPr>
            <w:r w:rsidRPr="00F7050E">
              <w:rPr>
                <w:rFonts w:ascii="Arial" w:hAnsi="Arial" w:cs="Arial"/>
                <w:color w:val="auto"/>
                <w:sz w:val="20"/>
                <w:szCs w:val="20"/>
                <w:lang w:val="en-GB"/>
              </w:rPr>
              <w:t>(in PPS - purchasing</w:t>
            </w:r>
            <w:r w:rsidRPr="00F7050E">
              <w:rPr>
                <w:rFonts w:ascii="Arial" w:hAnsi="Arial" w:cs="Arial"/>
                <w:color w:val="auto"/>
                <w:sz w:val="20"/>
                <w:szCs w:val="20"/>
                <w:shd w:val="clear" w:color="auto" w:fill="FFFFFF"/>
              </w:rPr>
              <w:t xml:space="preserve"> power standard)</w:t>
            </w:r>
          </w:p>
        </w:tc>
        <w:tc>
          <w:tcPr>
            <w:tcW w:w="1772" w:type="dxa"/>
          </w:tcPr>
          <w:p w14:paraId="57AA822F"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43511F10" w14:textId="77777777" w:rsidR="00D12E11" w:rsidRPr="00F7050E" w:rsidRDefault="00D12E11" w:rsidP="00BC7D1B">
            <w:pPr>
              <w:rPr>
                <w:rFonts w:ascii="Arial" w:hAnsi="Arial" w:cs="Arial"/>
                <w:sz w:val="20"/>
                <w:szCs w:val="20"/>
              </w:rPr>
            </w:pPr>
          </w:p>
        </w:tc>
        <w:tc>
          <w:tcPr>
            <w:tcW w:w="1630" w:type="dxa"/>
          </w:tcPr>
          <w:p w14:paraId="1A21886C"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By type of pension</w:t>
            </w:r>
          </w:p>
        </w:tc>
        <w:tc>
          <w:tcPr>
            <w:tcW w:w="1772" w:type="dxa"/>
          </w:tcPr>
          <w:p w14:paraId="137B6862" w14:textId="77777777" w:rsidR="00D12E11" w:rsidRPr="00F7050E" w:rsidRDefault="00D12E11" w:rsidP="00BC7D1B">
            <w:pPr>
              <w:rPr>
                <w:rFonts w:ascii="Arial" w:hAnsi="Arial" w:cs="Arial"/>
                <w:sz w:val="20"/>
                <w:szCs w:val="20"/>
              </w:rPr>
            </w:pPr>
          </w:p>
        </w:tc>
        <w:tc>
          <w:tcPr>
            <w:tcW w:w="3009" w:type="dxa"/>
          </w:tcPr>
          <w:p w14:paraId="00604695" w14:textId="77777777" w:rsidR="00D12E11" w:rsidRPr="00F7050E" w:rsidRDefault="00D12E11" w:rsidP="00BC7D1B">
            <w:pPr>
              <w:spacing w:after="120"/>
              <w:rPr>
                <w:rFonts w:ascii="Arial" w:hAnsi="Arial" w:cs="Arial"/>
                <w:i/>
                <w:sz w:val="20"/>
                <w:szCs w:val="20"/>
              </w:rPr>
            </w:pPr>
            <w:r w:rsidRPr="00F7050E">
              <w:rPr>
                <w:rFonts w:ascii="Arial" w:hAnsi="Arial" w:cs="Arial"/>
                <w:i/>
                <w:sz w:val="20"/>
                <w:szCs w:val="20"/>
              </w:rPr>
              <w:t xml:space="preserve">Available at </w:t>
            </w:r>
            <w:r w:rsidRPr="00F7050E">
              <w:rPr>
                <w:rFonts w:ascii="Arial" w:hAnsi="Arial" w:cs="Arial"/>
                <w:sz w:val="20"/>
                <w:szCs w:val="20"/>
              </w:rPr>
              <w:t>EUROSTAT</w:t>
            </w:r>
            <w:r w:rsidRPr="00F7050E">
              <w:rPr>
                <w:rFonts w:ascii="Arial" w:hAnsi="Arial" w:cs="Arial"/>
                <w:i/>
                <w:sz w:val="20"/>
                <w:szCs w:val="20"/>
              </w:rPr>
              <w:t xml:space="preserve"> for 2010-2013</w:t>
            </w:r>
          </w:p>
          <w:p w14:paraId="0880607B"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EUROSTAT combined with data from PDIF for the sake of information checking </w:t>
            </w:r>
          </w:p>
          <w:p w14:paraId="4001F174" w14:textId="77777777" w:rsidR="00D12E11" w:rsidRPr="00F7050E" w:rsidRDefault="00D12E11" w:rsidP="00BC7D1B">
            <w:pPr>
              <w:rPr>
                <w:rFonts w:ascii="Arial" w:hAnsi="Arial" w:cs="Arial"/>
                <w:sz w:val="20"/>
                <w:szCs w:val="20"/>
              </w:rPr>
            </w:pPr>
          </w:p>
        </w:tc>
      </w:tr>
      <w:tr w:rsidR="00D12E11" w:rsidRPr="00F7050E" w14:paraId="2F2ADB32" w14:textId="77777777" w:rsidTr="00BC7D1B">
        <w:trPr>
          <w:trHeight w:val="454"/>
          <w:jc w:val="center"/>
        </w:trPr>
        <w:tc>
          <w:tcPr>
            <w:tcW w:w="534" w:type="dxa"/>
            <w:vAlign w:val="center"/>
          </w:tcPr>
          <w:p w14:paraId="6F68D19A"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233DFB01" w14:textId="77777777" w:rsidR="00D12E11" w:rsidRPr="00F7050E" w:rsidRDefault="00D12E11" w:rsidP="00BC7D1B">
            <w:pPr>
              <w:pStyle w:val="Default"/>
              <w:spacing w:before="120"/>
              <w:rPr>
                <w:rFonts w:ascii="Arial" w:hAnsi="Arial" w:cs="Arial"/>
                <w:sz w:val="20"/>
                <w:szCs w:val="20"/>
                <w:highlight w:val="green"/>
                <w:lang w:val="en-GB"/>
              </w:rPr>
            </w:pPr>
            <w:r w:rsidRPr="00F7050E">
              <w:rPr>
                <w:rFonts w:ascii="Arial" w:hAnsi="Arial" w:cs="Arial"/>
                <w:sz w:val="20"/>
                <w:szCs w:val="20"/>
                <w:lang w:val="en-GB"/>
              </w:rPr>
              <w:t>Average number of service years for the new pension beneficiaries</w:t>
            </w:r>
          </w:p>
        </w:tc>
        <w:tc>
          <w:tcPr>
            <w:tcW w:w="1772" w:type="dxa"/>
          </w:tcPr>
          <w:p w14:paraId="1BD32B29" w14:textId="77777777" w:rsidR="00D12E11" w:rsidRPr="00F7050E" w:rsidRDefault="00D12E11" w:rsidP="00BC7D1B">
            <w:pPr>
              <w:rPr>
                <w:rFonts w:ascii="Arial" w:hAnsi="Arial" w:cs="Arial"/>
                <w:sz w:val="20"/>
                <w:szCs w:val="20"/>
              </w:rPr>
            </w:pPr>
          </w:p>
          <w:p w14:paraId="0F2B768D"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tc>
        <w:tc>
          <w:tcPr>
            <w:tcW w:w="2906" w:type="dxa"/>
          </w:tcPr>
          <w:p w14:paraId="116FAA9C" w14:textId="77777777" w:rsidR="00D12E11" w:rsidRPr="00F7050E" w:rsidRDefault="00D12E11" w:rsidP="00BC7D1B">
            <w:pPr>
              <w:rPr>
                <w:rFonts w:ascii="Arial" w:hAnsi="Arial" w:cs="Arial"/>
                <w:sz w:val="20"/>
                <w:szCs w:val="20"/>
                <w:highlight w:val="yellow"/>
              </w:rPr>
            </w:pPr>
          </w:p>
        </w:tc>
        <w:tc>
          <w:tcPr>
            <w:tcW w:w="1630" w:type="dxa"/>
          </w:tcPr>
          <w:p w14:paraId="03F0DCAC" w14:textId="77777777" w:rsidR="00D12E11" w:rsidRPr="00F7050E" w:rsidRDefault="00D12E11" w:rsidP="00BC7D1B">
            <w:pPr>
              <w:rPr>
                <w:rFonts w:ascii="Arial" w:hAnsi="Arial" w:cs="Arial"/>
                <w:sz w:val="20"/>
                <w:szCs w:val="20"/>
                <w:highlight w:val="yellow"/>
              </w:rPr>
            </w:pPr>
            <w:r w:rsidRPr="00F7050E">
              <w:rPr>
                <w:rFonts w:ascii="Arial" w:hAnsi="Arial" w:cs="Arial"/>
                <w:sz w:val="20"/>
                <w:szCs w:val="20"/>
              </w:rPr>
              <w:t>By type of coverage/and type of pension</w:t>
            </w:r>
          </w:p>
          <w:p w14:paraId="4A4E563A" w14:textId="77777777" w:rsidR="00D12E11" w:rsidRPr="00F7050E" w:rsidRDefault="00D12E11" w:rsidP="00BC7D1B">
            <w:pPr>
              <w:rPr>
                <w:rFonts w:ascii="Arial" w:hAnsi="Arial" w:cs="Arial"/>
                <w:sz w:val="20"/>
                <w:szCs w:val="20"/>
                <w:highlight w:val="green"/>
              </w:rPr>
            </w:pPr>
          </w:p>
        </w:tc>
        <w:tc>
          <w:tcPr>
            <w:tcW w:w="1772" w:type="dxa"/>
          </w:tcPr>
          <w:p w14:paraId="3A4EBB33"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p>
        </w:tc>
        <w:tc>
          <w:tcPr>
            <w:tcW w:w="3009" w:type="dxa"/>
          </w:tcPr>
          <w:p w14:paraId="79705BFB"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xml:space="preserve"> Annual Bulletin</w:t>
            </w:r>
          </w:p>
          <w:p w14:paraId="66859ED2"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This is a country-specific indicator which replaces the PN-P7 (duration of working life) </w:t>
            </w:r>
            <w:r w:rsidRPr="00F7050E">
              <w:rPr>
                <w:rFonts w:ascii="Arial" w:hAnsi="Arial" w:cs="Arial"/>
                <w:sz w:val="20"/>
                <w:szCs w:val="20"/>
              </w:rPr>
              <w:lastRenderedPageBreak/>
              <w:t>indicator; the source of the replaced indicator is LFS; it is not monitored in Serbia from this source</w:t>
            </w:r>
          </w:p>
        </w:tc>
      </w:tr>
      <w:tr w:rsidR="00D12E11" w:rsidRPr="00F7050E" w14:paraId="0D13870C" w14:textId="77777777" w:rsidTr="00BC7D1B">
        <w:trPr>
          <w:trHeight w:val="454"/>
          <w:jc w:val="center"/>
        </w:trPr>
        <w:tc>
          <w:tcPr>
            <w:tcW w:w="534" w:type="dxa"/>
            <w:vAlign w:val="center"/>
          </w:tcPr>
          <w:p w14:paraId="1A27DF23"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lastRenderedPageBreak/>
              <w:t>S</w:t>
            </w:r>
          </w:p>
        </w:tc>
        <w:tc>
          <w:tcPr>
            <w:tcW w:w="2409" w:type="dxa"/>
          </w:tcPr>
          <w:p w14:paraId="06A8109E" w14:textId="77777777" w:rsidR="00D12E11" w:rsidRPr="00F7050E" w:rsidRDefault="00D12E11" w:rsidP="00BC7D1B">
            <w:pPr>
              <w:pStyle w:val="Default"/>
              <w:spacing w:before="120"/>
              <w:rPr>
                <w:rFonts w:ascii="Arial" w:hAnsi="Arial" w:cs="Arial"/>
                <w:sz w:val="20"/>
                <w:szCs w:val="20"/>
                <w:highlight w:val="green"/>
                <w:lang w:val="en-GB"/>
              </w:rPr>
            </w:pPr>
            <w:r w:rsidRPr="00F7050E">
              <w:rPr>
                <w:rFonts w:ascii="Arial" w:hAnsi="Arial" w:cs="Arial"/>
                <w:sz w:val="20"/>
                <w:szCs w:val="20"/>
                <w:lang w:val="en-GB"/>
              </w:rPr>
              <w:t>Average number of service years for all pension beneficiaries</w:t>
            </w:r>
          </w:p>
        </w:tc>
        <w:tc>
          <w:tcPr>
            <w:tcW w:w="1772" w:type="dxa"/>
          </w:tcPr>
          <w:p w14:paraId="78923B23" w14:textId="77777777" w:rsidR="00D12E11" w:rsidRPr="00F7050E" w:rsidRDefault="00D12E11" w:rsidP="00BC7D1B">
            <w:pPr>
              <w:rPr>
                <w:rFonts w:ascii="Arial" w:hAnsi="Arial" w:cs="Arial"/>
                <w:sz w:val="20"/>
                <w:szCs w:val="20"/>
              </w:rPr>
            </w:pPr>
          </w:p>
          <w:p w14:paraId="1CF3A155"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4980F7D8" w14:textId="77777777" w:rsidR="00D12E11" w:rsidRPr="00F7050E" w:rsidRDefault="00D12E11" w:rsidP="00BC7D1B">
            <w:pPr>
              <w:rPr>
                <w:rFonts w:ascii="Arial" w:hAnsi="Arial" w:cs="Arial"/>
                <w:sz w:val="20"/>
                <w:szCs w:val="20"/>
                <w:highlight w:val="yellow"/>
              </w:rPr>
            </w:pPr>
            <w:r w:rsidRPr="00F7050E">
              <w:rPr>
                <w:rFonts w:ascii="Arial" w:hAnsi="Arial" w:cs="Arial"/>
                <w:sz w:val="20"/>
                <w:szCs w:val="20"/>
              </w:rPr>
              <w:t>Average number of service years, both for those previously retired and for those who retired during a given year</w:t>
            </w:r>
          </w:p>
        </w:tc>
        <w:tc>
          <w:tcPr>
            <w:tcW w:w="1630" w:type="dxa"/>
          </w:tcPr>
          <w:p w14:paraId="73B0FB9F" w14:textId="77777777" w:rsidR="00D12E11" w:rsidRPr="00F7050E" w:rsidRDefault="00D12E11" w:rsidP="00BC7D1B">
            <w:pPr>
              <w:rPr>
                <w:rFonts w:ascii="Arial" w:hAnsi="Arial" w:cs="Arial"/>
                <w:sz w:val="20"/>
                <w:szCs w:val="20"/>
              </w:rPr>
            </w:pPr>
          </w:p>
        </w:tc>
        <w:tc>
          <w:tcPr>
            <w:tcW w:w="1772" w:type="dxa"/>
          </w:tcPr>
          <w:p w14:paraId="67B20104" w14:textId="77777777" w:rsidR="00D12E11" w:rsidRPr="00F7050E" w:rsidRDefault="00D12E11" w:rsidP="00BC7D1B">
            <w:pPr>
              <w:rPr>
                <w:rFonts w:ascii="Arial" w:hAnsi="Arial" w:cs="Arial"/>
                <w:sz w:val="20"/>
                <w:szCs w:val="20"/>
              </w:rPr>
            </w:pPr>
          </w:p>
        </w:tc>
        <w:tc>
          <w:tcPr>
            <w:tcW w:w="3009" w:type="dxa"/>
          </w:tcPr>
          <w:p w14:paraId="32DDD2D7"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xml:space="preserve"> Annual Bulletin</w:t>
            </w:r>
          </w:p>
          <w:p w14:paraId="02EE5A86" w14:textId="77777777" w:rsidR="00D12E11" w:rsidRPr="00F7050E" w:rsidRDefault="00D12E11" w:rsidP="00BC7D1B">
            <w:pPr>
              <w:spacing w:after="120"/>
              <w:rPr>
                <w:rFonts w:ascii="Arial" w:hAnsi="Arial" w:cs="Arial"/>
                <w:sz w:val="20"/>
                <w:szCs w:val="20"/>
              </w:rPr>
            </w:pPr>
          </w:p>
        </w:tc>
      </w:tr>
      <w:tr w:rsidR="00D12E11" w:rsidRPr="00F7050E" w14:paraId="3EEF7C07" w14:textId="77777777" w:rsidTr="00BC7D1B">
        <w:trPr>
          <w:trHeight w:val="454"/>
          <w:jc w:val="center"/>
        </w:trPr>
        <w:tc>
          <w:tcPr>
            <w:tcW w:w="534" w:type="dxa"/>
            <w:vAlign w:val="center"/>
          </w:tcPr>
          <w:p w14:paraId="41308BF6"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7E763A77" w14:textId="77777777" w:rsidR="00D12E11" w:rsidRPr="00F7050E" w:rsidRDefault="00D12E11" w:rsidP="00BC7D1B">
            <w:pPr>
              <w:pStyle w:val="Default"/>
              <w:spacing w:before="120"/>
              <w:rPr>
                <w:rFonts w:ascii="Arial" w:hAnsi="Arial" w:cs="Arial"/>
                <w:sz w:val="20"/>
                <w:szCs w:val="20"/>
                <w:lang w:val="en-GB"/>
              </w:rPr>
            </w:pPr>
            <w:r w:rsidRPr="00F7050E">
              <w:rPr>
                <w:rFonts w:ascii="Arial" w:hAnsi="Arial" w:cs="Arial"/>
                <w:sz w:val="20"/>
                <w:szCs w:val="20"/>
                <w:lang w:val="en-GB"/>
              </w:rPr>
              <w:t>Average age of newly retired people</w:t>
            </w:r>
          </w:p>
          <w:p w14:paraId="18ADDD8C" w14:textId="77777777" w:rsidR="00D12E11" w:rsidRPr="00F7050E" w:rsidRDefault="00D12E11" w:rsidP="00BC7D1B">
            <w:pPr>
              <w:pStyle w:val="Default"/>
              <w:spacing w:before="120"/>
              <w:rPr>
                <w:rFonts w:ascii="Arial" w:hAnsi="Arial" w:cs="Arial"/>
                <w:sz w:val="20"/>
                <w:szCs w:val="20"/>
                <w:highlight w:val="green"/>
                <w:lang w:val="en-GB"/>
              </w:rPr>
            </w:pPr>
          </w:p>
        </w:tc>
        <w:tc>
          <w:tcPr>
            <w:tcW w:w="1772" w:type="dxa"/>
          </w:tcPr>
          <w:p w14:paraId="6118F024" w14:textId="77777777" w:rsidR="00D12E11" w:rsidRPr="00F7050E" w:rsidRDefault="00D12E11" w:rsidP="00BC7D1B">
            <w:pPr>
              <w:rPr>
                <w:rFonts w:ascii="Arial" w:hAnsi="Arial" w:cs="Arial"/>
                <w:sz w:val="20"/>
                <w:szCs w:val="20"/>
              </w:rPr>
            </w:pPr>
          </w:p>
          <w:p w14:paraId="14C17C55"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5DCB87E4" w14:textId="77777777" w:rsidR="00D12E11" w:rsidRPr="00F7050E" w:rsidRDefault="00D12E11" w:rsidP="00BC7D1B">
            <w:pPr>
              <w:rPr>
                <w:rFonts w:ascii="Arial" w:hAnsi="Arial" w:cs="Arial"/>
                <w:sz w:val="20"/>
                <w:szCs w:val="20"/>
              </w:rPr>
            </w:pPr>
          </w:p>
        </w:tc>
        <w:tc>
          <w:tcPr>
            <w:tcW w:w="1630" w:type="dxa"/>
          </w:tcPr>
          <w:p w14:paraId="64292CD0" w14:textId="77777777" w:rsidR="00D12E11" w:rsidRPr="00F7050E" w:rsidRDefault="00D12E11" w:rsidP="00BC7D1B">
            <w:pPr>
              <w:rPr>
                <w:rFonts w:ascii="Arial" w:hAnsi="Arial" w:cs="Arial"/>
                <w:sz w:val="20"/>
                <w:szCs w:val="20"/>
              </w:rPr>
            </w:pPr>
            <w:r w:rsidRPr="00F7050E">
              <w:rPr>
                <w:rFonts w:ascii="Arial" w:hAnsi="Arial" w:cs="Arial"/>
                <w:sz w:val="20"/>
                <w:szCs w:val="20"/>
              </w:rPr>
              <w:t>Employees/</w:t>
            </w:r>
          </w:p>
          <w:p w14:paraId="1AA9127D"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self-employed, farmers - </w:t>
            </w:r>
          </w:p>
          <w:p w14:paraId="6337009A"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by type of pension</w:t>
            </w:r>
          </w:p>
        </w:tc>
        <w:tc>
          <w:tcPr>
            <w:tcW w:w="1772" w:type="dxa"/>
          </w:tcPr>
          <w:p w14:paraId="501F00D1"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p>
        </w:tc>
        <w:tc>
          <w:tcPr>
            <w:tcW w:w="3009" w:type="dxa"/>
          </w:tcPr>
          <w:p w14:paraId="506F28D8"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xml:space="preserve"> Annual Bulletin</w:t>
            </w:r>
          </w:p>
          <w:p w14:paraId="537EB4EB" w14:textId="77777777" w:rsidR="00D12E11" w:rsidRPr="00F7050E" w:rsidRDefault="00D12E11" w:rsidP="00BC7D1B">
            <w:pPr>
              <w:spacing w:after="120"/>
              <w:rPr>
                <w:rFonts w:ascii="Arial" w:hAnsi="Arial" w:cs="Arial"/>
                <w:sz w:val="20"/>
                <w:szCs w:val="20"/>
              </w:rPr>
            </w:pPr>
          </w:p>
        </w:tc>
      </w:tr>
      <w:tr w:rsidR="00D12E11" w:rsidRPr="00F7050E" w14:paraId="74D750C1" w14:textId="77777777" w:rsidTr="00BC7D1B">
        <w:trPr>
          <w:trHeight w:val="454"/>
          <w:jc w:val="center"/>
        </w:trPr>
        <w:tc>
          <w:tcPr>
            <w:tcW w:w="534" w:type="dxa"/>
            <w:vAlign w:val="center"/>
          </w:tcPr>
          <w:p w14:paraId="0475FE86"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3DB21653" w14:textId="77777777" w:rsidR="00D12E11" w:rsidRPr="00F7050E" w:rsidRDefault="00D12E11" w:rsidP="00BC7D1B">
            <w:pPr>
              <w:pStyle w:val="Default"/>
              <w:spacing w:before="120"/>
              <w:rPr>
                <w:rFonts w:ascii="Arial" w:hAnsi="Arial" w:cs="Arial"/>
                <w:sz w:val="20"/>
                <w:szCs w:val="20"/>
                <w:highlight w:val="green"/>
                <w:lang w:val="en-GB"/>
              </w:rPr>
            </w:pPr>
            <w:r w:rsidRPr="00F7050E">
              <w:rPr>
                <w:rFonts w:ascii="Arial" w:hAnsi="Arial" w:cs="Arial"/>
                <w:sz w:val="20"/>
                <w:szCs w:val="20"/>
                <w:lang w:val="en-GB"/>
              </w:rPr>
              <w:t xml:space="preserve">Age of beneficiaries whose entitlement to pension expired due to death </w:t>
            </w:r>
          </w:p>
        </w:tc>
        <w:tc>
          <w:tcPr>
            <w:tcW w:w="1772" w:type="dxa"/>
          </w:tcPr>
          <w:p w14:paraId="740F381B" w14:textId="77777777" w:rsidR="00D12E11" w:rsidRPr="00F7050E" w:rsidRDefault="00D12E11" w:rsidP="00BC7D1B">
            <w:pPr>
              <w:rPr>
                <w:rFonts w:ascii="Arial" w:hAnsi="Arial" w:cs="Arial"/>
                <w:sz w:val="20"/>
                <w:szCs w:val="20"/>
              </w:rPr>
            </w:pPr>
          </w:p>
          <w:p w14:paraId="06E8485E" w14:textId="77777777" w:rsidR="00D12E11" w:rsidRPr="00F7050E" w:rsidRDefault="00D12E11" w:rsidP="00BC7D1B">
            <w:pPr>
              <w:rPr>
                <w:rFonts w:ascii="Arial" w:hAnsi="Arial" w:cs="Arial"/>
                <w:sz w:val="20"/>
                <w:szCs w:val="20"/>
              </w:rPr>
            </w:pPr>
            <w:r w:rsidRPr="00F7050E">
              <w:rPr>
                <w:rFonts w:ascii="Arial" w:hAnsi="Arial" w:cs="Arial"/>
                <w:i/>
                <w:sz w:val="20"/>
                <w:szCs w:val="20"/>
              </w:rPr>
              <w:t>Country-specific</w:t>
            </w:r>
          </w:p>
        </w:tc>
        <w:tc>
          <w:tcPr>
            <w:tcW w:w="2906" w:type="dxa"/>
          </w:tcPr>
          <w:p w14:paraId="182CE8A3" w14:textId="77777777" w:rsidR="00D12E11" w:rsidRPr="00F7050E" w:rsidRDefault="00D12E11" w:rsidP="00BC7D1B">
            <w:pPr>
              <w:rPr>
                <w:rFonts w:ascii="Arial" w:hAnsi="Arial" w:cs="Arial"/>
                <w:sz w:val="20"/>
                <w:szCs w:val="20"/>
              </w:rPr>
            </w:pPr>
          </w:p>
        </w:tc>
        <w:tc>
          <w:tcPr>
            <w:tcW w:w="1630" w:type="dxa"/>
          </w:tcPr>
          <w:p w14:paraId="0DE56852" w14:textId="77777777" w:rsidR="00D12E11" w:rsidRPr="00F7050E" w:rsidRDefault="00D12E11" w:rsidP="00BC7D1B">
            <w:pPr>
              <w:rPr>
                <w:rFonts w:ascii="Arial" w:hAnsi="Arial" w:cs="Arial"/>
                <w:sz w:val="20"/>
                <w:szCs w:val="20"/>
                <w:highlight w:val="yellow"/>
              </w:rPr>
            </w:pPr>
            <w:r w:rsidRPr="00F7050E">
              <w:rPr>
                <w:rFonts w:ascii="Arial" w:hAnsi="Arial" w:cs="Arial"/>
                <w:sz w:val="20"/>
                <w:szCs w:val="20"/>
              </w:rPr>
              <w:t>By type of</w:t>
            </w:r>
          </w:p>
          <w:p w14:paraId="34DFC09F"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coverage, by type of pension and by sex</w:t>
            </w:r>
          </w:p>
        </w:tc>
        <w:tc>
          <w:tcPr>
            <w:tcW w:w="1772" w:type="dxa"/>
          </w:tcPr>
          <w:p w14:paraId="06ED5B66" w14:textId="77777777" w:rsidR="00D12E11" w:rsidRPr="00F7050E" w:rsidRDefault="00D12E11" w:rsidP="00BC7D1B">
            <w:pPr>
              <w:rPr>
                <w:rFonts w:ascii="Arial" w:hAnsi="Arial" w:cs="Arial"/>
                <w:sz w:val="20"/>
                <w:szCs w:val="20"/>
              </w:rPr>
            </w:pPr>
          </w:p>
        </w:tc>
        <w:tc>
          <w:tcPr>
            <w:tcW w:w="3009" w:type="dxa"/>
          </w:tcPr>
          <w:p w14:paraId="5AD7FE0B"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xml:space="preserve"> Annual Bulletin</w:t>
            </w:r>
          </w:p>
          <w:p w14:paraId="2B39C95C" w14:textId="77777777" w:rsidR="00D12E11" w:rsidRPr="00F7050E" w:rsidRDefault="00D12E11" w:rsidP="00BC7D1B">
            <w:pPr>
              <w:rPr>
                <w:rFonts w:ascii="Arial" w:hAnsi="Arial" w:cs="Arial"/>
                <w:sz w:val="20"/>
                <w:szCs w:val="20"/>
              </w:rPr>
            </w:pPr>
          </w:p>
          <w:p w14:paraId="62EE8E55" w14:textId="77777777" w:rsidR="00D12E11" w:rsidRPr="00F7050E" w:rsidRDefault="00D12E11" w:rsidP="00BC7D1B">
            <w:pPr>
              <w:rPr>
                <w:rFonts w:ascii="Arial" w:hAnsi="Arial" w:cs="Arial"/>
                <w:sz w:val="20"/>
                <w:szCs w:val="20"/>
              </w:rPr>
            </w:pPr>
            <w:r w:rsidRPr="00F7050E">
              <w:rPr>
                <w:rFonts w:ascii="Arial" w:hAnsi="Arial" w:cs="Arial"/>
                <w:sz w:val="20"/>
                <w:szCs w:val="20"/>
              </w:rPr>
              <w:t>When looking at the old age pensions, if would be beneficial to differentiate the pensioners receiving</w:t>
            </w:r>
            <w:r w:rsidRPr="00F7050E">
              <w:rPr>
                <w:rFonts w:ascii="Arial" w:hAnsi="Arial" w:cs="Arial"/>
                <w:bCs/>
                <w:sz w:val="20"/>
                <w:szCs w:val="20"/>
              </w:rPr>
              <w:t xml:space="preserve"> the accelerated retirement scheme pensions, earned</w:t>
            </w:r>
            <w:r w:rsidRPr="00F7050E">
              <w:rPr>
                <w:rFonts w:ascii="Arial" w:hAnsi="Arial" w:cs="Arial"/>
                <w:sz w:val="20"/>
                <w:szCs w:val="20"/>
              </w:rPr>
              <w:t xml:space="preserve"> according to special regulations, from the others. This would require further processing of information by PDIF.</w:t>
            </w:r>
          </w:p>
        </w:tc>
      </w:tr>
      <w:tr w:rsidR="00D12E11" w:rsidRPr="00F7050E" w14:paraId="0D645F8F" w14:textId="77777777" w:rsidTr="00BC7D1B">
        <w:trPr>
          <w:trHeight w:val="454"/>
          <w:jc w:val="center"/>
        </w:trPr>
        <w:tc>
          <w:tcPr>
            <w:tcW w:w="534" w:type="dxa"/>
            <w:vAlign w:val="center"/>
          </w:tcPr>
          <w:p w14:paraId="03420250"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Pr>
          <w:p w14:paraId="165F76D4" w14:textId="77777777" w:rsidR="00D12E11" w:rsidRPr="00F7050E" w:rsidRDefault="00D12E11" w:rsidP="00BC7D1B">
            <w:pPr>
              <w:pStyle w:val="Default"/>
              <w:spacing w:before="120"/>
              <w:rPr>
                <w:rFonts w:ascii="Arial" w:hAnsi="Arial" w:cs="Arial"/>
                <w:sz w:val="20"/>
                <w:szCs w:val="20"/>
                <w:highlight w:val="green"/>
                <w:lang w:val="en-GB"/>
              </w:rPr>
            </w:pPr>
            <w:r w:rsidRPr="00F7050E">
              <w:rPr>
                <w:rFonts w:ascii="Arial" w:hAnsi="Arial" w:cs="Arial"/>
                <w:sz w:val="20"/>
                <w:szCs w:val="20"/>
                <w:lang w:val="en-GB"/>
              </w:rPr>
              <w:t>Number of years spent in retirement</w:t>
            </w:r>
          </w:p>
        </w:tc>
        <w:tc>
          <w:tcPr>
            <w:tcW w:w="1772" w:type="dxa"/>
          </w:tcPr>
          <w:p w14:paraId="675E6C98" w14:textId="77777777" w:rsidR="00D12E11" w:rsidRPr="00F7050E" w:rsidRDefault="00D12E11" w:rsidP="00BC7D1B">
            <w:pPr>
              <w:rPr>
                <w:rFonts w:ascii="Arial" w:hAnsi="Arial" w:cs="Arial"/>
                <w:sz w:val="20"/>
                <w:szCs w:val="20"/>
              </w:rPr>
            </w:pPr>
            <w:r w:rsidRPr="00F7050E">
              <w:rPr>
                <w:rFonts w:ascii="Arial" w:hAnsi="Arial" w:cs="Arial"/>
                <w:sz w:val="20"/>
                <w:szCs w:val="20"/>
              </w:rPr>
              <w:t>Sustainable Pensions</w:t>
            </w:r>
          </w:p>
          <w:p w14:paraId="2C79024C" w14:textId="77777777" w:rsidR="00D12E11" w:rsidRPr="00F7050E" w:rsidRDefault="00D12E11" w:rsidP="00BC7D1B">
            <w:pPr>
              <w:rPr>
                <w:rFonts w:ascii="Arial" w:hAnsi="Arial" w:cs="Arial"/>
                <w:i/>
                <w:sz w:val="20"/>
                <w:szCs w:val="20"/>
              </w:rPr>
            </w:pPr>
          </w:p>
          <w:p w14:paraId="3959F9D9" w14:textId="77777777" w:rsidR="00D12E11" w:rsidRPr="00F7050E" w:rsidRDefault="00D12E11" w:rsidP="00BC7D1B">
            <w:pPr>
              <w:rPr>
                <w:rFonts w:ascii="Arial" w:hAnsi="Arial" w:cs="Arial"/>
                <w:i/>
                <w:sz w:val="20"/>
                <w:szCs w:val="20"/>
              </w:rPr>
            </w:pPr>
            <w:r w:rsidRPr="00F7050E">
              <w:rPr>
                <w:rFonts w:ascii="Arial" w:hAnsi="Arial" w:cs="Arial"/>
                <w:i/>
                <w:sz w:val="20"/>
                <w:szCs w:val="20"/>
              </w:rPr>
              <w:t>Country-specific</w:t>
            </w:r>
          </w:p>
        </w:tc>
        <w:tc>
          <w:tcPr>
            <w:tcW w:w="2906" w:type="dxa"/>
          </w:tcPr>
          <w:p w14:paraId="4BD2C44F" w14:textId="77777777" w:rsidR="00D12E11" w:rsidRPr="00F7050E" w:rsidRDefault="00D12E11" w:rsidP="00BC7D1B">
            <w:pPr>
              <w:rPr>
                <w:rFonts w:ascii="Arial" w:hAnsi="Arial" w:cs="Arial"/>
                <w:sz w:val="20"/>
                <w:szCs w:val="20"/>
              </w:rPr>
            </w:pPr>
          </w:p>
        </w:tc>
        <w:tc>
          <w:tcPr>
            <w:tcW w:w="1630" w:type="dxa"/>
          </w:tcPr>
          <w:p w14:paraId="6FC1F9AA" w14:textId="77777777" w:rsidR="00D12E11" w:rsidRPr="00F7050E" w:rsidRDefault="00D12E11" w:rsidP="00BC7D1B">
            <w:pPr>
              <w:rPr>
                <w:rFonts w:ascii="Arial" w:hAnsi="Arial" w:cs="Arial"/>
                <w:sz w:val="20"/>
                <w:szCs w:val="20"/>
              </w:rPr>
            </w:pPr>
            <w:r w:rsidRPr="00F7050E">
              <w:rPr>
                <w:rFonts w:ascii="Arial" w:hAnsi="Arial" w:cs="Arial"/>
                <w:sz w:val="20"/>
                <w:szCs w:val="20"/>
              </w:rPr>
              <w:t>Old age/</w:t>
            </w:r>
          </w:p>
          <w:p w14:paraId="7F93EF55" w14:textId="77777777" w:rsidR="00D12E11" w:rsidRPr="00F7050E" w:rsidRDefault="00D12E11" w:rsidP="00BC7D1B">
            <w:pPr>
              <w:rPr>
                <w:rFonts w:ascii="Arial" w:hAnsi="Arial" w:cs="Arial"/>
                <w:sz w:val="20"/>
                <w:szCs w:val="20"/>
              </w:rPr>
            </w:pPr>
            <w:r w:rsidRPr="00F7050E">
              <w:rPr>
                <w:rFonts w:ascii="Arial" w:hAnsi="Arial" w:cs="Arial"/>
                <w:sz w:val="20"/>
                <w:szCs w:val="20"/>
              </w:rPr>
              <w:t>Disability/ Survivors' Pensions -</w:t>
            </w:r>
          </w:p>
          <w:p w14:paraId="69518464" w14:textId="77777777" w:rsidR="00D12E11" w:rsidRPr="00F7050E" w:rsidRDefault="00D12E11" w:rsidP="00BC7D1B">
            <w:pPr>
              <w:rPr>
                <w:rFonts w:ascii="Arial" w:hAnsi="Arial" w:cs="Arial"/>
                <w:sz w:val="20"/>
                <w:szCs w:val="20"/>
              </w:rPr>
            </w:pPr>
            <w:r w:rsidRPr="00F7050E">
              <w:rPr>
                <w:rFonts w:ascii="Arial" w:hAnsi="Arial" w:cs="Arial"/>
                <w:sz w:val="20"/>
                <w:szCs w:val="20"/>
              </w:rPr>
              <w:t>all categorised by sex</w:t>
            </w:r>
          </w:p>
          <w:p w14:paraId="7750DB8C" w14:textId="77777777" w:rsidR="00D12E11" w:rsidRPr="00F7050E" w:rsidRDefault="00D12E11" w:rsidP="00BC7D1B">
            <w:pPr>
              <w:rPr>
                <w:rFonts w:ascii="Arial" w:hAnsi="Arial" w:cs="Arial"/>
                <w:sz w:val="20"/>
                <w:szCs w:val="20"/>
              </w:rPr>
            </w:pPr>
          </w:p>
        </w:tc>
        <w:tc>
          <w:tcPr>
            <w:tcW w:w="1772" w:type="dxa"/>
          </w:tcPr>
          <w:p w14:paraId="74038749" w14:textId="77777777" w:rsidR="00D12E11" w:rsidRPr="00F7050E" w:rsidRDefault="00D12E11" w:rsidP="00BC7D1B">
            <w:pPr>
              <w:rPr>
                <w:rFonts w:ascii="Arial" w:hAnsi="Arial" w:cs="Arial"/>
                <w:sz w:val="20"/>
                <w:szCs w:val="20"/>
              </w:rPr>
            </w:pPr>
          </w:p>
        </w:tc>
        <w:tc>
          <w:tcPr>
            <w:tcW w:w="3009" w:type="dxa"/>
          </w:tcPr>
          <w:p w14:paraId="4669FE6B"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xml:space="preserve"> Annual Bulletin</w:t>
            </w:r>
          </w:p>
          <w:p w14:paraId="6B52354C" w14:textId="77777777" w:rsidR="00D12E11" w:rsidRPr="00F7050E" w:rsidRDefault="00D12E11" w:rsidP="00BC7D1B">
            <w:pPr>
              <w:rPr>
                <w:rFonts w:ascii="Arial" w:hAnsi="Arial" w:cs="Arial"/>
                <w:sz w:val="20"/>
                <w:szCs w:val="20"/>
              </w:rPr>
            </w:pPr>
          </w:p>
          <w:p w14:paraId="4BD38A10" w14:textId="77777777" w:rsidR="00D12E11" w:rsidRPr="00F7050E" w:rsidRDefault="00D12E11" w:rsidP="00BC7D1B">
            <w:pPr>
              <w:spacing w:after="120"/>
              <w:rPr>
                <w:rFonts w:ascii="Arial" w:hAnsi="Arial" w:cs="Arial"/>
                <w:sz w:val="20"/>
                <w:szCs w:val="20"/>
              </w:rPr>
            </w:pPr>
            <w:r w:rsidRPr="00F7050E">
              <w:rPr>
                <w:rFonts w:ascii="Arial" w:hAnsi="Arial" w:cs="Arial"/>
                <w:sz w:val="20"/>
                <w:szCs w:val="20"/>
              </w:rPr>
              <w:t>PDIF (without beneficiaries receiving pensions according to the accelerated retirement schemes)</w:t>
            </w:r>
          </w:p>
        </w:tc>
      </w:tr>
      <w:tr w:rsidR="00D12E11" w:rsidRPr="00F7050E" w14:paraId="53A7B18F" w14:textId="77777777" w:rsidTr="00BC7D1B">
        <w:trPr>
          <w:trHeight w:val="454"/>
          <w:jc w:val="center"/>
        </w:trPr>
        <w:tc>
          <w:tcPr>
            <w:tcW w:w="534" w:type="dxa"/>
            <w:tcBorders>
              <w:bottom w:val="single" w:sz="4" w:space="0" w:color="000000"/>
            </w:tcBorders>
            <w:vAlign w:val="center"/>
          </w:tcPr>
          <w:p w14:paraId="5EB298F6" w14:textId="77777777" w:rsidR="00D12E11" w:rsidRPr="00F7050E" w:rsidRDefault="00D12E11" w:rsidP="00BC7D1B">
            <w:pPr>
              <w:jc w:val="center"/>
              <w:rPr>
                <w:rFonts w:ascii="Arial" w:hAnsi="Arial" w:cs="Arial"/>
                <w:sz w:val="20"/>
                <w:szCs w:val="20"/>
              </w:rPr>
            </w:pPr>
            <w:r w:rsidRPr="00F7050E">
              <w:rPr>
                <w:rFonts w:ascii="Arial" w:hAnsi="Arial" w:cs="Arial"/>
                <w:sz w:val="20"/>
                <w:szCs w:val="20"/>
              </w:rPr>
              <w:t>S</w:t>
            </w:r>
          </w:p>
        </w:tc>
        <w:tc>
          <w:tcPr>
            <w:tcW w:w="2409" w:type="dxa"/>
            <w:tcBorders>
              <w:bottom w:val="single" w:sz="4" w:space="0" w:color="000000"/>
            </w:tcBorders>
          </w:tcPr>
          <w:p w14:paraId="04A2EF0F" w14:textId="77777777" w:rsidR="00D12E11" w:rsidRPr="00F7050E" w:rsidRDefault="00D12E11" w:rsidP="00BC7D1B">
            <w:pPr>
              <w:pStyle w:val="Default"/>
              <w:rPr>
                <w:rFonts w:ascii="Arial" w:hAnsi="Arial" w:cs="Arial"/>
                <w:bCs/>
                <w:sz w:val="20"/>
                <w:szCs w:val="20"/>
                <w:highlight w:val="green"/>
                <w:lang w:val="en-GB"/>
              </w:rPr>
            </w:pPr>
            <w:r w:rsidRPr="00F7050E">
              <w:rPr>
                <w:rFonts w:ascii="Arial" w:hAnsi="Arial" w:cs="Arial"/>
                <w:bCs/>
                <w:sz w:val="20"/>
                <w:szCs w:val="20"/>
                <w:lang w:val="en-GB"/>
              </w:rPr>
              <w:t>Average number of years of service of beneficiaries receiving the minimum old age pension</w:t>
            </w:r>
          </w:p>
        </w:tc>
        <w:tc>
          <w:tcPr>
            <w:tcW w:w="1772" w:type="dxa"/>
            <w:tcBorders>
              <w:bottom w:val="single" w:sz="4" w:space="0" w:color="000000"/>
            </w:tcBorders>
          </w:tcPr>
          <w:p w14:paraId="79B9D62E" w14:textId="77777777" w:rsidR="00D12E11" w:rsidRPr="00F7050E" w:rsidRDefault="00D12E11" w:rsidP="00BC7D1B">
            <w:pPr>
              <w:rPr>
                <w:rFonts w:ascii="Arial" w:hAnsi="Arial" w:cs="Arial"/>
                <w:sz w:val="20"/>
                <w:szCs w:val="20"/>
              </w:rPr>
            </w:pPr>
            <w:r w:rsidRPr="00F7050E">
              <w:rPr>
                <w:rFonts w:ascii="Arial" w:hAnsi="Arial" w:cs="Arial"/>
                <w:sz w:val="20"/>
                <w:szCs w:val="20"/>
              </w:rPr>
              <w:t>Sustainable Pensions</w:t>
            </w:r>
          </w:p>
          <w:p w14:paraId="695AAAB4" w14:textId="77777777" w:rsidR="00D12E11" w:rsidRPr="00F7050E" w:rsidRDefault="00D12E11" w:rsidP="00BC7D1B">
            <w:pPr>
              <w:framePr w:hSpace="180" w:wrap="around" w:vAnchor="page" w:hAnchor="margin" w:x="-459" w:y="615"/>
              <w:rPr>
                <w:rFonts w:ascii="Arial" w:hAnsi="Arial" w:cs="Arial"/>
                <w:sz w:val="20"/>
                <w:szCs w:val="20"/>
              </w:rPr>
            </w:pPr>
            <w:r w:rsidRPr="00F7050E">
              <w:rPr>
                <w:rFonts w:ascii="Arial" w:hAnsi="Arial" w:cs="Arial"/>
                <w:sz w:val="20"/>
                <w:szCs w:val="20"/>
              </w:rPr>
              <w:t xml:space="preserve"> </w:t>
            </w:r>
          </w:p>
          <w:p w14:paraId="5653AF4E" w14:textId="77777777" w:rsidR="00D12E11" w:rsidRPr="00F7050E" w:rsidRDefault="00D12E11" w:rsidP="00BC7D1B">
            <w:pPr>
              <w:framePr w:hSpace="180" w:wrap="around" w:vAnchor="page" w:hAnchor="margin" w:x="-459" w:y="615"/>
              <w:rPr>
                <w:rFonts w:ascii="Arial" w:hAnsi="Arial" w:cs="Arial"/>
                <w:sz w:val="20"/>
                <w:szCs w:val="20"/>
              </w:rPr>
            </w:pPr>
          </w:p>
          <w:p w14:paraId="63791D19" w14:textId="77777777" w:rsidR="00D12E11" w:rsidRPr="00F7050E" w:rsidRDefault="00D12E11" w:rsidP="00BC7D1B">
            <w:pPr>
              <w:framePr w:hSpace="180" w:wrap="around" w:vAnchor="page" w:hAnchor="margin" w:x="-459" w:y="615"/>
              <w:rPr>
                <w:rFonts w:ascii="Arial" w:hAnsi="Arial" w:cs="Arial"/>
                <w:sz w:val="20"/>
                <w:szCs w:val="20"/>
              </w:rPr>
            </w:pPr>
            <w:r w:rsidRPr="00F7050E">
              <w:rPr>
                <w:rFonts w:ascii="Arial" w:hAnsi="Arial" w:cs="Arial"/>
                <w:i/>
                <w:sz w:val="20"/>
                <w:szCs w:val="20"/>
              </w:rPr>
              <w:t>Country-specific</w:t>
            </w:r>
          </w:p>
        </w:tc>
        <w:tc>
          <w:tcPr>
            <w:tcW w:w="2906" w:type="dxa"/>
            <w:tcBorders>
              <w:bottom w:val="single" w:sz="4" w:space="0" w:color="000000"/>
            </w:tcBorders>
          </w:tcPr>
          <w:p w14:paraId="385E3926" w14:textId="77777777" w:rsidR="00D12E11" w:rsidRPr="00F7050E" w:rsidRDefault="00D12E11" w:rsidP="00BC7D1B">
            <w:pPr>
              <w:pStyle w:val="Default"/>
              <w:rPr>
                <w:rFonts w:ascii="Arial" w:hAnsi="Arial" w:cs="Arial"/>
                <w:sz w:val="20"/>
                <w:szCs w:val="20"/>
                <w:lang w:val="en-GB"/>
              </w:rPr>
            </w:pPr>
          </w:p>
        </w:tc>
        <w:tc>
          <w:tcPr>
            <w:tcW w:w="1630" w:type="dxa"/>
            <w:tcBorders>
              <w:bottom w:val="single" w:sz="4" w:space="0" w:color="000000"/>
            </w:tcBorders>
          </w:tcPr>
          <w:p w14:paraId="11C34451" w14:textId="77777777" w:rsidR="00D12E11" w:rsidRPr="00F7050E" w:rsidRDefault="00D12E11" w:rsidP="00BC7D1B">
            <w:pPr>
              <w:pStyle w:val="Default"/>
              <w:rPr>
                <w:rFonts w:ascii="Arial" w:hAnsi="Arial" w:cs="Arial"/>
                <w:sz w:val="20"/>
                <w:szCs w:val="20"/>
                <w:lang w:val="en-GB"/>
              </w:rPr>
            </w:pPr>
          </w:p>
        </w:tc>
        <w:tc>
          <w:tcPr>
            <w:tcW w:w="1772" w:type="dxa"/>
            <w:tcBorders>
              <w:bottom w:val="single" w:sz="4" w:space="0" w:color="000000"/>
            </w:tcBorders>
          </w:tcPr>
          <w:p w14:paraId="0B20A548" w14:textId="77777777" w:rsidR="00D12E11" w:rsidRPr="00F7050E" w:rsidRDefault="00D12E11" w:rsidP="00BC7D1B">
            <w:pPr>
              <w:rPr>
                <w:rFonts w:ascii="Arial" w:hAnsi="Arial" w:cs="Arial"/>
                <w:sz w:val="20"/>
                <w:szCs w:val="20"/>
              </w:rPr>
            </w:pPr>
            <w:r w:rsidRPr="00F7050E">
              <w:rPr>
                <w:rFonts w:ascii="Arial" w:hAnsi="Arial" w:cs="Arial"/>
                <w:sz w:val="20"/>
                <w:szCs w:val="20"/>
              </w:rPr>
              <w:t>PDIF</w:t>
            </w:r>
          </w:p>
        </w:tc>
        <w:tc>
          <w:tcPr>
            <w:tcW w:w="3009" w:type="dxa"/>
            <w:tcBorders>
              <w:bottom w:val="single" w:sz="4" w:space="0" w:color="000000"/>
            </w:tcBorders>
          </w:tcPr>
          <w:p w14:paraId="7E716410" w14:textId="77777777" w:rsidR="00D12E11" w:rsidRPr="00F7050E" w:rsidRDefault="00D12E11" w:rsidP="00BC7D1B">
            <w:pPr>
              <w:spacing w:after="120"/>
              <w:rPr>
                <w:rFonts w:ascii="Arial" w:hAnsi="Arial" w:cs="Arial"/>
                <w:i/>
                <w:sz w:val="20"/>
                <w:szCs w:val="20"/>
              </w:rPr>
            </w:pPr>
            <w:r w:rsidRPr="00F7050E">
              <w:rPr>
                <w:rFonts w:ascii="Arial" w:hAnsi="Arial" w:cs="Arial"/>
                <w:sz w:val="20"/>
                <w:szCs w:val="20"/>
              </w:rPr>
              <w:t>PDIF</w:t>
            </w:r>
            <w:r w:rsidRPr="00F7050E">
              <w:rPr>
                <w:rFonts w:ascii="Arial" w:hAnsi="Arial" w:cs="Arial"/>
                <w:i/>
                <w:sz w:val="20"/>
                <w:szCs w:val="20"/>
              </w:rPr>
              <w:t>, special processing</w:t>
            </w:r>
          </w:p>
          <w:p w14:paraId="5F18C0C2"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This indicator points to the main cause of low pensions (law wages or years of service)</w:t>
            </w:r>
          </w:p>
        </w:tc>
      </w:tr>
      <w:tr w:rsidR="00D12E11" w:rsidRPr="00F7050E" w14:paraId="1B6299D2" w14:textId="77777777" w:rsidTr="00BC7D1B">
        <w:trPr>
          <w:trHeight w:val="510"/>
          <w:jc w:val="center"/>
        </w:trPr>
        <w:tc>
          <w:tcPr>
            <w:tcW w:w="14032" w:type="dxa"/>
            <w:gridSpan w:val="7"/>
            <w:shd w:val="clear" w:color="auto" w:fill="CCFFFF"/>
            <w:vAlign w:val="center"/>
          </w:tcPr>
          <w:p w14:paraId="6353A80B" w14:textId="77777777" w:rsidR="00D12E11" w:rsidRPr="00F7050E" w:rsidRDefault="00D12E11" w:rsidP="00BC7D1B">
            <w:pPr>
              <w:jc w:val="center"/>
              <w:rPr>
                <w:rFonts w:ascii="Arial" w:hAnsi="Arial" w:cs="Arial"/>
                <w:b/>
                <w:sz w:val="20"/>
                <w:szCs w:val="20"/>
                <w:highlight w:val="green"/>
              </w:rPr>
            </w:pPr>
            <w:r w:rsidRPr="00F7050E">
              <w:rPr>
                <w:rFonts w:ascii="Arial" w:hAnsi="Arial" w:cs="Arial"/>
                <w:b/>
                <w:sz w:val="20"/>
                <w:szCs w:val="20"/>
              </w:rPr>
              <w:lastRenderedPageBreak/>
              <w:t>OTHER INDICATORS</w:t>
            </w:r>
          </w:p>
        </w:tc>
      </w:tr>
      <w:tr w:rsidR="00D12E11" w:rsidRPr="00F7050E" w14:paraId="46DEADB8" w14:textId="77777777" w:rsidTr="00BC7D1B">
        <w:trPr>
          <w:trHeight w:val="454"/>
          <w:jc w:val="center"/>
        </w:trPr>
        <w:tc>
          <w:tcPr>
            <w:tcW w:w="534" w:type="dxa"/>
            <w:vAlign w:val="center"/>
          </w:tcPr>
          <w:p w14:paraId="30B3CF61" w14:textId="77777777" w:rsidR="00D12E11" w:rsidRPr="00F7050E" w:rsidRDefault="00D12E11" w:rsidP="00BC7D1B">
            <w:pPr>
              <w:widowControl w:val="0"/>
              <w:autoSpaceDE w:val="0"/>
              <w:autoSpaceDN w:val="0"/>
              <w:adjustRightInd w:val="0"/>
              <w:rPr>
                <w:rFonts w:ascii="Arial" w:hAnsi="Arial" w:cs="Arial"/>
                <w:sz w:val="20"/>
                <w:szCs w:val="20"/>
                <w:highlight w:val="lightGray"/>
              </w:rPr>
            </w:pPr>
          </w:p>
        </w:tc>
        <w:tc>
          <w:tcPr>
            <w:tcW w:w="2409" w:type="dxa"/>
            <w:vAlign w:val="center"/>
          </w:tcPr>
          <w:p w14:paraId="7D2777A7" w14:textId="77777777" w:rsidR="00D12E11" w:rsidRPr="00F7050E" w:rsidRDefault="00D12E11" w:rsidP="00BC7D1B">
            <w:pPr>
              <w:pStyle w:val="Default"/>
              <w:rPr>
                <w:rFonts w:ascii="Arial" w:hAnsi="Arial" w:cs="Arial"/>
                <w:bCs/>
                <w:sz w:val="20"/>
                <w:szCs w:val="20"/>
                <w:lang w:val="en-GB"/>
              </w:rPr>
            </w:pPr>
            <w:r w:rsidRPr="00F7050E">
              <w:rPr>
                <w:rFonts w:ascii="Arial" w:hAnsi="Arial" w:cs="Arial"/>
                <w:bCs/>
                <w:sz w:val="20"/>
                <w:szCs w:val="20"/>
                <w:lang w:val="en-GB"/>
              </w:rPr>
              <w:t xml:space="preserve">Incidence of risk of older people poverty by housing tenure status </w:t>
            </w:r>
          </w:p>
          <w:p w14:paraId="6E264371" w14:textId="77777777" w:rsidR="00D12E11" w:rsidRPr="00F7050E" w:rsidRDefault="00D12E11" w:rsidP="00BC7D1B">
            <w:pPr>
              <w:pStyle w:val="Default"/>
              <w:rPr>
                <w:rFonts w:ascii="Arial" w:hAnsi="Arial" w:cs="Arial"/>
                <w:bCs/>
                <w:sz w:val="20"/>
                <w:szCs w:val="20"/>
                <w:lang w:val="en-GB"/>
              </w:rPr>
            </w:pPr>
          </w:p>
          <w:p w14:paraId="4CF636F8" w14:textId="77777777" w:rsidR="00D12E11" w:rsidRPr="00F7050E" w:rsidRDefault="00D12E11" w:rsidP="00BC7D1B">
            <w:pPr>
              <w:pStyle w:val="Default"/>
              <w:rPr>
                <w:rFonts w:ascii="Arial" w:hAnsi="Arial" w:cs="Arial"/>
                <w:sz w:val="20"/>
                <w:szCs w:val="20"/>
                <w:lang w:val="en-GB"/>
              </w:rPr>
            </w:pPr>
          </w:p>
          <w:p w14:paraId="1CA797BF" w14:textId="77777777" w:rsidR="00D12E11" w:rsidRPr="00F7050E" w:rsidRDefault="00D12E11" w:rsidP="00BC7D1B">
            <w:pPr>
              <w:pStyle w:val="Default"/>
              <w:rPr>
                <w:rFonts w:ascii="Arial" w:hAnsi="Arial" w:cs="Arial"/>
                <w:sz w:val="20"/>
                <w:szCs w:val="20"/>
                <w:lang w:val="en-GB"/>
              </w:rPr>
            </w:pPr>
            <w:r w:rsidRPr="00F7050E">
              <w:rPr>
                <w:rFonts w:ascii="Arial" w:hAnsi="Arial" w:cs="Arial"/>
                <w:bCs/>
                <w:sz w:val="20"/>
                <w:szCs w:val="20"/>
                <w:lang w:val="en-GB"/>
              </w:rPr>
              <w:t>Risk of poverty calculated at 50% and 70% of the median national equivalised income for the older people</w:t>
            </w:r>
          </w:p>
          <w:p w14:paraId="64753115" w14:textId="77777777" w:rsidR="00D12E11" w:rsidRPr="00F7050E" w:rsidRDefault="00D12E11" w:rsidP="00BC7D1B">
            <w:pPr>
              <w:widowControl w:val="0"/>
              <w:autoSpaceDE w:val="0"/>
              <w:autoSpaceDN w:val="0"/>
              <w:adjustRightInd w:val="0"/>
              <w:rPr>
                <w:rFonts w:ascii="Arial" w:hAnsi="Arial" w:cs="Arial"/>
                <w:color w:val="0000FF"/>
                <w:sz w:val="20"/>
                <w:szCs w:val="20"/>
                <w:highlight w:val="lightGray"/>
              </w:rPr>
            </w:pPr>
          </w:p>
        </w:tc>
        <w:tc>
          <w:tcPr>
            <w:tcW w:w="1772" w:type="dxa"/>
            <w:vAlign w:val="center"/>
          </w:tcPr>
          <w:p w14:paraId="7EE8E364" w14:textId="77777777" w:rsidR="00D12E11" w:rsidRPr="00F7050E" w:rsidRDefault="00D12E11" w:rsidP="00BC7D1B">
            <w:pPr>
              <w:rPr>
                <w:rFonts w:ascii="Arial" w:hAnsi="Arial" w:cs="Arial"/>
                <w:sz w:val="20"/>
                <w:szCs w:val="20"/>
              </w:rPr>
            </w:pPr>
            <w:r w:rsidRPr="00F7050E">
              <w:rPr>
                <w:rFonts w:ascii="Arial" w:hAnsi="Arial" w:cs="Arial"/>
                <w:sz w:val="20"/>
                <w:szCs w:val="20"/>
              </w:rPr>
              <w:t>Adequate Pensions</w:t>
            </w:r>
          </w:p>
          <w:p w14:paraId="476881B1" w14:textId="77777777" w:rsidR="00D12E11" w:rsidRPr="00F7050E" w:rsidRDefault="00D12E11" w:rsidP="00BC7D1B">
            <w:pPr>
              <w:rPr>
                <w:rFonts w:ascii="Arial" w:hAnsi="Arial" w:cs="Arial"/>
                <w:sz w:val="20"/>
                <w:szCs w:val="20"/>
              </w:rPr>
            </w:pPr>
          </w:p>
          <w:p w14:paraId="0F4441A4" w14:textId="77777777" w:rsidR="00D12E11" w:rsidRPr="00F7050E" w:rsidRDefault="00D12E11" w:rsidP="00BC7D1B">
            <w:pPr>
              <w:rPr>
                <w:rFonts w:ascii="Arial" w:hAnsi="Arial" w:cs="Arial"/>
                <w:sz w:val="20"/>
                <w:szCs w:val="20"/>
              </w:rPr>
            </w:pPr>
            <w:r w:rsidRPr="00F7050E">
              <w:rPr>
                <w:rFonts w:ascii="Arial" w:hAnsi="Arial" w:cs="Arial"/>
                <w:i/>
                <w:sz w:val="20"/>
                <w:szCs w:val="20"/>
              </w:rPr>
              <w:t>Secondary EU indicator</w:t>
            </w:r>
          </w:p>
        </w:tc>
        <w:tc>
          <w:tcPr>
            <w:tcW w:w="2906" w:type="dxa"/>
            <w:vAlign w:val="center"/>
          </w:tcPr>
          <w:p w14:paraId="4896D7FD" w14:textId="77777777" w:rsidR="00D12E11" w:rsidRPr="00F7050E" w:rsidRDefault="00D12E11" w:rsidP="00BC7D1B">
            <w:pPr>
              <w:widowControl w:val="0"/>
              <w:autoSpaceDE w:val="0"/>
              <w:autoSpaceDN w:val="0"/>
              <w:adjustRightInd w:val="0"/>
              <w:rPr>
                <w:rFonts w:ascii="Arial" w:hAnsi="Arial" w:cs="Arial"/>
                <w:sz w:val="20"/>
                <w:szCs w:val="20"/>
                <w:highlight w:val="lightGray"/>
              </w:rPr>
            </w:pPr>
          </w:p>
        </w:tc>
        <w:tc>
          <w:tcPr>
            <w:tcW w:w="1630" w:type="dxa"/>
            <w:vAlign w:val="center"/>
          </w:tcPr>
          <w:p w14:paraId="5DE8F394" w14:textId="77777777" w:rsidR="00D12E11" w:rsidRPr="00F7050E" w:rsidRDefault="00D12E11" w:rsidP="00BC7D1B">
            <w:pPr>
              <w:jc w:val="center"/>
              <w:rPr>
                <w:rFonts w:ascii="Arial" w:hAnsi="Arial" w:cs="Arial"/>
                <w:sz w:val="20"/>
                <w:szCs w:val="20"/>
              </w:rPr>
            </w:pPr>
          </w:p>
        </w:tc>
        <w:tc>
          <w:tcPr>
            <w:tcW w:w="1772" w:type="dxa"/>
            <w:vAlign w:val="center"/>
          </w:tcPr>
          <w:p w14:paraId="4CD55978" w14:textId="77777777" w:rsidR="00D12E11" w:rsidRPr="00F7050E" w:rsidRDefault="00D12E11" w:rsidP="00BC7D1B">
            <w:pPr>
              <w:jc w:val="center"/>
              <w:rPr>
                <w:rFonts w:ascii="Arial" w:hAnsi="Arial" w:cs="Arial"/>
                <w:sz w:val="20"/>
                <w:szCs w:val="20"/>
              </w:rPr>
            </w:pPr>
          </w:p>
        </w:tc>
        <w:tc>
          <w:tcPr>
            <w:tcW w:w="3009" w:type="dxa"/>
            <w:vAlign w:val="center"/>
          </w:tcPr>
          <w:p w14:paraId="2FD62F3B"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This indicator is one of the secondary indicators; however, it is not adequate for the situation in Serbia, given the current housing ownership structure, particularly among the older people</w:t>
            </w:r>
          </w:p>
        </w:tc>
      </w:tr>
      <w:tr w:rsidR="00D12E11" w:rsidRPr="00F7050E" w14:paraId="6F4D1C82" w14:textId="77777777" w:rsidTr="00BC7D1B">
        <w:trPr>
          <w:trHeight w:val="454"/>
          <w:jc w:val="center"/>
        </w:trPr>
        <w:tc>
          <w:tcPr>
            <w:tcW w:w="534" w:type="dxa"/>
          </w:tcPr>
          <w:p w14:paraId="67BB4A07" w14:textId="77777777" w:rsidR="00D12E11" w:rsidRPr="00F7050E" w:rsidRDefault="00D12E11" w:rsidP="00BC7D1B">
            <w:pPr>
              <w:rPr>
                <w:rFonts w:ascii="Arial" w:hAnsi="Arial" w:cs="Arial"/>
                <w:sz w:val="20"/>
                <w:szCs w:val="20"/>
              </w:rPr>
            </w:pPr>
          </w:p>
        </w:tc>
        <w:tc>
          <w:tcPr>
            <w:tcW w:w="2409" w:type="dxa"/>
          </w:tcPr>
          <w:p w14:paraId="1713D4BF" w14:textId="77777777" w:rsidR="00D12E11" w:rsidRPr="00F7050E" w:rsidRDefault="00D12E11" w:rsidP="00BC7D1B">
            <w:pPr>
              <w:pStyle w:val="Default"/>
              <w:rPr>
                <w:rFonts w:ascii="Arial" w:hAnsi="Arial" w:cs="Arial"/>
                <w:sz w:val="20"/>
                <w:szCs w:val="20"/>
                <w:lang w:val="en-GB"/>
              </w:rPr>
            </w:pPr>
            <w:r w:rsidRPr="00F7050E">
              <w:rPr>
                <w:rFonts w:ascii="Arial" w:hAnsi="Arial" w:cs="Arial"/>
                <w:bCs/>
                <w:sz w:val="20"/>
                <w:szCs w:val="20"/>
                <w:lang w:val="en-GB"/>
              </w:rPr>
              <w:t>Risk of poverty calculated at 50% and 70% of the median national equivalised income for the older people</w:t>
            </w:r>
          </w:p>
        </w:tc>
        <w:tc>
          <w:tcPr>
            <w:tcW w:w="1772" w:type="dxa"/>
          </w:tcPr>
          <w:p w14:paraId="6ED573EF" w14:textId="77777777" w:rsidR="00D12E11" w:rsidRPr="00F7050E" w:rsidRDefault="00D12E11" w:rsidP="00BC7D1B">
            <w:pPr>
              <w:rPr>
                <w:rFonts w:ascii="Arial" w:hAnsi="Arial" w:cs="Arial"/>
                <w:sz w:val="20"/>
                <w:szCs w:val="20"/>
              </w:rPr>
            </w:pPr>
            <w:r w:rsidRPr="00F7050E">
              <w:rPr>
                <w:rFonts w:ascii="Arial" w:hAnsi="Arial" w:cs="Arial"/>
                <w:sz w:val="20"/>
                <w:szCs w:val="20"/>
              </w:rPr>
              <w:t>Adequate Pensions</w:t>
            </w:r>
          </w:p>
          <w:p w14:paraId="0DCD7BC8" w14:textId="77777777" w:rsidR="00D12E11" w:rsidRPr="00F7050E" w:rsidRDefault="00D12E11" w:rsidP="00BC7D1B">
            <w:pPr>
              <w:rPr>
                <w:rFonts w:ascii="Arial" w:hAnsi="Arial" w:cs="Arial"/>
                <w:sz w:val="20"/>
                <w:szCs w:val="20"/>
              </w:rPr>
            </w:pPr>
          </w:p>
          <w:p w14:paraId="1F12671F" w14:textId="77777777" w:rsidR="00D12E11" w:rsidRPr="00F7050E" w:rsidRDefault="00D12E11" w:rsidP="00BC7D1B">
            <w:pPr>
              <w:rPr>
                <w:rFonts w:ascii="Arial" w:hAnsi="Arial" w:cs="Arial"/>
                <w:sz w:val="20"/>
                <w:szCs w:val="20"/>
              </w:rPr>
            </w:pPr>
            <w:r w:rsidRPr="00F7050E">
              <w:rPr>
                <w:rFonts w:ascii="Arial" w:hAnsi="Arial" w:cs="Arial"/>
                <w:i/>
                <w:sz w:val="20"/>
                <w:szCs w:val="20"/>
              </w:rPr>
              <w:t>Secondary EU Indicator</w:t>
            </w:r>
          </w:p>
        </w:tc>
        <w:tc>
          <w:tcPr>
            <w:tcW w:w="2906" w:type="dxa"/>
          </w:tcPr>
          <w:p w14:paraId="200AE455" w14:textId="77777777" w:rsidR="00D12E11" w:rsidRPr="00F7050E" w:rsidRDefault="00D12E11" w:rsidP="00BC7D1B">
            <w:pPr>
              <w:widowControl w:val="0"/>
              <w:autoSpaceDE w:val="0"/>
              <w:autoSpaceDN w:val="0"/>
              <w:adjustRightInd w:val="0"/>
              <w:rPr>
                <w:rFonts w:ascii="Arial" w:hAnsi="Arial" w:cs="Arial"/>
                <w:sz w:val="20"/>
                <w:szCs w:val="20"/>
              </w:rPr>
            </w:pPr>
          </w:p>
        </w:tc>
        <w:tc>
          <w:tcPr>
            <w:tcW w:w="1630" w:type="dxa"/>
          </w:tcPr>
          <w:p w14:paraId="5CE66313" w14:textId="77777777" w:rsidR="00D12E11" w:rsidRPr="00F7050E" w:rsidRDefault="00D12E11" w:rsidP="00BC7D1B">
            <w:pPr>
              <w:rPr>
                <w:rFonts w:ascii="Arial" w:hAnsi="Arial" w:cs="Arial"/>
                <w:sz w:val="20"/>
                <w:szCs w:val="20"/>
              </w:rPr>
            </w:pPr>
          </w:p>
        </w:tc>
        <w:tc>
          <w:tcPr>
            <w:tcW w:w="1772" w:type="dxa"/>
          </w:tcPr>
          <w:p w14:paraId="0D73B3B6" w14:textId="77777777" w:rsidR="00D12E11" w:rsidRPr="00F7050E" w:rsidRDefault="00D12E11" w:rsidP="00BC7D1B">
            <w:pPr>
              <w:rPr>
                <w:rFonts w:ascii="Arial" w:hAnsi="Arial" w:cs="Arial"/>
                <w:sz w:val="20"/>
                <w:szCs w:val="20"/>
              </w:rPr>
            </w:pPr>
          </w:p>
        </w:tc>
        <w:tc>
          <w:tcPr>
            <w:tcW w:w="3009" w:type="dxa"/>
          </w:tcPr>
          <w:p w14:paraId="2AC1FE7F" w14:textId="77777777" w:rsidR="00D12E11" w:rsidRPr="00F7050E" w:rsidRDefault="00D12E11" w:rsidP="00BC7D1B">
            <w:pPr>
              <w:rPr>
                <w:rFonts w:ascii="Arial" w:hAnsi="Arial" w:cs="Arial"/>
                <w:sz w:val="20"/>
                <w:szCs w:val="20"/>
              </w:rPr>
            </w:pPr>
          </w:p>
        </w:tc>
      </w:tr>
      <w:tr w:rsidR="00D12E11" w:rsidRPr="00F7050E" w14:paraId="45391022" w14:textId="77777777" w:rsidTr="00BC7D1B">
        <w:trPr>
          <w:trHeight w:val="454"/>
          <w:jc w:val="center"/>
        </w:trPr>
        <w:tc>
          <w:tcPr>
            <w:tcW w:w="534" w:type="dxa"/>
          </w:tcPr>
          <w:p w14:paraId="7C4BA747" w14:textId="77777777" w:rsidR="00D12E11" w:rsidRPr="00F7050E" w:rsidRDefault="00D12E11" w:rsidP="00BC7D1B">
            <w:pPr>
              <w:rPr>
                <w:rFonts w:ascii="Arial" w:hAnsi="Arial" w:cs="Arial"/>
                <w:sz w:val="20"/>
                <w:szCs w:val="20"/>
              </w:rPr>
            </w:pPr>
          </w:p>
        </w:tc>
        <w:tc>
          <w:tcPr>
            <w:tcW w:w="2409" w:type="dxa"/>
          </w:tcPr>
          <w:p w14:paraId="7D5D38F7" w14:textId="77777777" w:rsidR="00D12E11" w:rsidRPr="00F7050E" w:rsidRDefault="00D12E11" w:rsidP="00BC7D1B">
            <w:pPr>
              <w:widowControl w:val="0"/>
              <w:autoSpaceDE w:val="0"/>
              <w:autoSpaceDN w:val="0"/>
              <w:adjustRightInd w:val="0"/>
              <w:rPr>
                <w:rFonts w:ascii="Arial" w:hAnsi="Arial" w:cs="Arial"/>
                <w:sz w:val="20"/>
                <w:szCs w:val="20"/>
              </w:rPr>
            </w:pPr>
            <w:r w:rsidRPr="00F7050E">
              <w:rPr>
                <w:rFonts w:ascii="Arial" w:hAnsi="Arial" w:cs="Arial"/>
                <w:sz w:val="20"/>
                <w:szCs w:val="20"/>
              </w:rPr>
              <w:t>Effective labour market exit age</w:t>
            </w:r>
          </w:p>
          <w:p w14:paraId="7C5F4467" w14:textId="77777777" w:rsidR="00D12E11" w:rsidRPr="00F7050E" w:rsidRDefault="00D12E11" w:rsidP="00BC7D1B">
            <w:pPr>
              <w:rPr>
                <w:rFonts w:ascii="Arial" w:hAnsi="Arial" w:cs="Arial"/>
                <w:sz w:val="20"/>
                <w:szCs w:val="20"/>
              </w:rPr>
            </w:pPr>
            <w:r w:rsidRPr="00F7050E">
              <w:rPr>
                <w:rFonts w:ascii="Arial" w:hAnsi="Arial" w:cs="Arial"/>
                <w:sz w:val="20"/>
                <w:szCs w:val="20"/>
              </w:rPr>
              <w:t>NOW REPLACED BY Duration of working life</w:t>
            </w:r>
          </w:p>
        </w:tc>
        <w:tc>
          <w:tcPr>
            <w:tcW w:w="1772" w:type="dxa"/>
          </w:tcPr>
          <w:p w14:paraId="6DD01A2D" w14:textId="77777777" w:rsidR="00D12E11" w:rsidRPr="00F7050E" w:rsidRDefault="00D12E11" w:rsidP="00BC7D1B">
            <w:pPr>
              <w:rPr>
                <w:rFonts w:ascii="Arial" w:hAnsi="Arial" w:cs="Arial"/>
                <w:sz w:val="20"/>
                <w:szCs w:val="20"/>
              </w:rPr>
            </w:pPr>
            <w:r w:rsidRPr="00F7050E">
              <w:rPr>
                <w:rFonts w:ascii="Arial" w:hAnsi="Arial" w:cs="Arial"/>
                <w:sz w:val="20"/>
                <w:szCs w:val="20"/>
              </w:rPr>
              <w:t>Sustainable Pensions</w:t>
            </w:r>
          </w:p>
          <w:p w14:paraId="63892CCD" w14:textId="77777777" w:rsidR="00D12E11" w:rsidRPr="00F7050E" w:rsidRDefault="00D12E11" w:rsidP="00BC7D1B">
            <w:pPr>
              <w:rPr>
                <w:rFonts w:ascii="Arial" w:hAnsi="Arial" w:cs="Arial"/>
                <w:sz w:val="20"/>
                <w:szCs w:val="20"/>
              </w:rPr>
            </w:pPr>
          </w:p>
          <w:p w14:paraId="2088A970" w14:textId="77777777" w:rsidR="00D12E11" w:rsidRPr="00F7050E" w:rsidRDefault="00D12E11" w:rsidP="00BC7D1B">
            <w:pPr>
              <w:rPr>
                <w:rFonts w:ascii="Arial" w:hAnsi="Arial" w:cs="Arial"/>
                <w:i/>
                <w:sz w:val="20"/>
                <w:szCs w:val="20"/>
              </w:rPr>
            </w:pPr>
            <w:r w:rsidRPr="00F7050E">
              <w:rPr>
                <w:rFonts w:ascii="Arial" w:hAnsi="Arial" w:cs="Arial"/>
                <w:i/>
                <w:sz w:val="20"/>
                <w:szCs w:val="20"/>
              </w:rPr>
              <w:t>Primary EU Indicator</w:t>
            </w:r>
          </w:p>
        </w:tc>
        <w:tc>
          <w:tcPr>
            <w:tcW w:w="2906" w:type="dxa"/>
          </w:tcPr>
          <w:p w14:paraId="35D8F5EB" w14:textId="77777777" w:rsidR="00D12E11" w:rsidRPr="00F7050E" w:rsidRDefault="00D12E11" w:rsidP="00BC7D1B">
            <w:pPr>
              <w:widowControl w:val="0"/>
              <w:autoSpaceDE w:val="0"/>
              <w:autoSpaceDN w:val="0"/>
              <w:adjustRightInd w:val="0"/>
              <w:rPr>
                <w:rFonts w:ascii="Arial" w:hAnsi="Arial" w:cs="Arial"/>
                <w:sz w:val="20"/>
                <w:szCs w:val="20"/>
              </w:rPr>
            </w:pPr>
            <w:r w:rsidRPr="00F7050E">
              <w:rPr>
                <w:rFonts w:ascii="Arial" w:hAnsi="Arial" w:cs="Arial"/>
                <w:sz w:val="20"/>
                <w:szCs w:val="20"/>
              </w:rPr>
              <w:t>The average age of withdrawal from the labour market, based on a probability model considering the relative changes of activity rates from one year to another at a specific age.</w:t>
            </w:r>
          </w:p>
          <w:p w14:paraId="5F5F161B" w14:textId="77777777" w:rsidR="00D12E11" w:rsidRPr="00F7050E" w:rsidRDefault="00D12E11" w:rsidP="00BC7D1B">
            <w:pPr>
              <w:rPr>
                <w:rFonts w:ascii="Arial" w:hAnsi="Arial" w:cs="Arial"/>
                <w:sz w:val="20"/>
                <w:szCs w:val="20"/>
              </w:rPr>
            </w:pPr>
            <w:r w:rsidRPr="00F7050E">
              <w:rPr>
                <w:rFonts w:ascii="Arial" w:hAnsi="Arial" w:cs="Arial"/>
                <w:sz w:val="20"/>
                <w:szCs w:val="20"/>
              </w:rPr>
              <w:t>The duration of working life indicator measures the number of years a person at a given age is expected to be active in the labour market.</w:t>
            </w:r>
          </w:p>
        </w:tc>
        <w:tc>
          <w:tcPr>
            <w:tcW w:w="1630" w:type="dxa"/>
          </w:tcPr>
          <w:p w14:paraId="5DDFEC90" w14:textId="77777777" w:rsidR="00D12E11" w:rsidRPr="00F7050E" w:rsidRDefault="00D12E11" w:rsidP="00BC7D1B">
            <w:pPr>
              <w:rPr>
                <w:rFonts w:ascii="Arial" w:hAnsi="Arial" w:cs="Arial"/>
                <w:sz w:val="20"/>
                <w:szCs w:val="20"/>
              </w:rPr>
            </w:pPr>
          </w:p>
        </w:tc>
        <w:tc>
          <w:tcPr>
            <w:tcW w:w="1772" w:type="dxa"/>
          </w:tcPr>
          <w:p w14:paraId="72833996" w14:textId="77777777" w:rsidR="00D12E11" w:rsidRPr="00F7050E" w:rsidRDefault="00D12E11" w:rsidP="00BC7D1B">
            <w:pPr>
              <w:rPr>
                <w:rFonts w:ascii="Arial" w:hAnsi="Arial" w:cs="Arial"/>
                <w:sz w:val="20"/>
                <w:szCs w:val="20"/>
              </w:rPr>
            </w:pPr>
          </w:p>
        </w:tc>
        <w:tc>
          <w:tcPr>
            <w:tcW w:w="3009" w:type="dxa"/>
          </w:tcPr>
          <w:p w14:paraId="2F451133" w14:textId="77777777" w:rsidR="00D12E11" w:rsidRPr="00F7050E" w:rsidRDefault="00D12E11" w:rsidP="00BC7D1B">
            <w:pPr>
              <w:rPr>
                <w:rFonts w:ascii="Arial" w:hAnsi="Arial" w:cs="Arial"/>
                <w:sz w:val="20"/>
                <w:szCs w:val="20"/>
              </w:rPr>
            </w:pPr>
            <w:r w:rsidRPr="00F7050E">
              <w:rPr>
                <w:rFonts w:ascii="Arial" w:hAnsi="Arial" w:cs="Arial"/>
                <w:sz w:val="20"/>
                <w:szCs w:val="20"/>
              </w:rPr>
              <w:t>The central challenge is probably the extent to which pension reforms will translate into an increase of the effective retirement age.</w:t>
            </w:r>
          </w:p>
          <w:p w14:paraId="07B1A5FA" w14:textId="77777777" w:rsidR="00D12E11" w:rsidRPr="00F7050E" w:rsidRDefault="00D12E11" w:rsidP="00BC7D1B">
            <w:pPr>
              <w:rPr>
                <w:rFonts w:ascii="Arial" w:hAnsi="Arial" w:cs="Arial"/>
                <w:sz w:val="20"/>
                <w:szCs w:val="20"/>
              </w:rPr>
            </w:pPr>
            <w:r w:rsidRPr="00F7050E">
              <w:rPr>
                <w:rFonts w:ascii="Arial" w:hAnsi="Arial" w:cs="Arial"/>
                <w:sz w:val="20"/>
                <w:szCs w:val="20"/>
              </w:rPr>
              <w:t>The effective labour market exit age indicator has been discontinued. A new indicator called 'duration of working life' has been developed to replace the old 'average exit age' indicator.</w:t>
            </w:r>
          </w:p>
        </w:tc>
      </w:tr>
      <w:tr w:rsidR="00D12E11" w:rsidRPr="00F7050E" w14:paraId="7F6441B5" w14:textId="77777777" w:rsidTr="00BC7D1B">
        <w:trPr>
          <w:trHeight w:val="454"/>
          <w:jc w:val="center"/>
        </w:trPr>
        <w:tc>
          <w:tcPr>
            <w:tcW w:w="534" w:type="dxa"/>
            <w:vAlign w:val="center"/>
          </w:tcPr>
          <w:p w14:paraId="392CB78D" w14:textId="77777777" w:rsidR="00D12E11" w:rsidRPr="00F7050E" w:rsidRDefault="00D12E11" w:rsidP="00BC7D1B">
            <w:pPr>
              <w:jc w:val="center"/>
              <w:rPr>
                <w:rFonts w:ascii="Arial" w:hAnsi="Arial" w:cs="Arial"/>
                <w:sz w:val="20"/>
                <w:szCs w:val="20"/>
              </w:rPr>
            </w:pPr>
          </w:p>
        </w:tc>
        <w:tc>
          <w:tcPr>
            <w:tcW w:w="2409" w:type="dxa"/>
          </w:tcPr>
          <w:p w14:paraId="038A75D7" w14:textId="77777777" w:rsidR="00D12E11" w:rsidRPr="00F7050E" w:rsidRDefault="00D12E11" w:rsidP="00BC7D1B">
            <w:pPr>
              <w:pStyle w:val="Default"/>
              <w:rPr>
                <w:rFonts w:ascii="Arial" w:hAnsi="Arial" w:cs="Arial"/>
                <w:sz w:val="20"/>
                <w:szCs w:val="20"/>
                <w:lang w:val="en-GB"/>
              </w:rPr>
            </w:pPr>
            <w:r w:rsidRPr="00F7050E">
              <w:rPr>
                <w:rFonts w:ascii="Arial" w:hAnsi="Arial" w:cs="Arial"/>
                <w:bCs/>
                <w:sz w:val="20"/>
                <w:szCs w:val="20"/>
                <w:lang w:val="en-GB"/>
              </w:rPr>
              <w:t xml:space="preserve">Changes in projected theoretical replacement ratio for base case 2006-2046 </w:t>
            </w:r>
          </w:p>
          <w:p w14:paraId="71D775DF" w14:textId="77777777" w:rsidR="00D12E11" w:rsidRPr="00F7050E" w:rsidRDefault="00D12E11" w:rsidP="00BC7D1B">
            <w:pPr>
              <w:pStyle w:val="Default"/>
              <w:rPr>
                <w:rFonts w:ascii="Arial" w:hAnsi="Arial" w:cs="Arial"/>
                <w:b/>
                <w:bCs/>
                <w:sz w:val="20"/>
                <w:szCs w:val="20"/>
                <w:lang w:val="en-GB"/>
              </w:rPr>
            </w:pPr>
          </w:p>
          <w:p w14:paraId="71D1D1C3" w14:textId="77777777" w:rsidR="00D12E11" w:rsidRPr="00F7050E" w:rsidRDefault="00D12E11" w:rsidP="00BC7D1B">
            <w:pPr>
              <w:pStyle w:val="Default"/>
              <w:rPr>
                <w:rFonts w:ascii="Arial" w:hAnsi="Arial" w:cs="Arial"/>
                <w:sz w:val="20"/>
                <w:szCs w:val="20"/>
                <w:lang w:val="en-GB"/>
              </w:rPr>
            </w:pPr>
            <w:r w:rsidRPr="00F7050E">
              <w:rPr>
                <w:rFonts w:ascii="Arial" w:hAnsi="Arial" w:cs="Arial"/>
                <w:bCs/>
                <w:sz w:val="20"/>
                <w:szCs w:val="20"/>
                <w:lang w:val="en-GB"/>
              </w:rPr>
              <w:t xml:space="preserve">accompanied by </w:t>
            </w:r>
            <w:r w:rsidRPr="00F7050E">
              <w:rPr>
                <w:rFonts w:ascii="Arial" w:hAnsi="Arial" w:cs="Arial"/>
                <w:bCs/>
                <w:sz w:val="20"/>
                <w:szCs w:val="20"/>
                <w:lang w:val="en-GB"/>
              </w:rPr>
              <w:lastRenderedPageBreak/>
              <w:t>information on type of pension schemes (DB- Defined Benefits, DC-Defined Contributions, or NDC-</w:t>
            </w:r>
            <w:r w:rsidRPr="00F7050E">
              <w:rPr>
                <w:rStyle w:val="Emphasis"/>
                <w:rFonts w:ascii="Arial" w:hAnsi="Arial" w:cs="Arial"/>
                <w:bCs/>
                <w:color w:val="auto"/>
                <w:sz w:val="20"/>
                <w:szCs w:val="20"/>
                <w:shd w:val="clear" w:color="auto" w:fill="FFFFFF"/>
              </w:rPr>
              <w:t>Notional Defined Contribution</w:t>
            </w:r>
            <w:r w:rsidRPr="00F7050E">
              <w:rPr>
                <w:rFonts w:ascii="Arial" w:hAnsi="Arial" w:cs="Arial"/>
                <w:color w:val="auto"/>
                <w:sz w:val="20"/>
                <w:szCs w:val="20"/>
                <w:shd w:val="clear" w:color="auto" w:fill="FFFFFF"/>
              </w:rPr>
              <w:t> plans</w:t>
            </w:r>
            <w:r w:rsidRPr="00F7050E">
              <w:rPr>
                <w:rFonts w:ascii="Arial" w:hAnsi="Arial" w:cs="Arial"/>
                <w:bCs/>
                <w:sz w:val="20"/>
                <w:szCs w:val="20"/>
                <w:lang w:val="en-GB"/>
              </w:rPr>
              <w:t xml:space="preserve">) and changes in the projected public pension expenditure 2006-2046 ) </w:t>
            </w:r>
          </w:p>
          <w:p w14:paraId="19691975" w14:textId="77777777" w:rsidR="00D12E11" w:rsidRPr="00F7050E" w:rsidRDefault="00D12E11" w:rsidP="00BC7D1B">
            <w:pPr>
              <w:pStyle w:val="Default"/>
              <w:rPr>
                <w:rFonts w:ascii="Arial" w:hAnsi="Arial" w:cs="Arial"/>
                <w:sz w:val="20"/>
                <w:szCs w:val="20"/>
                <w:lang w:val="en-GB"/>
              </w:rPr>
            </w:pPr>
            <w:r w:rsidRPr="00F7050E">
              <w:rPr>
                <w:rFonts w:ascii="Arial" w:hAnsi="Arial" w:cs="Arial"/>
                <w:bCs/>
                <w:sz w:val="20"/>
                <w:szCs w:val="20"/>
                <w:lang w:val="en-GB"/>
              </w:rPr>
              <w:t xml:space="preserve">These results should be presented systematically and collectively in one table. </w:t>
            </w:r>
          </w:p>
          <w:p w14:paraId="70025B78" w14:textId="77777777" w:rsidR="00D12E11" w:rsidRPr="00F7050E" w:rsidRDefault="00D12E11" w:rsidP="00BC7D1B">
            <w:pPr>
              <w:pStyle w:val="Default"/>
              <w:rPr>
                <w:rFonts w:ascii="Arial" w:hAnsi="Arial" w:cs="Arial"/>
                <w:sz w:val="20"/>
                <w:szCs w:val="20"/>
                <w:lang w:val="en-GB"/>
              </w:rPr>
            </w:pPr>
            <w:r w:rsidRPr="00F7050E">
              <w:rPr>
                <w:rFonts w:ascii="Arial" w:hAnsi="Arial" w:cs="Arial"/>
                <w:bCs/>
                <w:sz w:val="20"/>
                <w:szCs w:val="20"/>
                <w:lang w:val="en-GB"/>
              </w:rPr>
              <w:t xml:space="preserve">+ assumptions and the relevant background information on representativeness </w:t>
            </w:r>
          </w:p>
          <w:p w14:paraId="257BECC0" w14:textId="77777777" w:rsidR="00D12E11" w:rsidRPr="00F7050E" w:rsidRDefault="00D12E11" w:rsidP="00BC7D1B">
            <w:pPr>
              <w:pStyle w:val="Default"/>
              <w:rPr>
                <w:rFonts w:ascii="Arial" w:hAnsi="Arial" w:cs="Arial"/>
                <w:b/>
                <w:bCs/>
                <w:sz w:val="20"/>
                <w:szCs w:val="20"/>
                <w:lang w:val="en-GB"/>
              </w:rPr>
            </w:pPr>
            <w:r w:rsidRPr="00F7050E">
              <w:rPr>
                <w:rFonts w:ascii="Arial" w:hAnsi="Arial" w:cs="Arial"/>
                <w:bCs/>
                <w:sz w:val="20"/>
                <w:szCs w:val="20"/>
                <w:lang w:val="en-GB"/>
              </w:rPr>
              <w:t xml:space="preserve">+ present </w:t>
            </w:r>
            <w:r w:rsidRPr="00F7050E">
              <w:rPr>
                <w:rFonts w:ascii="Arial" w:hAnsi="Arial" w:cs="Arial"/>
                <w:b/>
                <w:bCs/>
                <w:sz w:val="20"/>
                <w:szCs w:val="20"/>
                <w:lang w:val="en-GB"/>
              </w:rPr>
              <w:t xml:space="preserve"> </w:t>
            </w:r>
            <w:r w:rsidRPr="00F7050E">
              <w:rPr>
                <w:rFonts w:ascii="Arial" w:hAnsi="Arial" w:cs="Arial"/>
                <w:bCs/>
                <w:sz w:val="20"/>
                <w:szCs w:val="20"/>
                <w:lang w:val="en-GB"/>
              </w:rPr>
              <w:t>calculations of changes in the replacement rates for one or two other cases, if suitable (for instance OECD</w:t>
            </w:r>
            <w:r w:rsidRPr="00F7050E">
              <w:rPr>
                <w:rFonts w:ascii="Arial" w:hAnsi="Arial" w:cs="Arial"/>
                <w:b/>
                <w:bCs/>
                <w:sz w:val="20"/>
                <w:szCs w:val="20"/>
                <w:lang w:val="en-GB"/>
              </w:rPr>
              <w:t xml:space="preserve">) </w:t>
            </w:r>
          </w:p>
          <w:p w14:paraId="1E3659CB" w14:textId="77777777" w:rsidR="00D12E11" w:rsidRPr="00F7050E" w:rsidRDefault="00D12E11" w:rsidP="00BC7D1B">
            <w:pPr>
              <w:pStyle w:val="Default"/>
              <w:rPr>
                <w:rFonts w:ascii="Arial" w:hAnsi="Arial" w:cs="Arial"/>
                <w:b/>
                <w:bCs/>
                <w:sz w:val="20"/>
                <w:szCs w:val="20"/>
                <w:lang w:val="en-GB"/>
              </w:rPr>
            </w:pPr>
          </w:p>
        </w:tc>
        <w:tc>
          <w:tcPr>
            <w:tcW w:w="1772" w:type="dxa"/>
          </w:tcPr>
          <w:p w14:paraId="261F84A2" w14:textId="77777777" w:rsidR="00D12E11" w:rsidRPr="00F7050E" w:rsidRDefault="00D12E11" w:rsidP="00BC7D1B">
            <w:pPr>
              <w:rPr>
                <w:rFonts w:ascii="Arial" w:hAnsi="Arial" w:cs="Arial"/>
                <w:sz w:val="20"/>
                <w:szCs w:val="20"/>
              </w:rPr>
            </w:pPr>
            <w:r w:rsidRPr="00F7050E">
              <w:rPr>
                <w:rFonts w:ascii="Arial" w:hAnsi="Arial" w:cs="Arial"/>
                <w:sz w:val="20"/>
                <w:szCs w:val="20"/>
              </w:rPr>
              <w:lastRenderedPageBreak/>
              <w:t xml:space="preserve">Adequate Pensions </w:t>
            </w:r>
          </w:p>
          <w:p w14:paraId="2230040F" w14:textId="77777777" w:rsidR="00D12E11" w:rsidRPr="00F7050E" w:rsidRDefault="00D12E11" w:rsidP="00BC7D1B">
            <w:pPr>
              <w:rPr>
                <w:rFonts w:ascii="Arial" w:hAnsi="Arial" w:cs="Arial"/>
                <w:i/>
                <w:sz w:val="20"/>
                <w:szCs w:val="20"/>
              </w:rPr>
            </w:pPr>
            <w:r w:rsidRPr="00F7050E">
              <w:rPr>
                <w:rFonts w:ascii="Arial" w:hAnsi="Arial" w:cs="Arial"/>
                <w:sz w:val="20"/>
                <w:szCs w:val="20"/>
              </w:rPr>
              <w:br/>
            </w:r>
            <w:r w:rsidRPr="00F7050E">
              <w:rPr>
                <w:rFonts w:ascii="Arial" w:hAnsi="Arial" w:cs="Arial"/>
                <w:i/>
                <w:sz w:val="20"/>
                <w:szCs w:val="20"/>
              </w:rPr>
              <w:t>Primary EU-NAT Indicator</w:t>
            </w:r>
          </w:p>
          <w:p w14:paraId="271878AF" w14:textId="77777777" w:rsidR="00D12E11" w:rsidRPr="00F7050E" w:rsidRDefault="00D12E11" w:rsidP="00BC7D1B">
            <w:pPr>
              <w:rPr>
                <w:rFonts w:ascii="Arial" w:hAnsi="Arial" w:cs="Arial"/>
                <w:i/>
                <w:sz w:val="20"/>
                <w:szCs w:val="20"/>
              </w:rPr>
            </w:pPr>
          </w:p>
          <w:p w14:paraId="70DAA51E" w14:textId="77777777" w:rsidR="00D12E11" w:rsidRPr="00F7050E" w:rsidRDefault="00D12E11" w:rsidP="00BC7D1B">
            <w:pPr>
              <w:rPr>
                <w:rFonts w:ascii="Arial" w:hAnsi="Arial" w:cs="Arial"/>
                <w:i/>
                <w:sz w:val="20"/>
                <w:szCs w:val="20"/>
              </w:rPr>
            </w:pPr>
            <w:r w:rsidRPr="00F7050E">
              <w:rPr>
                <w:rFonts w:ascii="Arial" w:hAnsi="Arial" w:cs="Arial"/>
                <w:i/>
                <w:sz w:val="20"/>
                <w:szCs w:val="20"/>
              </w:rPr>
              <w:lastRenderedPageBreak/>
              <w:t>Context Information/</w:t>
            </w:r>
          </w:p>
          <w:p w14:paraId="0EFD5E0C" w14:textId="77777777" w:rsidR="00D12E11" w:rsidRPr="00F7050E" w:rsidRDefault="00D12E11" w:rsidP="00BC7D1B">
            <w:pPr>
              <w:rPr>
                <w:rFonts w:ascii="Arial" w:hAnsi="Arial" w:cs="Arial"/>
                <w:i/>
                <w:sz w:val="20"/>
                <w:szCs w:val="20"/>
              </w:rPr>
            </w:pPr>
            <w:r w:rsidRPr="00F7050E">
              <w:rPr>
                <w:rFonts w:ascii="Arial" w:hAnsi="Arial" w:cs="Arial"/>
                <w:i/>
                <w:sz w:val="20"/>
                <w:szCs w:val="20"/>
              </w:rPr>
              <w:t>Overarching Portfolio</w:t>
            </w:r>
          </w:p>
        </w:tc>
        <w:tc>
          <w:tcPr>
            <w:tcW w:w="2906" w:type="dxa"/>
          </w:tcPr>
          <w:p w14:paraId="290DA670"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lastRenderedPageBreak/>
              <w:t xml:space="preserve">Changes in the theoretical level of income from pensions at the moment of take-up relative to the income from work in the last year before retirement for a hypothetical </w:t>
            </w:r>
            <w:r w:rsidRPr="00F7050E">
              <w:rPr>
                <w:rFonts w:ascii="Arial" w:hAnsi="Arial" w:cs="Arial"/>
                <w:sz w:val="20"/>
                <w:szCs w:val="20"/>
                <w:lang w:val="en-GB"/>
              </w:rPr>
              <w:lastRenderedPageBreak/>
              <w:t xml:space="preserve">worker (base case), percentage points, 2006-2046, with information on the type of pension schemes (DB, DC or NDC) and changes in the public pension expenditure as a share of GDP, 2006-2046. </w:t>
            </w:r>
          </w:p>
          <w:p w14:paraId="0BB6D362"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This information can form the indicator called Projected Theoretical Replacement Ratio only if it is all put together. </w:t>
            </w:r>
          </w:p>
          <w:p w14:paraId="7FD80F05"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Results relate to the current and projected, the gross (public and private) and total net replacement rates, and should be accompanied by information on representativeness and assumptions (contribution rates and coverage rates, both public and private). </w:t>
            </w:r>
          </w:p>
          <w:p w14:paraId="1EC52A68"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Specific assumptions agreed in the ISG. For further details, see Updates of Current and Prospective Theoretical Pension Replacement Rates 2006-2046. </w:t>
            </w:r>
          </w:p>
        </w:tc>
        <w:tc>
          <w:tcPr>
            <w:tcW w:w="1630" w:type="dxa"/>
          </w:tcPr>
          <w:p w14:paraId="0CF8875D" w14:textId="77777777" w:rsidR="00D12E11" w:rsidRPr="00F7050E" w:rsidRDefault="00D12E11" w:rsidP="00BC7D1B">
            <w:pPr>
              <w:pStyle w:val="Default"/>
              <w:rPr>
                <w:rFonts w:ascii="Arial" w:hAnsi="Arial" w:cs="Arial"/>
                <w:sz w:val="20"/>
                <w:szCs w:val="20"/>
                <w:lang w:val="en-GB"/>
              </w:rPr>
            </w:pPr>
          </w:p>
          <w:p w14:paraId="356DBB60" w14:textId="77777777" w:rsidR="00D12E11" w:rsidRPr="00F7050E" w:rsidRDefault="00D12E11" w:rsidP="00BC7D1B">
            <w:pPr>
              <w:rPr>
                <w:rFonts w:ascii="Arial" w:hAnsi="Arial" w:cs="Arial"/>
                <w:sz w:val="20"/>
                <w:szCs w:val="20"/>
              </w:rPr>
            </w:pPr>
          </w:p>
        </w:tc>
        <w:tc>
          <w:tcPr>
            <w:tcW w:w="1772" w:type="dxa"/>
          </w:tcPr>
          <w:p w14:paraId="4DBA1B61"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 xml:space="preserve">Information on the development of future adequacy has to be complemented </w:t>
            </w:r>
            <w:r w:rsidRPr="00F7050E">
              <w:rPr>
                <w:rFonts w:ascii="Arial" w:hAnsi="Arial" w:cs="Arial"/>
                <w:sz w:val="20"/>
                <w:szCs w:val="20"/>
                <w:lang w:val="en-GB"/>
              </w:rPr>
              <w:lastRenderedPageBreak/>
              <w:t xml:space="preserve">by the information on future sustainability (projections of pension expenditure). </w:t>
            </w:r>
          </w:p>
          <w:p w14:paraId="77B93958"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Theoretical replacement rates provide the key elements about the current replacement levels and their likely evolution, in response to the enacted reforms, especially for the DC</w:t>
            </w:r>
            <w:r w:rsidRPr="00F7050E">
              <w:rPr>
                <w:rFonts w:ascii="Arial" w:hAnsi="Arial" w:cs="Arial"/>
                <w:color w:val="auto"/>
                <w:sz w:val="20"/>
                <w:szCs w:val="20"/>
                <w:lang w:val="en-GB"/>
              </w:rPr>
              <w:t xml:space="preserve"> schemes</w:t>
            </w:r>
            <w:r w:rsidRPr="00F7050E">
              <w:rPr>
                <w:rFonts w:ascii="Arial" w:hAnsi="Arial" w:cs="Arial"/>
                <w:sz w:val="20"/>
                <w:szCs w:val="20"/>
                <w:lang w:val="en-GB"/>
              </w:rPr>
              <w:t xml:space="preserve">. They provide comprehensive similar information for the DB schemes when used with the appropriate information regarding the sustainability of such schemes. </w:t>
            </w:r>
          </w:p>
          <w:p w14:paraId="17D9CE65"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Other NAT indicators: other cases including differences in careers and in retirement age. </w:t>
            </w:r>
          </w:p>
        </w:tc>
        <w:tc>
          <w:tcPr>
            <w:tcW w:w="3009" w:type="dxa"/>
          </w:tcPr>
          <w:p w14:paraId="19CFC20D" w14:textId="77777777" w:rsidR="00D12E11" w:rsidRPr="00F7050E" w:rsidRDefault="00D12E11" w:rsidP="00BC7D1B">
            <w:pPr>
              <w:pStyle w:val="HTMLPreformatted"/>
              <w:shd w:val="clear" w:color="auto" w:fill="FFFFFF"/>
              <w:rPr>
                <w:rFonts w:ascii="Arial" w:hAnsi="Arial" w:cs="Arial"/>
                <w:b/>
                <w:color w:val="212121"/>
              </w:rPr>
            </w:pPr>
            <w:r w:rsidRPr="00F7050E">
              <w:rPr>
                <w:rFonts w:ascii="Arial" w:hAnsi="Arial" w:cs="Arial"/>
                <w:color w:val="212121"/>
              </w:rPr>
              <w:lastRenderedPageBreak/>
              <w:t xml:space="preserve">This is a primary indicator in the </w:t>
            </w:r>
            <w:r w:rsidRPr="00F7050E">
              <w:rPr>
                <w:rFonts w:ascii="Arial" w:hAnsi="Arial" w:cs="Arial"/>
              </w:rPr>
              <w:t>EU Pensions Portfolio of Social Indicators;</w:t>
            </w:r>
            <w:r w:rsidRPr="00F7050E">
              <w:rPr>
                <w:rFonts w:ascii="Arial" w:hAnsi="Arial" w:cs="Arial"/>
                <w:color w:val="212121"/>
              </w:rPr>
              <w:t xml:space="preserve"> however, for Serbia, it is not quite relevant, given the ad hoc changes of general point indexations and </w:t>
            </w:r>
            <w:r w:rsidRPr="00F7050E">
              <w:rPr>
                <w:rFonts w:ascii="Arial" w:hAnsi="Arial" w:cs="Arial"/>
                <w:color w:val="212121"/>
              </w:rPr>
              <w:lastRenderedPageBreak/>
              <w:t>pensions, and the uncertainty of future indexation</w:t>
            </w:r>
          </w:p>
          <w:p w14:paraId="52541987" w14:textId="77777777" w:rsidR="00D12E11" w:rsidRPr="00F7050E" w:rsidRDefault="00D12E11" w:rsidP="00BC7D1B">
            <w:pPr>
              <w:rPr>
                <w:rFonts w:ascii="Arial" w:hAnsi="Arial" w:cs="Arial"/>
                <w:sz w:val="20"/>
                <w:szCs w:val="20"/>
              </w:rPr>
            </w:pPr>
          </w:p>
        </w:tc>
      </w:tr>
      <w:tr w:rsidR="00D12E11" w:rsidRPr="00F7050E" w14:paraId="2455B39F" w14:textId="77777777" w:rsidTr="00BC7D1B">
        <w:trPr>
          <w:trHeight w:val="454"/>
          <w:jc w:val="center"/>
        </w:trPr>
        <w:tc>
          <w:tcPr>
            <w:tcW w:w="534" w:type="dxa"/>
          </w:tcPr>
          <w:p w14:paraId="4439ABA6" w14:textId="77777777" w:rsidR="00D12E11" w:rsidRPr="00F7050E" w:rsidRDefault="00D12E11" w:rsidP="00BC7D1B">
            <w:pPr>
              <w:rPr>
                <w:rFonts w:ascii="Arial" w:hAnsi="Arial" w:cs="Arial"/>
                <w:sz w:val="20"/>
                <w:szCs w:val="20"/>
              </w:rPr>
            </w:pPr>
          </w:p>
          <w:p w14:paraId="737AD28C" w14:textId="77777777" w:rsidR="00D12E11" w:rsidRPr="00F7050E" w:rsidRDefault="00D12E11" w:rsidP="00BC7D1B">
            <w:pPr>
              <w:rPr>
                <w:rFonts w:ascii="Arial" w:hAnsi="Arial" w:cs="Arial"/>
                <w:sz w:val="20"/>
                <w:szCs w:val="20"/>
              </w:rPr>
            </w:pPr>
          </w:p>
        </w:tc>
        <w:tc>
          <w:tcPr>
            <w:tcW w:w="2409" w:type="dxa"/>
          </w:tcPr>
          <w:p w14:paraId="49EC3D7E" w14:textId="77777777" w:rsidR="00D12E11" w:rsidRPr="00F7050E" w:rsidRDefault="00D12E11" w:rsidP="00BC7D1B">
            <w:pPr>
              <w:rPr>
                <w:rFonts w:ascii="Arial" w:hAnsi="Arial" w:cs="Arial"/>
                <w:sz w:val="20"/>
                <w:szCs w:val="20"/>
              </w:rPr>
            </w:pPr>
            <w:r w:rsidRPr="00F7050E">
              <w:rPr>
                <w:rFonts w:ascii="Arial" w:hAnsi="Arial" w:cs="Arial"/>
                <w:iCs/>
                <w:sz w:val="20"/>
                <w:szCs w:val="20"/>
              </w:rPr>
              <w:t>Employment rate</w:t>
            </w:r>
          </w:p>
        </w:tc>
        <w:tc>
          <w:tcPr>
            <w:tcW w:w="1772" w:type="dxa"/>
          </w:tcPr>
          <w:p w14:paraId="06FFF5B3" w14:textId="77777777" w:rsidR="00D12E11" w:rsidRPr="00F7050E" w:rsidRDefault="00D12E11" w:rsidP="00BC7D1B">
            <w:pPr>
              <w:rPr>
                <w:rFonts w:ascii="Arial" w:hAnsi="Arial" w:cs="Arial"/>
                <w:i/>
                <w:sz w:val="20"/>
                <w:szCs w:val="20"/>
              </w:rPr>
            </w:pPr>
            <w:r w:rsidRPr="00F7050E">
              <w:rPr>
                <w:rFonts w:ascii="Arial" w:hAnsi="Arial" w:cs="Arial"/>
                <w:i/>
                <w:sz w:val="20"/>
                <w:szCs w:val="20"/>
              </w:rPr>
              <w:t>Context Information/</w:t>
            </w:r>
          </w:p>
          <w:p w14:paraId="24818F39" w14:textId="77777777" w:rsidR="00D12E11" w:rsidRPr="00F7050E" w:rsidRDefault="00D12E11" w:rsidP="00BC7D1B">
            <w:pPr>
              <w:rPr>
                <w:rFonts w:ascii="Arial" w:hAnsi="Arial" w:cs="Arial"/>
                <w:i/>
                <w:sz w:val="20"/>
                <w:szCs w:val="20"/>
              </w:rPr>
            </w:pPr>
            <w:r w:rsidRPr="00F7050E">
              <w:rPr>
                <w:rFonts w:ascii="Arial" w:hAnsi="Arial" w:cs="Arial"/>
                <w:i/>
                <w:sz w:val="20"/>
                <w:szCs w:val="20"/>
              </w:rPr>
              <w:lastRenderedPageBreak/>
              <w:t>Overarching Portfolio/</w:t>
            </w:r>
          </w:p>
          <w:p w14:paraId="19604438" w14:textId="77777777" w:rsidR="00D12E11" w:rsidRPr="00F7050E" w:rsidRDefault="00D12E11" w:rsidP="00BC7D1B">
            <w:pPr>
              <w:rPr>
                <w:rFonts w:ascii="Arial" w:hAnsi="Arial" w:cs="Arial"/>
                <w:i/>
                <w:sz w:val="20"/>
                <w:szCs w:val="20"/>
              </w:rPr>
            </w:pPr>
            <w:r w:rsidRPr="00F7050E">
              <w:rPr>
                <w:rFonts w:ascii="Arial" w:hAnsi="Arial" w:cs="Arial"/>
                <w:i/>
                <w:sz w:val="20"/>
                <w:szCs w:val="20"/>
              </w:rPr>
              <w:t>Primary Sustainability Indicator</w:t>
            </w:r>
          </w:p>
          <w:p w14:paraId="1D25C8E6" w14:textId="77777777" w:rsidR="00D12E11" w:rsidRPr="00F7050E" w:rsidRDefault="00D12E11" w:rsidP="00BC7D1B">
            <w:pPr>
              <w:rPr>
                <w:rFonts w:ascii="Arial" w:hAnsi="Arial" w:cs="Arial"/>
                <w:sz w:val="20"/>
                <w:szCs w:val="20"/>
              </w:rPr>
            </w:pPr>
          </w:p>
        </w:tc>
        <w:tc>
          <w:tcPr>
            <w:tcW w:w="2906" w:type="dxa"/>
          </w:tcPr>
          <w:p w14:paraId="4D98EE01" w14:textId="77777777" w:rsidR="00D12E11" w:rsidRPr="00F7050E" w:rsidRDefault="00D12E11" w:rsidP="00BC7D1B">
            <w:pPr>
              <w:rPr>
                <w:rFonts w:ascii="Arial" w:hAnsi="Arial" w:cs="Arial"/>
                <w:sz w:val="20"/>
                <w:szCs w:val="20"/>
              </w:rPr>
            </w:pPr>
          </w:p>
        </w:tc>
        <w:tc>
          <w:tcPr>
            <w:tcW w:w="1630" w:type="dxa"/>
          </w:tcPr>
          <w:p w14:paraId="7EEF7D04"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By sex </w:t>
            </w:r>
          </w:p>
        </w:tc>
        <w:tc>
          <w:tcPr>
            <w:tcW w:w="1772" w:type="dxa"/>
          </w:tcPr>
          <w:p w14:paraId="449C0ECB" w14:textId="77777777" w:rsidR="00D12E11" w:rsidRPr="00F7050E" w:rsidRDefault="00D12E11" w:rsidP="00BC7D1B">
            <w:pPr>
              <w:rPr>
                <w:rFonts w:ascii="Arial" w:hAnsi="Arial" w:cs="Arial"/>
                <w:sz w:val="20"/>
                <w:szCs w:val="20"/>
              </w:rPr>
            </w:pPr>
            <w:r w:rsidRPr="00F7050E">
              <w:rPr>
                <w:rFonts w:ascii="Arial" w:hAnsi="Arial" w:cs="Arial"/>
                <w:sz w:val="20"/>
                <w:szCs w:val="20"/>
              </w:rPr>
              <w:t>SORS /LFS</w:t>
            </w:r>
          </w:p>
        </w:tc>
        <w:tc>
          <w:tcPr>
            <w:tcW w:w="3009" w:type="dxa"/>
          </w:tcPr>
          <w:p w14:paraId="31F063D4" w14:textId="77777777" w:rsidR="00D12E11" w:rsidRPr="00F7050E" w:rsidRDefault="00D12E11" w:rsidP="00BC7D1B">
            <w:pPr>
              <w:pStyle w:val="Default"/>
              <w:spacing w:after="120"/>
              <w:rPr>
                <w:rFonts w:ascii="Arial" w:hAnsi="Arial" w:cs="Arial"/>
                <w:i/>
                <w:sz w:val="20"/>
                <w:szCs w:val="20"/>
                <w:lang w:val="en-GB"/>
              </w:rPr>
            </w:pPr>
            <w:r w:rsidRPr="00F7050E">
              <w:rPr>
                <w:rFonts w:ascii="Arial" w:hAnsi="Arial" w:cs="Arial"/>
                <w:sz w:val="20"/>
                <w:szCs w:val="20"/>
                <w:lang w:val="en-GB"/>
              </w:rPr>
              <w:t xml:space="preserve">SORS/LFS </w:t>
            </w:r>
            <w:r w:rsidRPr="00F7050E">
              <w:rPr>
                <w:rFonts w:ascii="Arial" w:hAnsi="Arial" w:cs="Arial"/>
                <w:i/>
                <w:sz w:val="20"/>
                <w:szCs w:val="20"/>
                <w:lang w:val="en-GB"/>
              </w:rPr>
              <w:t xml:space="preserve">Bulletin and </w:t>
            </w:r>
            <w:r w:rsidRPr="00F7050E">
              <w:rPr>
                <w:rFonts w:ascii="Arial" w:hAnsi="Arial" w:cs="Arial"/>
                <w:i/>
                <w:sz w:val="20"/>
                <w:szCs w:val="20"/>
                <w:lang w:val="en-GB"/>
              </w:rPr>
              <w:lastRenderedPageBreak/>
              <w:t xml:space="preserve">Communications </w:t>
            </w:r>
          </w:p>
          <w:p w14:paraId="6E328CF0" w14:textId="77777777" w:rsidR="00D12E11" w:rsidRPr="00F7050E" w:rsidRDefault="00D12E11" w:rsidP="00BC7D1B">
            <w:pPr>
              <w:pStyle w:val="Default"/>
              <w:rPr>
                <w:rFonts w:ascii="Arial" w:hAnsi="Arial" w:cs="Arial"/>
                <w:sz w:val="20"/>
                <w:szCs w:val="20"/>
                <w:lang w:val="en-GB"/>
              </w:rPr>
            </w:pPr>
            <w:r w:rsidRPr="00F7050E">
              <w:rPr>
                <w:rFonts w:ascii="Arial" w:hAnsi="Arial" w:cs="Arial"/>
                <w:sz w:val="20"/>
                <w:szCs w:val="20"/>
                <w:lang w:val="en-GB"/>
              </w:rPr>
              <w:t>According to EU (2015), the employment rate of people aged 55-64 (measured by EUROSTAT LFS) is an essential aspect of pension systems sustainability; therefore, this is a primary indicator in the EU Pensions Portfolio of Social Indicators. However, bearing in mind certain particularities pertaining to Serbia (primarily the high level of the grey economy and the number of farmers who do not pay contributions), this indicator is not considered to be of primary importance; rather, it can be considered as a potential and not as an essential aspect of sustainability. For this reason it has been classified as context information, the way it is classified within the overarching EU indicators</w:t>
            </w:r>
          </w:p>
        </w:tc>
      </w:tr>
      <w:tr w:rsidR="00D12E11" w:rsidRPr="00F7050E" w14:paraId="22287EEB" w14:textId="77777777" w:rsidTr="00BC7D1B">
        <w:trPr>
          <w:trHeight w:val="454"/>
          <w:jc w:val="center"/>
        </w:trPr>
        <w:tc>
          <w:tcPr>
            <w:tcW w:w="534" w:type="dxa"/>
            <w:tcBorders>
              <w:bottom w:val="single" w:sz="4" w:space="0" w:color="000000"/>
            </w:tcBorders>
            <w:vAlign w:val="center"/>
          </w:tcPr>
          <w:p w14:paraId="06D8ABEA" w14:textId="77777777" w:rsidR="00D12E11" w:rsidRPr="00F7050E" w:rsidRDefault="00D12E11" w:rsidP="00BC7D1B">
            <w:pPr>
              <w:jc w:val="center"/>
              <w:rPr>
                <w:rFonts w:ascii="Arial" w:hAnsi="Arial" w:cs="Arial"/>
                <w:sz w:val="20"/>
                <w:szCs w:val="20"/>
              </w:rPr>
            </w:pPr>
          </w:p>
        </w:tc>
        <w:tc>
          <w:tcPr>
            <w:tcW w:w="2409" w:type="dxa"/>
            <w:tcBorders>
              <w:bottom w:val="single" w:sz="4" w:space="0" w:color="000000"/>
            </w:tcBorders>
          </w:tcPr>
          <w:p w14:paraId="4147D89F" w14:textId="77777777" w:rsidR="00D12E11" w:rsidRPr="00F7050E" w:rsidRDefault="00D12E11" w:rsidP="00BC7D1B">
            <w:pPr>
              <w:rPr>
                <w:rFonts w:ascii="Arial" w:hAnsi="Arial" w:cs="Arial"/>
                <w:sz w:val="20"/>
                <w:szCs w:val="20"/>
              </w:rPr>
            </w:pPr>
            <w:r w:rsidRPr="00F7050E">
              <w:rPr>
                <w:rFonts w:ascii="Arial" w:hAnsi="Arial" w:cs="Arial"/>
                <w:sz w:val="20"/>
                <w:szCs w:val="20"/>
              </w:rPr>
              <w:t>Pension expenditure projections (as percentage of GDP)</w:t>
            </w:r>
          </w:p>
          <w:p w14:paraId="7C4E1078" w14:textId="77777777" w:rsidR="00D12E11" w:rsidRPr="00F7050E" w:rsidRDefault="00D12E11" w:rsidP="00BC7D1B">
            <w:pPr>
              <w:rPr>
                <w:rFonts w:ascii="Arial" w:hAnsi="Arial" w:cs="Arial"/>
                <w:sz w:val="20"/>
                <w:szCs w:val="20"/>
              </w:rPr>
            </w:pPr>
          </w:p>
          <w:p w14:paraId="59DABB16" w14:textId="77777777" w:rsidR="00D12E11" w:rsidRPr="00F7050E" w:rsidRDefault="00D12E11" w:rsidP="00BC7D1B">
            <w:pPr>
              <w:rPr>
                <w:rFonts w:ascii="Arial" w:hAnsi="Arial" w:cs="Arial"/>
                <w:sz w:val="20"/>
                <w:szCs w:val="20"/>
              </w:rPr>
            </w:pPr>
          </w:p>
          <w:p w14:paraId="37481F9F" w14:textId="77777777" w:rsidR="00D12E11" w:rsidRPr="00F7050E" w:rsidRDefault="00D12E11" w:rsidP="00BC7D1B">
            <w:pPr>
              <w:rPr>
                <w:rFonts w:ascii="Arial" w:hAnsi="Arial" w:cs="Arial"/>
                <w:sz w:val="20"/>
                <w:szCs w:val="20"/>
              </w:rPr>
            </w:pPr>
          </w:p>
          <w:p w14:paraId="64F1EE6D" w14:textId="77777777" w:rsidR="00D12E11" w:rsidRPr="00F7050E" w:rsidRDefault="00D12E11" w:rsidP="00BC7D1B">
            <w:pPr>
              <w:rPr>
                <w:rFonts w:ascii="Arial" w:hAnsi="Arial" w:cs="Arial"/>
                <w:sz w:val="20"/>
                <w:szCs w:val="20"/>
              </w:rPr>
            </w:pPr>
          </w:p>
          <w:p w14:paraId="3054B95E" w14:textId="77777777" w:rsidR="00D12E11" w:rsidRPr="00F7050E" w:rsidRDefault="00D12E11" w:rsidP="00BC7D1B">
            <w:pPr>
              <w:rPr>
                <w:rFonts w:ascii="Arial" w:hAnsi="Arial" w:cs="Arial"/>
                <w:sz w:val="20"/>
                <w:szCs w:val="20"/>
              </w:rPr>
            </w:pPr>
            <w:r w:rsidRPr="00F7050E">
              <w:rPr>
                <w:rFonts w:ascii="Arial" w:hAnsi="Arial" w:cs="Arial"/>
                <w:sz w:val="20"/>
                <w:szCs w:val="20"/>
              </w:rPr>
              <w:t xml:space="preserve">Projections of pension expenditure, public and total, 2004 -2050 (percentage of GDP) </w:t>
            </w:r>
          </w:p>
        </w:tc>
        <w:tc>
          <w:tcPr>
            <w:tcW w:w="1772" w:type="dxa"/>
            <w:tcBorders>
              <w:bottom w:val="single" w:sz="4" w:space="0" w:color="000000"/>
            </w:tcBorders>
          </w:tcPr>
          <w:p w14:paraId="3D5828F6" w14:textId="77777777" w:rsidR="00D12E11" w:rsidRPr="00F7050E" w:rsidRDefault="00D12E11" w:rsidP="00BC7D1B">
            <w:pPr>
              <w:rPr>
                <w:rFonts w:ascii="Arial" w:hAnsi="Arial" w:cs="Arial"/>
                <w:sz w:val="20"/>
                <w:szCs w:val="20"/>
              </w:rPr>
            </w:pPr>
            <w:r w:rsidRPr="00F7050E">
              <w:rPr>
                <w:rFonts w:ascii="Arial" w:hAnsi="Arial" w:cs="Arial"/>
                <w:sz w:val="20"/>
                <w:szCs w:val="20"/>
              </w:rPr>
              <w:t>Sustainable Pensions</w:t>
            </w:r>
          </w:p>
          <w:p w14:paraId="7A2828B9" w14:textId="77777777" w:rsidR="00D12E11" w:rsidRPr="00F7050E" w:rsidRDefault="00D12E11" w:rsidP="00BC7D1B">
            <w:pPr>
              <w:rPr>
                <w:rFonts w:ascii="Arial" w:hAnsi="Arial" w:cs="Arial"/>
                <w:sz w:val="20"/>
                <w:szCs w:val="20"/>
              </w:rPr>
            </w:pPr>
          </w:p>
          <w:p w14:paraId="71AF4CB9" w14:textId="77777777" w:rsidR="00D12E11" w:rsidRPr="00F7050E" w:rsidRDefault="00D12E11" w:rsidP="00BC7D1B">
            <w:pPr>
              <w:rPr>
                <w:rFonts w:ascii="Arial" w:hAnsi="Arial" w:cs="Arial"/>
                <w:sz w:val="20"/>
                <w:szCs w:val="20"/>
              </w:rPr>
            </w:pPr>
            <w:r w:rsidRPr="00F7050E">
              <w:rPr>
                <w:rFonts w:ascii="Arial" w:hAnsi="Arial" w:cs="Arial"/>
                <w:i/>
                <w:sz w:val="20"/>
                <w:szCs w:val="20"/>
              </w:rPr>
              <w:t>Primary EU Indicator</w:t>
            </w:r>
          </w:p>
        </w:tc>
        <w:tc>
          <w:tcPr>
            <w:tcW w:w="2906" w:type="dxa"/>
            <w:tcBorders>
              <w:bottom w:val="single" w:sz="4" w:space="0" w:color="000000"/>
            </w:tcBorders>
          </w:tcPr>
          <w:p w14:paraId="6D1F3770" w14:textId="77777777" w:rsidR="00D12E11" w:rsidRPr="00F7050E" w:rsidRDefault="00D12E11" w:rsidP="00BC7D1B">
            <w:pPr>
              <w:rPr>
                <w:rFonts w:ascii="Arial" w:hAnsi="Arial" w:cs="Arial"/>
                <w:sz w:val="20"/>
                <w:szCs w:val="20"/>
              </w:rPr>
            </w:pPr>
            <w:r w:rsidRPr="00F7050E">
              <w:rPr>
                <w:rFonts w:ascii="Arial" w:hAnsi="Arial" w:cs="Arial"/>
                <w:sz w:val="20"/>
                <w:szCs w:val="20"/>
              </w:rPr>
              <w:t>Specific assumptions agreed in the AWG. For further details, see the 2009 Ageing Report: Underlying Assumptions and Projection Methodologies for the EU 27 Member States (2007-2060)</w:t>
            </w:r>
          </w:p>
        </w:tc>
        <w:tc>
          <w:tcPr>
            <w:tcW w:w="1630" w:type="dxa"/>
            <w:tcBorders>
              <w:bottom w:val="single" w:sz="4" w:space="0" w:color="000000"/>
            </w:tcBorders>
          </w:tcPr>
          <w:p w14:paraId="619EA29F" w14:textId="77777777" w:rsidR="00D12E11" w:rsidRPr="00F7050E" w:rsidRDefault="00D12E11" w:rsidP="00BC7D1B">
            <w:pPr>
              <w:rPr>
                <w:rFonts w:ascii="Arial" w:hAnsi="Arial" w:cs="Arial"/>
                <w:sz w:val="20"/>
                <w:szCs w:val="20"/>
              </w:rPr>
            </w:pPr>
            <w:r w:rsidRPr="00F7050E">
              <w:rPr>
                <w:rFonts w:ascii="Arial" w:hAnsi="Arial" w:cs="Arial"/>
                <w:sz w:val="20"/>
                <w:szCs w:val="20"/>
              </w:rPr>
              <w:t>None</w:t>
            </w:r>
          </w:p>
        </w:tc>
        <w:tc>
          <w:tcPr>
            <w:tcW w:w="1772" w:type="dxa"/>
            <w:tcBorders>
              <w:bottom w:val="single" w:sz="4" w:space="0" w:color="000000"/>
            </w:tcBorders>
          </w:tcPr>
          <w:p w14:paraId="1DD18CFF" w14:textId="77777777" w:rsidR="00D12E11" w:rsidRPr="00F7050E" w:rsidRDefault="00D12E11" w:rsidP="00BC7D1B">
            <w:pPr>
              <w:rPr>
                <w:rFonts w:ascii="Arial" w:hAnsi="Arial" w:cs="Arial"/>
                <w:sz w:val="20"/>
                <w:szCs w:val="20"/>
              </w:rPr>
            </w:pPr>
            <w:r w:rsidRPr="00F7050E">
              <w:rPr>
                <w:rFonts w:ascii="Arial" w:hAnsi="Arial" w:cs="Arial"/>
                <w:sz w:val="20"/>
                <w:szCs w:val="20"/>
              </w:rPr>
              <w:t>EPC-AWG</w:t>
            </w:r>
          </w:p>
        </w:tc>
        <w:tc>
          <w:tcPr>
            <w:tcW w:w="3009" w:type="dxa"/>
            <w:tcBorders>
              <w:bottom w:val="single" w:sz="4" w:space="0" w:color="000000"/>
            </w:tcBorders>
          </w:tcPr>
          <w:p w14:paraId="0B1AE74F"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 xml:space="preserve">Projections of pension expenditure also reflect assumptions made on economic trends (notably the evolution of employment rates, in particular for the older workers). Attention should be paid to the fact that the various methodologies used by Member States may not ensure full consistency and comparability (particularly in </w:t>
            </w:r>
            <w:r w:rsidRPr="00F7050E">
              <w:rPr>
                <w:rFonts w:ascii="Arial" w:hAnsi="Arial" w:cs="Arial"/>
                <w:sz w:val="20"/>
                <w:szCs w:val="20"/>
              </w:rPr>
              <w:lastRenderedPageBreak/>
              <w:t>the coverage of private and occupational pensions).</w:t>
            </w:r>
          </w:p>
        </w:tc>
      </w:tr>
      <w:tr w:rsidR="00D12E11" w:rsidRPr="00F7050E" w14:paraId="34AC46BE" w14:textId="77777777" w:rsidTr="00BC7D1B">
        <w:trPr>
          <w:trHeight w:val="454"/>
          <w:jc w:val="center"/>
        </w:trPr>
        <w:tc>
          <w:tcPr>
            <w:tcW w:w="534" w:type="dxa"/>
            <w:tcBorders>
              <w:bottom w:val="single" w:sz="4" w:space="0" w:color="000000"/>
            </w:tcBorders>
            <w:vAlign w:val="center"/>
          </w:tcPr>
          <w:p w14:paraId="0699C036" w14:textId="77777777" w:rsidR="00D12E11" w:rsidRPr="00F7050E" w:rsidRDefault="00D12E11" w:rsidP="00BC7D1B">
            <w:pPr>
              <w:jc w:val="center"/>
              <w:rPr>
                <w:rFonts w:ascii="Arial" w:hAnsi="Arial" w:cs="Arial"/>
                <w:sz w:val="20"/>
                <w:szCs w:val="20"/>
              </w:rPr>
            </w:pPr>
          </w:p>
        </w:tc>
        <w:tc>
          <w:tcPr>
            <w:tcW w:w="2409" w:type="dxa"/>
            <w:tcBorders>
              <w:bottom w:val="single" w:sz="4" w:space="0" w:color="000000"/>
            </w:tcBorders>
          </w:tcPr>
          <w:p w14:paraId="536F8BFE" w14:textId="77777777" w:rsidR="00D12E11" w:rsidRPr="00F7050E" w:rsidRDefault="00D12E11" w:rsidP="00BC7D1B">
            <w:pPr>
              <w:rPr>
                <w:rFonts w:ascii="Arial" w:hAnsi="Arial" w:cs="Arial"/>
                <w:sz w:val="20"/>
                <w:szCs w:val="20"/>
              </w:rPr>
            </w:pPr>
            <w:r w:rsidRPr="00F7050E">
              <w:rPr>
                <w:rFonts w:ascii="Arial" w:hAnsi="Arial" w:cs="Arial"/>
                <w:bCs/>
                <w:sz w:val="20"/>
                <w:szCs w:val="20"/>
              </w:rPr>
              <w:t>Decomposition of the projected increase in public pension expenditure</w:t>
            </w:r>
          </w:p>
        </w:tc>
        <w:tc>
          <w:tcPr>
            <w:tcW w:w="1772" w:type="dxa"/>
            <w:tcBorders>
              <w:bottom w:val="single" w:sz="4" w:space="0" w:color="000000"/>
            </w:tcBorders>
          </w:tcPr>
          <w:p w14:paraId="795A67D6" w14:textId="77777777" w:rsidR="00D12E11" w:rsidRPr="00F7050E" w:rsidRDefault="00D12E11" w:rsidP="00BC7D1B">
            <w:pPr>
              <w:rPr>
                <w:rFonts w:ascii="Arial" w:hAnsi="Arial" w:cs="Arial"/>
                <w:sz w:val="20"/>
                <w:szCs w:val="20"/>
              </w:rPr>
            </w:pPr>
            <w:r w:rsidRPr="00F7050E">
              <w:rPr>
                <w:rFonts w:ascii="Arial" w:hAnsi="Arial" w:cs="Arial"/>
                <w:sz w:val="20"/>
                <w:szCs w:val="20"/>
              </w:rPr>
              <w:t>Sustainable Pensions</w:t>
            </w:r>
          </w:p>
          <w:p w14:paraId="1C4E7168" w14:textId="77777777" w:rsidR="00D12E11" w:rsidRPr="00F7050E" w:rsidRDefault="00D12E11" w:rsidP="00BC7D1B">
            <w:pPr>
              <w:rPr>
                <w:rFonts w:ascii="Arial" w:hAnsi="Arial" w:cs="Arial"/>
                <w:sz w:val="20"/>
                <w:szCs w:val="20"/>
              </w:rPr>
            </w:pPr>
          </w:p>
          <w:p w14:paraId="08617595" w14:textId="77777777" w:rsidR="00D12E11" w:rsidRPr="00F7050E" w:rsidRDefault="00D12E11" w:rsidP="00BC7D1B">
            <w:pPr>
              <w:rPr>
                <w:rFonts w:ascii="Arial" w:hAnsi="Arial" w:cs="Arial"/>
                <w:sz w:val="20"/>
                <w:szCs w:val="20"/>
              </w:rPr>
            </w:pPr>
            <w:r w:rsidRPr="00F7050E">
              <w:rPr>
                <w:rFonts w:ascii="Arial" w:hAnsi="Arial" w:cs="Arial"/>
                <w:i/>
                <w:sz w:val="20"/>
                <w:szCs w:val="20"/>
              </w:rPr>
              <w:t>Secondary EU Indicator</w:t>
            </w:r>
          </w:p>
        </w:tc>
        <w:tc>
          <w:tcPr>
            <w:tcW w:w="2906" w:type="dxa"/>
            <w:tcBorders>
              <w:bottom w:val="single" w:sz="4" w:space="0" w:color="000000"/>
            </w:tcBorders>
          </w:tcPr>
          <w:p w14:paraId="1DE87D98" w14:textId="77777777" w:rsidR="00D12E11" w:rsidRPr="00F7050E" w:rsidRDefault="00D12E11" w:rsidP="00BC7D1B">
            <w:pPr>
              <w:rPr>
                <w:rFonts w:ascii="Arial" w:hAnsi="Arial" w:cs="Arial"/>
                <w:sz w:val="20"/>
                <w:szCs w:val="20"/>
              </w:rPr>
            </w:pPr>
            <w:r w:rsidRPr="00F7050E">
              <w:rPr>
                <w:rFonts w:ascii="Arial" w:hAnsi="Arial" w:cs="Arial"/>
                <w:sz w:val="20"/>
                <w:szCs w:val="20"/>
              </w:rPr>
              <w:t>Decomposition with the old age dependency ratio, the employment effect, the take-up ratio and the benefit ratio. Specific assumptions agreed in the AWG. For further details, see the 2009 Ageing Report: Underlying Assumptions and Projection Methodologies for the EU-27 Member States (2007-2060).</w:t>
            </w:r>
          </w:p>
        </w:tc>
        <w:tc>
          <w:tcPr>
            <w:tcW w:w="1630" w:type="dxa"/>
            <w:tcBorders>
              <w:bottom w:val="single" w:sz="4" w:space="0" w:color="000000"/>
            </w:tcBorders>
          </w:tcPr>
          <w:p w14:paraId="7B26E6FD" w14:textId="77777777" w:rsidR="00D12E11" w:rsidRPr="00F7050E" w:rsidRDefault="00D12E11" w:rsidP="00BC7D1B">
            <w:pPr>
              <w:rPr>
                <w:rFonts w:ascii="Arial" w:hAnsi="Arial" w:cs="Arial"/>
                <w:sz w:val="20"/>
                <w:szCs w:val="20"/>
              </w:rPr>
            </w:pPr>
          </w:p>
        </w:tc>
        <w:tc>
          <w:tcPr>
            <w:tcW w:w="1772" w:type="dxa"/>
            <w:tcBorders>
              <w:bottom w:val="single" w:sz="4" w:space="0" w:color="000000"/>
            </w:tcBorders>
          </w:tcPr>
          <w:p w14:paraId="1E786FA6" w14:textId="77777777" w:rsidR="00D12E11" w:rsidRPr="00F7050E" w:rsidRDefault="00D12E11" w:rsidP="00BC7D1B">
            <w:pPr>
              <w:rPr>
                <w:rFonts w:ascii="Arial" w:hAnsi="Arial" w:cs="Arial"/>
                <w:sz w:val="20"/>
                <w:szCs w:val="20"/>
              </w:rPr>
            </w:pPr>
            <w:r w:rsidRPr="00F7050E">
              <w:rPr>
                <w:rFonts w:ascii="Arial" w:hAnsi="Arial" w:cs="Arial"/>
                <w:sz w:val="20"/>
                <w:szCs w:val="20"/>
              </w:rPr>
              <w:t>EPC-AWG</w:t>
            </w:r>
          </w:p>
        </w:tc>
        <w:tc>
          <w:tcPr>
            <w:tcW w:w="3009" w:type="dxa"/>
            <w:tcBorders>
              <w:bottom w:val="single" w:sz="4" w:space="0" w:color="000000"/>
            </w:tcBorders>
          </w:tcPr>
          <w:p w14:paraId="0D5FF0F9" w14:textId="77777777" w:rsidR="00D12E11" w:rsidRPr="00F7050E" w:rsidRDefault="00D12E11" w:rsidP="00BC7D1B">
            <w:pPr>
              <w:rPr>
                <w:rFonts w:ascii="Arial" w:hAnsi="Arial" w:cs="Arial"/>
                <w:sz w:val="20"/>
                <w:szCs w:val="20"/>
                <w:highlight w:val="green"/>
              </w:rPr>
            </w:pPr>
            <w:r w:rsidRPr="00F7050E">
              <w:rPr>
                <w:rFonts w:ascii="Arial" w:hAnsi="Arial" w:cs="Arial"/>
                <w:sz w:val="20"/>
                <w:szCs w:val="20"/>
              </w:rPr>
              <w:t>Projections of pension expenditure also reflect assumptions made on economic trends (notably the evolution of employment rates, in particular for the older workers). Attention should be paid to the fact that the various methodologies used by Member States may not ensure full consistency and comparability (particularly in the coverage of private and occupational pensions).</w:t>
            </w:r>
          </w:p>
        </w:tc>
      </w:tr>
    </w:tbl>
    <w:p w14:paraId="5022A909" w14:textId="77777777" w:rsidR="00D12E11" w:rsidRPr="00F7050E" w:rsidRDefault="00D12E11" w:rsidP="00D12E11">
      <w:pPr>
        <w:rPr>
          <w:rFonts w:ascii="Arial" w:hAnsi="Arial" w:cs="Arial"/>
          <w:sz w:val="20"/>
          <w:szCs w:val="20"/>
        </w:rPr>
      </w:pPr>
    </w:p>
    <w:p w14:paraId="079E09BB" w14:textId="6EED1A7D" w:rsidR="007A306D" w:rsidRDefault="007A306D" w:rsidP="007A306D">
      <w:pPr>
        <w:pStyle w:val="ListParagraph"/>
        <w:spacing w:after="240" w:line="360" w:lineRule="auto"/>
        <w:ind w:left="0"/>
        <w:jc w:val="both"/>
      </w:pPr>
    </w:p>
    <w:p w14:paraId="71FAB8B7" w14:textId="77777777" w:rsidR="00D12E11" w:rsidRDefault="00D12E11" w:rsidP="007A306D">
      <w:pPr>
        <w:pStyle w:val="ListParagraph"/>
        <w:spacing w:after="240" w:line="360" w:lineRule="auto"/>
        <w:ind w:left="0"/>
        <w:jc w:val="both"/>
      </w:pPr>
    </w:p>
    <w:p w14:paraId="3A8D49C7" w14:textId="77777777" w:rsidR="00D12E11" w:rsidRDefault="00D12E11" w:rsidP="007A306D">
      <w:pPr>
        <w:pStyle w:val="ListParagraph"/>
        <w:spacing w:after="240" w:line="360" w:lineRule="auto"/>
        <w:ind w:left="0"/>
        <w:jc w:val="both"/>
        <w:sectPr w:rsidR="00D12E11" w:rsidSect="00D12E11">
          <w:pgSz w:w="16840" w:h="11900" w:orient="landscape"/>
          <w:pgMar w:top="1411" w:right="1411" w:bottom="1411" w:left="1699" w:header="706" w:footer="706" w:gutter="0"/>
          <w:pgNumType w:start="1"/>
          <w:cols w:space="708"/>
          <w:docGrid w:linePitch="326"/>
        </w:sectPr>
      </w:pPr>
    </w:p>
    <w:p w14:paraId="54E80CCB" w14:textId="5CBB9915" w:rsidR="00D73409" w:rsidRPr="007A306D" w:rsidRDefault="00996FDD" w:rsidP="007A306D">
      <w:pPr>
        <w:pStyle w:val="ListParagraph"/>
        <w:spacing w:after="240" w:line="360" w:lineRule="auto"/>
        <w:ind w:left="0"/>
        <w:jc w:val="both"/>
        <w:rPr>
          <w:rFonts w:ascii="Arial" w:hAnsi="Arial"/>
          <w:sz w:val="21"/>
          <w:szCs w:val="21"/>
        </w:rPr>
      </w:pPr>
      <w:r w:rsidRPr="00692411">
        <w:rPr>
          <w:rFonts w:ascii="Arial" w:hAnsi="Arial"/>
          <w:color w:val="4F81BD" w:themeColor="accent1"/>
        </w:rPr>
        <w:lastRenderedPageBreak/>
        <w:t xml:space="preserve">ANEX 1. PENSIONS IN OMC CONTEXT </w:t>
      </w:r>
      <w:r w:rsidR="00CC0BF5" w:rsidRPr="00692411">
        <w:rPr>
          <w:rFonts w:ascii="Arial" w:hAnsi="Arial"/>
          <w:color w:val="4F81BD" w:themeColor="accent1"/>
        </w:rPr>
        <w:t xml:space="preserve">– </w:t>
      </w:r>
      <w:r w:rsidRPr="00692411">
        <w:rPr>
          <w:rFonts w:ascii="Arial" w:hAnsi="Arial"/>
          <w:color w:val="4F81BD" w:themeColor="accent1"/>
        </w:rPr>
        <w:t>SUMMARY TIMELINE</w:t>
      </w:r>
    </w:p>
    <w:p w14:paraId="653FBAFC" w14:textId="77777777" w:rsidR="00043568" w:rsidRPr="00692411" w:rsidRDefault="00043568" w:rsidP="00692411">
      <w:pPr>
        <w:widowControl w:val="0"/>
        <w:autoSpaceDE w:val="0"/>
        <w:autoSpaceDN w:val="0"/>
        <w:adjustRightInd w:val="0"/>
        <w:spacing w:line="360" w:lineRule="auto"/>
        <w:jc w:val="both"/>
        <w:rPr>
          <w:rFonts w:ascii="Arial" w:hAnsi="Arial"/>
          <w:sz w:val="21"/>
          <w:szCs w:val="21"/>
        </w:rPr>
      </w:pPr>
    </w:p>
    <w:p w14:paraId="58F53D52" w14:textId="77777777" w:rsidR="00043568" w:rsidRPr="00692411" w:rsidRDefault="00043568" w:rsidP="00692411">
      <w:pPr>
        <w:pStyle w:val="ListParagraph"/>
        <w:widowControl w:val="0"/>
        <w:numPr>
          <w:ilvl w:val="0"/>
          <w:numId w:val="8"/>
        </w:numPr>
        <w:autoSpaceDE w:val="0"/>
        <w:autoSpaceDN w:val="0"/>
        <w:adjustRightInd w:val="0"/>
        <w:spacing w:after="240" w:line="360" w:lineRule="auto"/>
        <w:ind w:left="567"/>
        <w:contextualSpacing w:val="0"/>
        <w:jc w:val="both"/>
        <w:rPr>
          <w:rFonts w:ascii="Arial" w:hAnsi="Arial"/>
          <w:sz w:val="21"/>
          <w:szCs w:val="21"/>
        </w:rPr>
      </w:pPr>
      <w:r w:rsidRPr="00692411">
        <w:rPr>
          <w:rFonts w:ascii="Arial" w:hAnsi="Arial" w:cs="Times New Roman"/>
          <w:b/>
          <w:sz w:val="21"/>
          <w:szCs w:val="21"/>
        </w:rPr>
        <w:t>SPC and EPC publish joint report “Quality and Viability of Pensions”</w:t>
      </w:r>
      <w:r w:rsidRPr="00692411">
        <w:rPr>
          <w:rFonts w:ascii="Arial" w:hAnsi="Arial" w:cs="Times New Roman"/>
          <w:sz w:val="21"/>
          <w:szCs w:val="21"/>
        </w:rPr>
        <w:t xml:space="preserve"> in November 2001 – 11 objectives</w:t>
      </w:r>
      <w:r w:rsidR="006435DE" w:rsidRPr="00692411">
        <w:rPr>
          <w:rFonts w:ascii="Arial" w:hAnsi="Arial" w:cs="Times New Roman"/>
          <w:sz w:val="21"/>
          <w:szCs w:val="21"/>
        </w:rPr>
        <w:t>.</w:t>
      </w:r>
    </w:p>
    <w:p w14:paraId="533E6295" w14:textId="77777777" w:rsidR="00043568" w:rsidRPr="00692411" w:rsidRDefault="00043568" w:rsidP="00692411">
      <w:pPr>
        <w:pStyle w:val="ListParagraph"/>
        <w:widowControl w:val="0"/>
        <w:numPr>
          <w:ilvl w:val="0"/>
          <w:numId w:val="8"/>
        </w:numPr>
        <w:autoSpaceDE w:val="0"/>
        <w:autoSpaceDN w:val="0"/>
        <w:adjustRightInd w:val="0"/>
        <w:spacing w:after="240" w:line="360" w:lineRule="auto"/>
        <w:ind w:left="567"/>
        <w:contextualSpacing w:val="0"/>
        <w:jc w:val="both"/>
        <w:rPr>
          <w:rFonts w:ascii="Arial" w:hAnsi="Arial"/>
          <w:sz w:val="21"/>
          <w:szCs w:val="21"/>
        </w:rPr>
      </w:pPr>
      <w:r w:rsidRPr="00692411">
        <w:rPr>
          <w:rFonts w:ascii="Arial" w:hAnsi="Arial" w:cs="Times New Roman"/>
          <w:b/>
          <w:sz w:val="21"/>
          <w:szCs w:val="21"/>
        </w:rPr>
        <w:t>Laeken European Council in December 2</w:t>
      </w:r>
      <w:r w:rsidR="009B129F" w:rsidRPr="00692411">
        <w:rPr>
          <w:rFonts w:ascii="Arial" w:hAnsi="Arial" w:cs="Times New Roman"/>
          <w:b/>
          <w:sz w:val="21"/>
          <w:szCs w:val="21"/>
        </w:rPr>
        <w:t xml:space="preserve">001 ‘noted’ </w:t>
      </w:r>
      <w:r w:rsidR="006435DE" w:rsidRPr="00692411">
        <w:rPr>
          <w:rFonts w:ascii="Arial" w:hAnsi="Arial" w:cs="Times New Roman"/>
          <w:b/>
          <w:sz w:val="21"/>
          <w:szCs w:val="21"/>
        </w:rPr>
        <w:t>previously mentioned</w:t>
      </w:r>
      <w:r w:rsidR="009B129F" w:rsidRPr="00692411">
        <w:rPr>
          <w:rFonts w:ascii="Arial" w:hAnsi="Arial" w:cs="Times New Roman"/>
          <w:b/>
          <w:sz w:val="21"/>
          <w:szCs w:val="21"/>
        </w:rPr>
        <w:t xml:space="preserve"> report</w:t>
      </w:r>
      <w:r w:rsidR="006435DE" w:rsidRPr="00692411">
        <w:rPr>
          <w:rFonts w:ascii="Arial" w:hAnsi="Arial" w:cs="Times New Roman"/>
          <w:b/>
          <w:sz w:val="21"/>
          <w:szCs w:val="21"/>
        </w:rPr>
        <w:t xml:space="preserve"> – </w:t>
      </w:r>
      <w:r w:rsidRPr="00692411">
        <w:rPr>
          <w:rFonts w:ascii="Arial" w:hAnsi="Arial" w:cs="Times New Roman"/>
          <w:b/>
          <w:sz w:val="21"/>
          <w:szCs w:val="21"/>
        </w:rPr>
        <w:t>the OMC in the field of pensions was effectively launched</w:t>
      </w:r>
      <w:r w:rsidRPr="00692411">
        <w:rPr>
          <w:rFonts w:ascii="Arial" w:hAnsi="Arial" w:cs="Times New Roman"/>
          <w:sz w:val="21"/>
          <w:szCs w:val="21"/>
        </w:rPr>
        <w:t>.</w:t>
      </w:r>
    </w:p>
    <w:p w14:paraId="1B58C845" w14:textId="77777777" w:rsidR="00043568" w:rsidRPr="00692411" w:rsidRDefault="006435DE" w:rsidP="00692411">
      <w:pPr>
        <w:pStyle w:val="ListParagraph"/>
        <w:widowControl w:val="0"/>
        <w:numPr>
          <w:ilvl w:val="0"/>
          <w:numId w:val="8"/>
        </w:numPr>
        <w:autoSpaceDE w:val="0"/>
        <w:autoSpaceDN w:val="0"/>
        <w:adjustRightInd w:val="0"/>
        <w:spacing w:after="240" w:line="360" w:lineRule="auto"/>
        <w:ind w:left="567"/>
        <w:contextualSpacing w:val="0"/>
        <w:jc w:val="both"/>
        <w:rPr>
          <w:rFonts w:ascii="Arial" w:hAnsi="Arial"/>
          <w:sz w:val="21"/>
          <w:szCs w:val="21"/>
        </w:rPr>
      </w:pPr>
      <w:r w:rsidRPr="00692411">
        <w:rPr>
          <w:rFonts w:ascii="Arial" w:hAnsi="Arial" w:cs="Times New Roman"/>
          <w:b/>
          <w:sz w:val="21"/>
          <w:szCs w:val="21"/>
        </w:rPr>
        <w:t>Reporting</w:t>
      </w:r>
      <w:r w:rsidR="00043568" w:rsidRPr="00692411">
        <w:rPr>
          <w:rFonts w:ascii="Arial" w:hAnsi="Arial"/>
          <w:sz w:val="21"/>
          <w:szCs w:val="21"/>
        </w:rPr>
        <w:t xml:space="preserve">: National Strategy Report on Adequate and Sustainable Pensions (every </w:t>
      </w:r>
      <w:r w:rsidR="00EE25BF" w:rsidRPr="00692411">
        <w:rPr>
          <w:rFonts w:ascii="Arial" w:hAnsi="Arial"/>
          <w:sz w:val="21"/>
          <w:szCs w:val="21"/>
        </w:rPr>
        <w:t>year cycle</w:t>
      </w:r>
      <w:r w:rsidR="00043568" w:rsidRPr="00692411">
        <w:rPr>
          <w:rFonts w:ascii="Arial" w:hAnsi="Arial"/>
          <w:sz w:val="21"/>
          <w:szCs w:val="21"/>
        </w:rPr>
        <w:t>), EC prepared Synthesis Reports</w:t>
      </w:r>
      <w:r w:rsidRPr="00692411">
        <w:rPr>
          <w:rFonts w:ascii="Arial" w:hAnsi="Arial"/>
          <w:sz w:val="21"/>
          <w:szCs w:val="21"/>
        </w:rPr>
        <w:t>.</w:t>
      </w:r>
    </w:p>
    <w:p w14:paraId="3807C640" w14:textId="77777777" w:rsidR="00043568" w:rsidRPr="00692411" w:rsidRDefault="006435DE" w:rsidP="00692411">
      <w:pPr>
        <w:pStyle w:val="ListParagraph"/>
        <w:widowControl w:val="0"/>
        <w:numPr>
          <w:ilvl w:val="0"/>
          <w:numId w:val="8"/>
        </w:numPr>
        <w:autoSpaceDE w:val="0"/>
        <w:autoSpaceDN w:val="0"/>
        <w:adjustRightInd w:val="0"/>
        <w:spacing w:after="240" w:line="360" w:lineRule="auto"/>
        <w:ind w:left="567"/>
        <w:contextualSpacing w:val="0"/>
        <w:jc w:val="both"/>
        <w:rPr>
          <w:rFonts w:ascii="Arial" w:hAnsi="Arial"/>
          <w:sz w:val="21"/>
          <w:szCs w:val="21"/>
        </w:rPr>
      </w:pPr>
      <w:r w:rsidRPr="00692411">
        <w:rPr>
          <w:rFonts w:ascii="Arial" w:hAnsi="Arial" w:cs="Times New Roman"/>
          <w:b/>
          <w:sz w:val="21"/>
          <w:szCs w:val="21"/>
        </w:rPr>
        <w:t>Indicators</w:t>
      </w:r>
      <w:r w:rsidR="00043568" w:rsidRPr="00692411">
        <w:rPr>
          <w:rFonts w:ascii="Arial" w:hAnsi="Arial"/>
          <w:b/>
          <w:sz w:val="21"/>
          <w:szCs w:val="21"/>
        </w:rPr>
        <w:t xml:space="preserve">: </w:t>
      </w:r>
      <w:r w:rsidR="00043568" w:rsidRPr="00692411">
        <w:rPr>
          <w:rFonts w:ascii="Arial" w:hAnsi="Arial"/>
          <w:sz w:val="21"/>
          <w:szCs w:val="21"/>
        </w:rPr>
        <w:t>work in progress until 2005</w:t>
      </w:r>
      <w:r w:rsidRPr="00692411">
        <w:rPr>
          <w:rFonts w:ascii="Arial" w:hAnsi="Arial"/>
          <w:sz w:val="21"/>
          <w:szCs w:val="21"/>
        </w:rPr>
        <w:t>,</w:t>
      </w:r>
      <w:r w:rsidR="00043568" w:rsidRPr="00692411">
        <w:rPr>
          <w:rFonts w:ascii="Arial" w:hAnsi="Arial"/>
          <w:sz w:val="21"/>
          <w:szCs w:val="21"/>
        </w:rPr>
        <w:t xml:space="preserve"> when first set of indicators were produced by SPC and EPC and presented in the Guidance Note for preparation of second round of NSRs.</w:t>
      </w:r>
    </w:p>
    <w:p w14:paraId="1D4D4E28" w14:textId="77777777" w:rsidR="00043568" w:rsidRPr="00692411" w:rsidRDefault="00043568" w:rsidP="00692411">
      <w:pPr>
        <w:pStyle w:val="ListParagraph"/>
        <w:widowControl w:val="0"/>
        <w:numPr>
          <w:ilvl w:val="0"/>
          <w:numId w:val="8"/>
        </w:numPr>
        <w:autoSpaceDE w:val="0"/>
        <w:autoSpaceDN w:val="0"/>
        <w:adjustRightInd w:val="0"/>
        <w:spacing w:after="240" w:line="360" w:lineRule="auto"/>
        <w:ind w:left="567"/>
        <w:contextualSpacing w:val="0"/>
        <w:jc w:val="both"/>
        <w:rPr>
          <w:rFonts w:ascii="Arial" w:hAnsi="Arial"/>
          <w:sz w:val="21"/>
          <w:szCs w:val="21"/>
        </w:rPr>
      </w:pPr>
      <w:r w:rsidRPr="00692411">
        <w:rPr>
          <w:rFonts w:ascii="Arial" w:hAnsi="Arial" w:cs="Times New Roman"/>
          <w:b/>
          <w:sz w:val="21"/>
          <w:szCs w:val="21"/>
        </w:rPr>
        <w:t>In 2006 Single OMC</w:t>
      </w:r>
      <w:r w:rsidRPr="00692411">
        <w:rPr>
          <w:rFonts w:ascii="Arial" w:hAnsi="Arial" w:cs="Times New Roman"/>
          <w:sz w:val="21"/>
          <w:szCs w:val="21"/>
        </w:rPr>
        <w:t xml:space="preserve"> </w:t>
      </w:r>
      <w:r w:rsidR="006435DE" w:rsidRPr="00692411">
        <w:rPr>
          <w:rFonts w:ascii="Arial" w:hAnsi="Arial" w:cs="Times New Roman"/>
          <w:sz w:val="21"/>
          <w:szCs w:val="21"/>
        </w:rPr>
        <w:t xml:space="preserve">– </w:t>
      </w:r>
      <w:r w:rsidRPr="00692411">
        <w:rPr>
          <w:rFonts w:ascii="Arial" w:hAnsi="Arial" w:cs="Times New Roman"/>
          <w:sz w:val="21"/>
          <w:szCs w:val="21"/>
        </w:rPr>
        <w:t>12 common objectives for the Social OMC (3 overarching objectives and 3 for each of the 3 covered strands)</w:t>
      </w:r>
      <w:r w:rsidR="006435DE" w:rsidRPr="00692411">
        <w:rPr>
          <w:rFonts w:ascii="Arial" w:hAnsi="Arial" w:cs="Times New Roman"/>
          <w:sz w:val="21"/>
          <w:szCs w:val="21"/>
        </w:rPr>
        <w:t>.</w:t>
      </w:r>
    </w:p>
    <w:p w14:paraId="39BC2441" w14:textId="77777777" w:rsidR="00043568" w:rsidRPr="00692411" w:rsidRDefault="006435DE" w:rsidP="00692411">
      <w:pPr>
        <w:pStyle w:val="ListParagraph"/>
        <w:widowControl w:val="0"/>
        <w:numPr>
          <w:ilvl w:val="0"/>
          <w:numId w:val="8"/>
        </w:numPr>
        <w:autoSpaceDE w:val="0"/>
        <w:autoSpaceDN w:val="0"/>
        <w:adjustRightInd w:val="0"/>
        <w:spacing w:after="240" w:line="360" w:lineRule="auto"/>
        <w:ind w:left="567"/>
        <w:contextualSpacing w:val="0"/>
        <w:jc w:val="both"/>
        <w:rPr>
          <w:rFonts w:ascii="Arial" w:hAnsi="Arial"/>
          <w:sz w:val="21"/>
          <w:szCs w:val="21"/>
        </w:rPr>
      </w:pPr>
      <w:r w:rsidRPr="00692411">
        <w:rPr>
          <w:rFonts w:ascii="Arial" w:hAnsi="Arial"/>
          <w:b/>
          <w:sz w:val="21"/>
          <w:szCs w:val="21"/>
        </w:rPr>
        <w:t>Reporting</w:t>
      </w:r>
      <w:r w:rsidR="00043568" w:rsidRPr="00692411">
        <w:rPr>
          <w:rFonts w:ascii="Arial" w:hAnsi="Arial"/>
          <w:sz w:val="21"/>
          <w:szCs w:val="21"/>
        </w:rPr>
        <w:t>: National Strategy Report on Social Protection and Social Inclusion (three-year cycle, 2006 and 2008 “full years”)</w:t>
      </w:r>
      <w:r w:rsidRPr="00692411">
        <w:rPr>
          <w:rFonts w:ascii="Arial" w:hAnsi="Arial"/>
          <w:sz w:val="21"/>
          <w:szCs w:val="21"/>
        </w:rPr>
        <w:t>.</w:t>
      </w:r>
    </w:p>
    <w:p w14:paraId="01C7B5A6" w14:textId="77777777" w:rsidR="00043568" w:rsidRPr="00692411" w:rsidRDefault="00043568" w:rsidP="00692411">
      <w:pPr>
        <w:pStyle w:val="ListParagraph"/>
        <w:widowControl w:val="0"/>
        <w:numPr>
          <w:ilvl w:val="0"/>
          <w:numId w:val="8"/>
        </w:numPr>
        <w:autoSpaceDE w:val="0"/>
        <w:autoSpaceDN w:val="0"/>
        <w:adjustRightInd w:val="0"/>
        <w:spacing w:after="240" w:line="360" w:lineRule="auto"/>
        <w:ind w:left="567"/>
        <w:contextualSpacing w:val="0"/>
        <w:jc w:val="both"/>
        <w:rPr>
          <w:rFonts w:ascii="Arial" w:hAnsi="Arial"/>
          <w:sz w:val="21"/>
          <w:szCs w:val="21"/>
        </w:rPr>
      </w:pPr>
      <w:r w:rsidRPr="00692411">
        <w:rPr>
          <w:rFonts w:ascii="Arial" w:hAnsi="Arial"/>
          <w:b/>
          <w:sz w:val="21"/>
          <w:szCs w:val="21"/>
        </w:rPr>
        <w:t>“</w:t>
      </w:r>
      <w:r w:rsidR="006435DE" w:rsidRPr="00692411">
        <w:rPr>
          <w:rFonts w:ascii="Arial" w:hAnsi="Arial"/>
          <w:b/>
          <w:sz w:val="21"/>
          <w:szCs w:val="21"/>
        </w:rPr>
        <w:t xml:space="preserve">Light </w:t>
      </w:r>
      <w:r w:rsidRPr="00692411">
        <w:rPr>
          <w:rFonts w:ascii="Arial" w:hAnsi="Arial"/>
          <w:b/>
          <w:sz w:val="21"/>
          <w:szCs w:val="21"/>
        </w:rPr>
        <w:t>years” reporting</w:t>
      </w:r>
      <w:r w:rsidRPr="00692411">
        <w:rPr>
          <w:rFonts w:ascii="Arial" w:hAnsi="Arial"/>
          <w:sz w:val="21"/>
          <w:szCs w:val="21"/>
        </w:rPr>
        <w:t>: Privately managed pensions, longer working lives, Joint report</w:t>
      </w:r>
      <w:r w:rsidR="006435DE" w:rsidRPr="00692411">
        <w:rPr>
          <w:rFonts w:ascii="Arial" w:hAnsi="Arial"/>
          <w:sz w:val="21"/>
          <w:szCs w:val="21"/>
        </w:rPr>
        <w:t>.</w:t>
      </w:r>
    </w:p>
    <w:p w14:paraId="65904139" w14:textId="77777777" w:rsidR="00043568" w:rsidRPr="00692411" w:rsidRDefault="00043568" w:rsidP="00692411">
      <w:pPr>
        <w:pStyle w:val="ListParagraph"/>
        <w:widowControl w:val="0"/>
        <w:numPr>
          <w:ilvl w:val="0"/>
          <w:numId w:val="8"/>
        </w:numPr>
        <w:autoSpaceDE w:val="0"/>
        <w:autoSpaceDN w:val="0"/>
        <w:adjustRightInd w:val="0"/>
        <w:spacing w:after="240" w:line="360" w:lineRule="auto"/>
        <w:ind w:left="567"/>
        <w:contextualSpacing w:val="0"/>
        <w:jc w:val="both"/>
        <w:rPr>
          <w:rFonts w:ascii="Arial" w:hAnsi="Arial" w:cs="Times New Roman"/>
          <w:sz w:val="21"/>
          <w:szCs w:val="21"/>
        </w:rPr>
      </w:pPr>
      <w:r w:rsidRPr="00692411">
        <w:rPr>
          <w:rFonts w:ascii="Arial" w:hAnsi="Arial" w:cs="Times New Roman"/>
          <w:b/>
          <w:sz w:val="21"/>
          <w:szCs w:val="21"/>
        </w:rPr>
        <w:t>Indicators:</w:t>
      </w:r>
      <w:r w:rsidRPr="00692411">
        <w:rPr>
          <w:rFonts w:ascii="Arial" w:hAnsi="Arial" w:cs="Times New Roman"/>
          <w:sz w:val="21"/>
          <w:szCs w:val="21"/>
        </w:rPr>
        <w:t xml:space="preserve"> reviewed in 2006, updated in 2008 (health and long-term care, material deprivation in 2009)</w:t>
      </w:r>
      <w:r w:rsidR="006435DE" w:rsidRPr="00692411">
        <w:rPr>
          <w:rFonts w:ascii="Arial" w:hAnsi="Arial" w:cs="Times New Roman"/>
          <w:sz w:val="21"/>
          <w:szCs w:val="21"/>
        </w:rPr>
        <w:t>.</w:t>
      </w:r>
    </w:p>
    <w:p w14:paraId="6A231015" w14:textId="77777777" w:rsidR="00043568" w:rsidRPr="00692411" w:rsidRDefault="00043568" w:rsidP="00692411">
      <w:pPr>
        <w:pStyle w:val="ListParagraph"/>
        <w:widowControl w:val="0"/>
        <w:numPr>
          <w:ilvl w:val="0"/>
          <w:numId w:val="8"/>
        </w:numPr>
        <w:autoSpaceDE w:val="0"/>
        <w:autoSpaceDN w:val="0"/>
        <w:adjustRightInd w:val="0"/>
        <w:spacing w:after="240" w:line="360" w:lineRule="auto"/>
        <w:ind w:left="567"/>
        <w:contextualSpacing w:val="0"/>
        <w:jc w:val="both"/>
        <w:rPr>
          <w:rFonts w:ascii="Arial" w:hAnsi="Arial"/>
          <w:b/>
          <w:sz w:val="21"/>
          <w:szCs w:val="21"/>
        </w:rPr>
      </w:pPr>
      <w:r w:rsidRPr="00692411">
        <w:rPr>
          <w:rFonts w:ascii="Arial" w:hAnsi="Arial"/>
          <w:b/>
          <w:sz w:val="21"/>
          <w:szCs w:val="21"/>
        </w:rPr>
        <w:t>EUROPE 2020 – communication March 2010 (strategy was finalized and formally adopted at the summit on June 17, 2010)</w:t>
      </w:r>
      <w:r w:rsidR="006435DE" w:rsidRPr="00692411">
        <w:rPr>
          <w:rFonts w:ascii="Arial" w:hAnsi="Arial"/>
          <w:b/>
          <w:sz w:val="21"/>
          <w:szCs w:val="21"/>
        </w:rPr>
        <w:t>.</w:t>
      </w:r>
    </w:p>
    <w:p w14:paraId="5E2CE772" w14:textId="77777777" w:rsidR="00043568" w:rsidRPr="00692411" w:rsidRDefault="006435DE" w:rsidP="00692411">
      <w:pPr>
        <w:pStyle w:val="ListParagraph"/>
        <w:widowControl w:val="0"/>
        <w:numPr>
          <w:ilvl w:val="0"/>
          <w:numId w:val="16"/>
        </w:numPr>
        <w:autoSpaceDE w:val="0"/>
        <w:autoSpaceDN w:val="0"/>
        <w:adjustRightInd w:val="0"/>
        <w:spacing w:after="240" w:line="360" w:lineRule="auto"/>
        <w:ind w:left="567"/>
        <w:contextualSpacing w:val="0"/>
        <w:jc w:val="both"/>
        <w:rPr>
          <w:rFonts w:ascii="Arial" w:hAnsi="Arial"/>
          <w:b/>
          <w:sz w:val="21"/>
          <w:szCs w:val="21"/>
        </w:rPr>
      </w:pPr>
      <w:r w:rsidRPr="00692411">
        <w:rPr>
          <w:rFonts w:ascii="Arial" w:hAnsi="Arial"/>
          <w:b/>
          <w:sz w:val="21"/>
          <w:szCs w:val="21"/>
        </w:rPr>
        <w:t>Objectives</w:t>
      </w:r>
      <w:r w:rsidR="00043568" w:rsidRPr="00692411">
        <w:rPr>
          <w:rFonts w:ascii="Arial" w:hAnsi="Arial"/>
          <w:b/>
          <w:sz w:val="21"/>
          <w:szCs w:val="21"/>
        </w:rPr>
        <w:t xml:space="preserve">: </w:t>
      </w:r>
      <w:r w:rsidR="00043568" w:rsidRPr="00692411">
        <w:rPr>
          <w:rFonts w:ascii="Arial" w:hAnsi="Arial"/>
          <w:sz w:val="21"/>
          <w:szCs w:val="21"/>
        </w:rPr>
        <w:t>reinvigorated and reaffirmed in 2011</w:t>
      </w:r>
      <w:r w:rsidRPr="00692411">
        <w:rPr>
          <w:rFonts w:ascii="Arial" w:hAnsi="Arial"/>
          <w:sz w:val="21"/>
          <w:szCs w:val="21"/>
        </w:rPr>
        <w:t>.</w:t>
      </w:r>
    </w:p>
    <w:p w14:paraId="7BB7D6E1" w14:textId="77777777" w:rsidR="00043568" w:rsidRPr="00692411" w:rsidRDefault="006435DE" w:rsidP="00692411">
      <w:pPr>
        <w:pStyle w:val="NormalWeb"/>
        <w:numPr>
          <w:ilvl w:val="0"/>
          <w:numId w:val="16"/>
        </w:numPr>
        <w:spacing w:beforeLines="0" w:afterLines="0" w:line="360" w:lineRule="auto"/>
        <w:ind w:left="567"/>
        <w:jc w:val="both"/>
        <w:rPr>
          <w:rFonts w:ascii="Arial" w:hAnsi="Arial"/>
          <w:sz w:val="21"/>
          <w:szCs w:val="21"/>
        </w:rPr>
      </w:pPr>
      <w:r w:rsidRPr="00692411">
        <w:rPr>
          <w:rFonts w:ascii="Arial" w:hAnsi="Arial"/>
          <w:b/>
          <w:sz w:val="21"/>
          <w:szCs w:val="21"/>
        </w:rPr>
        <w:t>Reporting</w:t>
      </w:r>
      <w:r w:rsidR="00043568" w:rsidRPr="00692411">
        <w:rPr>
          <w:rFonts w:ascii="Arial" w:hAnsi="Arial"/>
          <w:sz w:val="21"/>
          <w:szCs w:val="21"/>
        </w:rPr>
        <w:t xml:space="preserve">: “European semester” – National Reform Programs (including Guidline 10), no longer formally requested to produce NSRs; SPC initiated National Social Reports (2012, since 2013 biennial, since </w:t>
      </w:r>
      <w:r w:rsidR="00EE25BF" w:rsidRPr="00692411">
        <w:rPr>
          <w:rFonts w:ascii="Arial" w:hAnsi="Arial"/>
          <w:sz w:val="21"/>
          <w:szCs w:val="21"/>
        </w:rPr>
        <w:t>2014 annual</w:t>
      </w:r>
      <w:r w:rsidR="00043568" w:rsidRPr="00692411">
        <w:rPr>
          <w:rFonts w:ascii="Arial" w:hAnsi="Arial"/>
          <w:sz w:val="21"/>
          <w:szCs w:val="21"/>
        </w:rPr>
        <w:t>) input for the SPC annual social situation report</w:t>
      </w:r>
      <w:r w:rsidRPr="00692411">
        <w:rPr>
          <w:rFonts w:ascii="Arial" w:hAnsi="Arial"/>
          <w:sz w:val="21"/>
          <w:szCs w:val="21"/>
        </w:rPr>
        <w:t>.</w:t>
      </w:r>
    </w:p>
    <w:p w14:paraId="56BB671B" w14:textId="77777777" w:rsidR="00043568" w:rsidRPr="00692411" w:rsidRDefault="00043568" w:rsidP="00692411">
      <w:pPr>
        <w:pStyle w:val="NormalWeb"/>
        <w:numPr>
          <w:ilvl w:val="0"/>
          <w:numId w:val="16"/>
        </w:numPr>
        <w:spacing w:beforeLines="0" w:afterLines="0" w:line="360" w:lineRule="auto"/>
        <w:ind w:left="567"/>
        <w:jc w:val="both"/>
        <w:rPr>
          <w:rFonts w:ascii="Arial" w:hAnsi="Arial"/>
          <w:sz w:val="21"/>
          <w:szCs w:val="21"/>
        </w:rPr>
      </w:pPr>
      <w:r w:rsidRPr="00692411">
        <w:rPr>
          <w:rFonts w:ascii="Arial" w:hAnsi="Arial"/>
          <w:b/>
          <w:sz w:val="21"/>
          <w:szCs w:val="21"/>
        </w:rPr>
        <w:t xml:space="preserve">Indicators: </w:t>
      </w:r>
      <w:r w:rsidRPr="00692411">
        <w:rPr>
          <w:rFonts w:ascii="Arial" w:hAnsi="Arial"/>
          <w:sz w:val="21"/>
          <w:szCs w:val="21"/>
        </w:rPr>
        <w:t>SPPM developed in 2012, Portfolio 2015</w:t>
      </w:r>
      <w:r w:rsidR="006435DE" w:rsidRPr="00692411">
        <w:rPr>
          <w:rFonts w:ascii="Arial" w:hAnsi="Arial"/>
          <w:sz w:val="21"/>
          <w:szCs w:val="21"/>
        </w:rPr>
        <w:t>.</w:t>
      </w:r>
    </w:p>
    <w:p w14:paraId="6E6F49E7" w14:textId="77777777" w:rsidR="001B55D4" w:rsidRPr="00692411" w:rsidRDefault="001B55D4" w:rsidP="00692411">
      <w:pPr>
        <w:pStyle w:val="ListParagraph"/>
        <w:spacing w:after="240" w:line="360" w:lineRule="auto"/>
        <w:ind w:left="0"/>
        <w:contextualSpacing w:val="0"/>
        <w:jc w:val="both"/>
        <w:rPr>
          <w:rFonts w:ascii="Arial" w:hAnsi="Arial" w:cs="Helvetica"/>
          <w:sz w:val="21"/>
          <w:szCs w:val="21"/>
        </w:rPr>
      </w:pPr>
    </w:p>
    <w:p w14:paraId="3E730D9E" w14:textId="77777777" w:rsidR="001C69A6" w:rsidRPr="00EC7F22" w:rsidRDefault="001D3954" w:rsidP="00381132">
      <w:pPr>
        <w:pStyle w:val="Heading1"/>
        <w:numPr>
          <w:ilvl w:val="0"/>
          <w:numId w:val="5"/>
        </w:numPr>
        <w:spacing w:line="360" w:lineRule="auto"/>
        <w:ind w:left="426"/>
        <w:rPr>
          <w:rFonts w:ascii="Arial" w:hAnsi="Arial"/>
          <w:color w:val="4F81BD" w:themeColor="accent1"/>
          <w:sz w:val="24"/>
          <w:szCs w:val="24"/>
        </w:rPr>
      </w:pPr>
      <w:r w:rsidRPr="00692411">
        <w:rPr>
          <w:rFonts w:ascii="Arial" w:hAnsi="Arial"/>
          <w:sz w:val="21"/>
          <w:szCs w:val="21"/>
        </w:rPr>
        <w:br w:type="page"/>
      </w:r>
      <w:bookmarkStart w:id="12" w:name="_Toc493760335"/>
      <w:r w:rsidR="001C69A6" w:rsidRPr="00EC7F22">
        <w:rPr>
          <w:rFonts w:ascii="Arial" w:hAnsi="Arial"/>
          <w:color w:val="4F81BD" w:themeColor="accent1"/>
          <w:sz w:val="24"/>
          <w:szCs w:val="24"/>
        </w:rPr>
        <w:lastRenderedPageBreak/>
        <w:t>LITERATURE</w:t>
      </w:r>
      <w:bookmarkEnd w:id="12"/>
    </w:p>
    <w:p w14:paraId="5EDE330C" w14:textId="77777777" w:rsidR="001C69A6" w:rsidRPr="00EC7F22" w:rsidRDefault="00E405D4" w:rsidP="00EC7F22">
      <w:pPr>
        <w:pStyle w:val="ListParagraph"/>
        <w:numPr>
          <w:ilvl w:val="0"/>
          <w:numId w:val="15"/>
        </w:numPr>
        <w:spacing w:after="120" w:line="276" w:lineRule="auto"/>
        <w:ind w:left="426" w:hanging="426"/>
        <w:contextualSpacing w:val="0"/>
        <w:jc w:val="both"/>
        <w:rPr>
          <w:rFonts w:ascii="Arial" w:hAnsi="Arial" w:cs="Arial"/>
          <w:sz w:val="21"/>
          <w:szCs w:val="21"/>
        </w:rPr>
      </w:pPr>
      <w:r w:rsidRPr="00EC7F22">
        <w:rPr>
          <w:rFonts w:ascii="Arial" w:hAnsi="Arial" w:cs="Arial"/>
          <w:sz w:val="21"/>
          <w:szCs w:val="21"/>
        </w:rPr>
        <w:t xml:space="preserve">AGILIS </w:t>
      </w:r>
      <w:r w:rsidR="001C69A6" w:rsidRPr="00EC7F22">
        <w:rPr>
          <w:rFonts w:ascii="Arial" w:hAnsi="Arial" w:cs="Arial"/>
          <w:sz w:val="21"/>
          <w:szCs w:val="21"/>
        </w:rPr>
        <w:t>(2014)</w:t>
      </w:r>
      <w:r w:rsidR="00CC35CC">
        <w:rPr>
          <w:rFonts w:ascii="Arial" w:hAnsi="Arial" w:cs="Arial"/>
          <w:sz w:val="21"/>
          <w:szCs w:val="21"/>
        </w:rPr>
        <w:t>.</w:t>
      </w:r>
      <w:r w:rsidR="009F2A0E" w:rsidRPr="00EC7F22">
        <w:rPr>
          <w:rFonts w:ascii="Arial" w:hAnsi="Arial" w:cs="Arial"/>
          <w:sz w:val="21"/>
          <w:szCs w:val="21"/>
        </w:rPr>
        <w:t xml:space="preserve"> </w:t>
      </w:r>
      <w:r w:rsidR="001C69A6" w:rsidRPr="00EC7F22">
        <w:rPr>
          <w:rFonts w:ascii="Arial" w:hAnsi="Arial" w:cs="Arial"/>
          <w:sz w:val="21"/>
          <w:szCs w:val="21"/>
        </w:rPr>
        <w:t xml:space="preserve">Working </w:t>
      </w:r>
      <w:r w:rsidR="009F2A0E" w:rsidRPr="00EC7F22">
        <w:rPr>
          <w:rFonts w:ascii="Arial" w:hAnsi="Arial" w:cs="Arial"/>
          <w:sz w:val="21"/>
          <w:szCs w:val="21"/>
        </w:rPr>
        <w:t xml:space="preserve">Paper </w:t>
      </w:r>
      <w:r w:rsidR="001C69A6" w:rsidRPr="00EC7F22">
        <w:rPr>
          <w:rFonts w:ascii="Arial" w:hAnsi="Arial" w:cs="Arial"/>
          <w:sz w:val="21"/>
          <w:szCs w:val="21"/>
        </w:rPr>
        <w:t xml:space="preserve">with the </w:t>
      </w:r>
      <w:r w:rsidR="009F2A0E" w:rsidRPr="00EC7F22">
        <w:rPr>
          <w:rFonts w:ascii="Arial" w:hAnsi="Arial" w:cs="Arial"/>
          <w:sz w:val="21"/>
          <w:szCs w:val="21"/>
        </w:rPr>
        <w:t xml:space="preserve">Description </w:t>
      </w:r>
      <w:r w:rsidR="001C69A6" w:rsidRPr="00EC7F22">
        <w:rPr>
          <w:rFonts w:ascii="Arial" w:hAnsi="Arial" w:cs="Arial"/>
          <w:sz w:val="21"/>
          <w:szCs w:val="21"/>
        </w:rPr>
        <w:t>of ‘Income</w:t>
      </w:r>
      <w:r w:rsidR="009F2A0E" w:rsidRPr="00EC7F22">
        <w:rPr>
          <w:rFonts w:ascii="Arial" w:hAnsi="Arial" w:cs="Arial"/>
          <w:sz w:val="21"/>
          <w:szCs w:val="21"/>
        </w:rPr>
        <w:t xml:space="preserve"> and Living conditions dataset’.</w:t>
      </w:r>
    </w:p>
    <w:p w14:paraId="0D594C99"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EC7F22">
        <w:rPr>
          <w:rFonts w:ascii="Arial" w:hAnsi="Arial" w:cs="Arial"/>
          <w:sz w:val="21"/>
          <w:szCs w:val="21"/>
        </w:rPr>
        <w:t>ANDERSON, K. M</w:t>
      </w:r>
      <w:r w:rsidR="001C69A6" w:rsidRPr="00EC7F22">
        <w:rPr>
          <w:rFonts w:ascii="Arial" w:hAnsi="Arial" w:cs="Arial"/>
          <w:sz w:val="21"/>
          <w:szCs w:val="21"/>
        </w:rPr>
        <w:t>. (2015)</w:t>
      </w:r>
      <w:r w:rsidR="00CC35CC">
        <w:rPr>
          <w:rFonts w:ascii="Arial" w:hAnsi="Arial" w:cs="Arial"/>
          <w:sz w:val="21"/>
          <w:szCs w:val="21"/>
        </w:rPr>
        <w:t>.</w:t>
      </w:r>
      <w:r w:rsidR="001C69A6" w:rsidRPr="00EC7F22">
        <w:rPr>
          <w:rFonts w:ascii="Arial" w:hAnsi="Arial" w:cs="Arial"/>
          <w:sz w:val="21"/>
          <w:szCs w:val="21"/>
        </w:rPr>
        <w:t xml:space="preserve"> </w:t>
      </w:r>
      <w:r w:rsidR="001C69A6" w:rsidRPr="00EC7F22">
        <w:rPr>
          <w:rFonts w:ascii="Arial" w:hAnsi="Arial" w:cs="Arial"/>
          <w:iCs/>
          <w:sz w:val="21"/>
          <w:szCs w:val="21"/>
        </w:rPr>
        <w:t xml:space="preserve">Social </w:t>
      </w:r>
      <w:r w:rsidR="005A240C" w:rsidRPr="00EC7F22">
        <w:rPr>
          <w:rFonts w:ascii="Arial" w:hAnsi="Arial" w:cs="Arial"/>
          <w:iCs/>
          <w:sz w:val="21"/>
          <w:szCs w:val="21"/>
        </w:rPr>
        <w:t xml:space="preserve">Policy </w:t>
      </w:r>
      <w:r w:rsidR="001C69A6" w:rsidRPr="00EC7F22">
        <w:rPr>
          <w:rFonts w:ascii="Arial" w:hAnsi="Arial" w:cs="Arial"/>
          <w:iCs/>
          <w:sz w:val="21"/>
          <w:szCs w:val="21"/>
        </w:rPr>
        <w:t>in the European Union</w:t>
      </w:r>
      <w:r w:rsidR="001C69A6" w:rsidRPr="00EC7F22">
        <w:rPr>
          <w:rFonts w:ascii="Arial" w:hAnsi="Arial" w:cs="Arial"/>
          <w:sz w:val="21"/>
          <w:szCs w:val="21"/>
        </w:rPr>
        <w:t>. Palgrave Macmillan.</w:t>
      </w:r>
    </w:p>
    <w:p w14:paraId="35DC3903"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EC7F22">
        <w:rPr>
          <w:rFonts w:ascii="Arial" w:hAnsi="Arial" w:cs="Arial"/>
          <w:sz w:val="21"/>
          <w:szCs w:val="21"/>
        </w:rPr>
        <w:t xml:space="preserve">BAJEC, J., </w:t>
      </w:r>
      <w:r>
        <w:rPr>
          <w:rFonts w:ascii="Arial" w:hAnsi="Arial" w:cs="Arial"/>
          <w:sz w:val="21"/>
          <w:szCs w:val="21"/>
        </w:rPr>
        <w:t xml:space="preserve">STANIĆ, K. </w:t>
      </w:r>
      <w:r w:rsidR="00CC35CC">
        <w:rPr>
          <w:rFonts w:ascii="Arial" w:hAnsi="Arial" w:cs="Arial"/>
          <w:sz w:val="21"/>
          <w:szCs w:val="21"/>
        </w:rPr>
        <w:t>(2005).</w:t>
      </w:r>
      <w:r w:rsidR="005A240C" w:rsidRPr="00EC7F22">
        <w:rPr>
          <w:rFonts w:ascii="Arial" w:hAnsi="Arial" w:cs="Arial"/>
          <w:sz w:val="21"/>
          <w:szCs w:val="21"/>
        </w:rPr>
        <w:t xml:space="preserve"> </w:t>
      </w:r>
      <w:r w:rsidR="001C69A6" w:rsidRPr="00EC7F22">
        <w:rPr>
          <w:rFonts w:ascii="Arial" w:hAnsi="Arial" w:cs="Arial"/>
          <w:sz w:val="21"/>
          <w:szCs w:val="21"/>
        </w:rPr>
        <w:t xml:space="preserve">Koliko je stvarno deficit penzionog sistema u Srbiji. </w:t>
      </w:r>
      <w:r w:rsidR="001C69A6" w:rsidRPr="00EC7F22">
        <w:rPr>
          <w:rFonts w:ascii="Arial" w:hAnsi="Arial" w:cs="Arial"/>
          <w:i/>
          <w:iCs/>
          <w:sz w:val="21"/>
          <w:szCs w:val="21"/>
        </w:rPr>
        <w:t>Kvartalni monitor ekonomskih trendova i politika u Srbiji</w:t>
      </w:r>
      <w:r w:rsidR="001C69A6" w:rsidRPr="00EC7F22">
        <w:rPr>
          <w:rFonts w:ascii="Arial" w:hAnsi="Arial" w:cs="Arial"/>
          <w:sz w:val="21"/>
          <w:szCs w:val="21"/>
        </w:rPr>
        <w:t xml:space="preserve">, </w:t>
      </w:r>
      <w:r w:rsidR="001C69A6" w:rsidRPr="00EC7F22">
        <w:rPr>
          <w:rFonts w:ascii="Arial" w:hAnsi="Arial" w:cs="Arial"/>
          <w:iCs/>
          <w:sz w:val="21"/>
          <w:szCs w:val="21"/>
        </w:rPr>
        <w:t>1</w:t>
      </w:r>
      <w:r w:rsidR="001C69A6" w:rsidRPr="00EC7F22">
        <w:rPr>
          <w:rFonts w:ascii="Arial" w:hAnsi="Arial" w:cs="Arial"/>
          <w:sz w:val="21"/>
          <w:szCs w:val="21"/>
        </w:rPr>
        <w:t>, 58-64.</w:t>
      </w:r>
    </w:p>
    <w:p w14:paraId="5C84011A"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EC7F22">
        <w:rPr>
          <w:rFonts w:ascii="Arial" w:hAnsi="Arial" w:cs="Arial"/>
          <w:sz w:val="21"/>
          <w:szCs w:val="21"/>
        </w:rPr>
        <w:t xml:space="preserve">BARCEVIČIUS, E., WEISHAUPT, J.T., ZEITLIN, </w:t>
      </w:r>
      <w:r w:rsidR="001C69A6" w:rsidRPr="00EC7F22">
        <w:rPr>
          <w:rFonts w:ascii="Arial" w:hAnsi="Arial" w:cs="Arial"/>
          <w:sz w:val="21"/>
          <w:szCs w:val="21"/>
        </w:rPr>
        <w:t>J. (2014)</w:t>
      </w:r>
      <w:r w:rsidR="00CA5888">
        <w:rPr>
          <w:rFonts w:ascii="Arial" w:hAnsi="Arial" w:cs="Arial"/>
          <w:sz w:val="21"/>
          <w:szCs w:val="21"/>
        </w:rPr>
        <w:t>.</w:t>
      </w:r>
      <w:r w:rsidR="001C69A6" w:rsidRPr="00EC7F22">
        <w:rPr>
          <w:rFonts w:ascii="Arial" w:hAnsi="Arial" w:cs="Arial"/>
          <w:sz w:val="21"/>
          <w:szCs w:val="21"/>
        </w:rPr>
        <w:t xml:space="preserve"> Tracing the Social OMC from its Origins to Europe 2020. In Barcevičius, E., Weishaupt, J.T.</w:t>
      </w:r>
      <w:r w:rsidR="005A240C" w:rsidRPr="00EC7F22">
        <w:rPr>
          <w:rFonts w:ascii="Arial" w:hAnsi="Arial" w:cs="Arial"/>
          <w:sz w:val="21"/>
          <w:szCs w:val="21"/>
        </w:rPr>
        <w:t>,</w:t>
      </w:r>
      <w:r w:rsidR="001C69A6" w:rsidRPr="00EC7F22">
        <w:rPr>
          <w:rFonts w:ascii="Arial" w:hAnsi="Arial" w:cs="Arial"/>
          <w:sz w:val="21"/>
          <w:szCs w:val="21"/>
        </w:rPr>
        <w:t xml:space="preserve"> Zeitlin, J. (eds.) </w:t>
      </w:r>
      <w:r w:rsidR="001C69A6" w:rsidRPr="00EC7F22">
        <w:rPr>
          <w:rFonts w:ascii="Arial" w:hAnsi="Arial" w:cs="Arial"/>
          <w:i/>
          <w:sz w:val="21"/>
          <w:szCs w:val="21"/>
        </w:rPr>
        <w:t>Assessing the Open Method of Coordination: Institutional Design and National Influence of EU Social Policy Coordination</w:t>
      </w:r>
      <w:r w:rsidR="001C69A6" w:rsidRPr="00EC7F22">
        <w:rPr>
          <w:rFonts w:ascii="Arial" w:hAnsi="Arial" w:cs="Arial"/>
          <w:sz w:val="21"/>
          <w:szCs w:val="21"/>
        </w:rPr>
        <w:t>, Palgrave Macmillan.</w:t>
      </w:r>
    </w:p>
    <w:p w14:paraId="4F2B3A8E" w14:textId="77777777" w:rsidR="001C69A6" w:rsidRPr="00EC7F22" w:rsidRDefault="00E405D4" w:rsidP="00EC7F22">
      <w:pPr>
        <w:pStyle w:val="ListParagraph"/>
        <w:widowControl w:val="0"/>
        <w:numPr>
          <w:ilvl w:val="0"/>
          <w:numId w:val="15"/>
        </w:numPr>
        <w:autoSpaceDE w:val="0"/>
        <w:autoSpaceDN w:val="0"/>
        <w:adjustRightInd w:val="0"/>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 xml:space="preserve">CHYBALSKI, </w:t>
      </w:r>
      <w:r w:rsidR="001C69A6" w:rsidRPr="00EC7F22">
        <w:rPr>
          <w:rFonts w:ascii="Arial" w:hAnsi="Arial" w:cs="Arial"/>
          <w:color w:val="000000" w:themeColor="text1"/>
          <w:sz w:val="21"/>
          <w:szCs w:val="21"/>
        </w:rPr>
        <w:t>F. (2012)</w:t>
      </w:r>
      <w:r w:rsidR="00CC35CC">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Measuring the </w:t>
      </w:r>
      <w:r w:rsidR="00E53610" w:rsidRPr="00EC7F22">
        <w:rPr>
          <w:rFonts w:ascii="Arial" w:hAnsi="Arial" w:cs="Arial"/>
          <w:color w:val="000000" w:themeColor="text1"/>
          <w:sz w:val="21"/>
          <w:szCs w:val="21"/>
        </w:rPr>
        <w:t xml:space="preserve">Multidimensional Adequacy </w:t>
      </w:r>
      <w:r w:rsidR="001C69A6" w:rsidRPr="00EC7F22">
        <w:rPr>
          <w:rFonts w:ascii="Arial" w:hAnsi="Arial" w:cs="Arial"/>
          <w:color w:val="000000" w:themeColor="text1"/>
          <w:sz w:val="21"/>
          <w:szCs w:val="21"/>
        </w:rPr>
        <w:t xml:space="preserve">of </w:t>
      </w:r>
      <w:r w:rsidR="00E53610" w:rsidRPr="00EC7F22">
        <w:rPr>
          <w:rFonts w:ascii="Arial" w:hAnsi="Arial" w:cs="Arial"/>
          <w:color w:val="000000" w:themeColor="text1"/>
          <w:sz w:val="21"/>
          <w:szCs w:val="21"/>
        </w:rPr>
        <w:t xml:space="preserve">Pension Systems </w:t>
      </w:r>
      <w:r w:rsidR="001C69A6" w:rsidRPr="00EC7F22">
        <w:rPr>
          <w:rFonts w:ascii="Arial" w:hAnsi="Arial" w:cs="Arial"/>
          <w:color w:val="000000" w:themeColor="text1"/>
          <w:sz w:val="21"/>
          <w:szCs w:val="21"/>
        </w:rPr>
        <w:t xml:space="preserve">in European </w:t>
      </w:r>
      <w:r w:rsidR="00E53610" w:rsidRPr="00EC7F22">
        <w:rPr>
          <w:rFonts w:ascii="Arial" w:hAnsi="Arial" w:cs="Arial"/>
          <w:color w:val="000000" w:themeColor="text1"/>
          <w:sz w:val="21"/>
          <w:szCs w:val="21"/>
        </w:rPr>
        <w:t>Countries</w:t>
      </w:r>
      <w:r w:rsidR="001C69A6" w:rsidRPr="00EC7F22">
        <w:rPr>
          <w:rFonts w:ascii="Arial" w:hAnsi="Arial" w:cs="Arial"/>
          <w:color w:val="000000" w:themeColor="text1"/>
          <w:sz w:val="21"/>
          <w:szCs w:val="21"/>
        </w:rPr>
        <w:t>.</w:t>
      </w:r>
    </w:p>
    <w:p w14:paraId="487239F2" w14:textId="77777777" w:rsidR="001C69A6" w:rsidRPr="00EC7F22" w:rsidRDefault="00E405D4" w:rsidP="00EC7F22">
      <w:pPr>
        <w:pStyle w:val="ListParagraph"/>
        <w:widowControl w:val="0"/>
        <w:numPr>
          <w:ilvl w:val="0"/>
          <w:numId w:val="15"/>
        </w:numPr>
        <w:autoSpaceDE w:val="0"/>
        <w:autoSpaceDN w:val="0"/>
        <w:adjustRightInd w:val="0"/>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 xml:space="preserve">COUNCIL </w:t>
      </w:r>
      <w:r>
        <w:rPr>
          <w:rFonts w:ascii="Arial" w:hAnsi="Arial" w:cs="Arial"/>
          <w:color w:val="000000" w:themeColor="text1"/>
          <w:sz w:val="21"/>
          <w:szCs w:val="21"/>
        </w:rPr>
        <w:t>OF THE EU</w:t>
      </w:r>
      <w:r w:rsidR="001C69A6" w:rsidRPr="00EC7F22">
        <w:rPr>
          <w:rFonts w:ascii="Arial" w:hAnsi="Arial" w:cs="Arial"/>
          <w:color w:val="000000" w:themeColor="text1"/>
          <w:sz w:val="21"/>
          <w:szCs w:val="21"/>
        </w:rPr>
        <w:t>(2010)</w:t>
      </w:r>
      <w:r w:rsidR="00CC35CC">
        <w:rPr>
          <w:rFonts w:ascii="Arial" w:hAnsi="Arial" w:cs="Arial"/>
          <w:color w:val="000000" w:themeColor="text1"/>
          <w:sz w:val="21"/>
          <w:szCs w:val="21"/>
        </w:rPr>
        <w:t>.</w:t>
      </w:r>
      <w:r w:rsidR="00E53610" w:rsidRPr="00EC7F22">
        <w:rPr>
          <w:rFonts w:ascii="Arial" w:hAnsi="Arial" w:cs="Arial"/>
          <w:color w:val="000000" w:themeColor="text1"/>
          <w:sz w:val="21"/>
          <w:szCs w:val="21"/>
        </w:rPr>
        <w:t xml:space="preserve"> Council Decision of 21 October 2010 on </w:t>
      </w:r>
      <w:r w:rsidR="001C69A6" w:rsidRPr="00EC7F22">
        <w:rPr>
          <w:rFonts w:ascii="Arial" w:hAnsi="Arial" w:cs="Arial"/>
          <w:color w:val="000000" w:themeColor="text1"/>
          <w:sz w:val="21"/>
          <w:szCs w:val="21"/>
        </w:rPr>
        <w:t>G</w:t>
      </w:r>
      <w:r w:rsidR="00E53610" w:rsidRPr="00EC7F22">
        <w:rPr>
          <w:rFonts w:ascii="Arial" w:hAnsi="Arial" w:cs="Arial"/>
          <w:color w:val="000000" w:themeColor="text1"/>
          <w:sz w:val="21"/>
          <w:szCs w:val="21"/>
        </w:rPr>
        <w:t xml:space="preserve">uidelines for the Employment Policies of </w:t>
      </w:r>
      <w:r w:rsidR="001C69A6" w:rsidRPr="00EC7F22">
        <w:rPr>
          <w:rFonts w:ascii="Arial" w:hAnsi="Arial" w:cs="Arial"/>
          <w:color w:val="000000" w:themeColor="text1"/>
          <w:sz w:val="21"/>
          <w:szCs w:val="21"/>
        </w:rPr>
        <w:t>the Member States. 14338/10.</w:t>
      </w:r>
    </w:p>
    <w:p w14:paraId="6125C304" w14:textId="77777777" w:rsidR="001C69A6" w:rsidRPr="00EC7F22" w:rsidRDefault="00E405D4" w:rsidP="00EC7F22">
      <w:pPr>
        <w:pStyle w:val="ListParagraph"/>
        <w:widowControl w:val="0"/>
        <w:numPr>
          <w:ilvl w:val="0"/>
          <w:numId w:val="15"/>
        </w:numPr>
        <w:autoSpaceDE w:val="0"/>
        <w:autoSpaceDN w:val="0"/>
        <w:adjustRightInd w:val="0"/>
        <w:spacing w:after="120" w:line="276" w:lineRule="auto"/>
        <w:ind w:left="425" w:hanging="425"/>
        <w:contextualSpacing w:val="0"/>
        <w:jc w:val="both"/>
        <w:rPr>
          <w:rFonts w:ascii="Arial" w:hAnsi="Arial" w:cs="Arial"/>
          <w:sz w:val="21"/>
          <w:szCs w:val="21"/>
        </w:rPr>
      </w:pPr>
      <w:r w:rsidRPr="00EC7F22">
        <w:rPr>
          <w:rFonts w:ascii="Arial" w:hAnsi="Arial" w:cs="Arial"/>
          <w:color w:val="000000" w:themeColor="text1"/>
          <w:sz w:val="21"/>
          <w:szCs w:val="21"/>
        </w:rPr>
        <w:t xml:space="preserve">DISNEY, R., WHITEHOUSE, </w:t>
      </w:r>
      <w:r w:rsidR="001C69A6" w:rsidRPr="00EC7F22">
        <w:rPr>
          <w:rFonts w:ascii="Arial" w:hAnsi="Arial" w:cs="Arial"/>
          <w:color w:val="000000" w:themeColor="text1"/>
          <w:sz w:val="21"/>
          <w:szCs w:val="21"/>
        </w:rPr>
        <w:t>E. (2001)</w:t>
      </w:r>
      <w:r w:rsidR="00CC35CC">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Cross</w:t>
      </w:r>
      <w:r w:rsidR="001C69A6" w:rsidRPr="00EC7F22">
        <w:rPr>
          <w:rFonts w:ascii="Arial" w:hAnsi="Arial" w:cs="Arial"/>
          <w:sz w:val="21"/>
          <w:szCs w:val="21"/>
        </w:rPr>
        <w:t>-</w:t>
      </w:r>
      <w:r w:rsidR="00E53610" w:rsidRPr="00EC7F22">
        <w:rPr>
          <w:rFonts w:ascii="Arial" w:hAnsi="Arial" w:cs="Arial"/>
          <w:sz w:val="21"/>
          <w:szCs w:val="21"/>
        </w:rPr>
        <w:t xml:space="preserve">Country Comparisons </w:t>
      </w:r>
      <w:r w:rsidR="001C69A6" w:rsidRPr="00EC7F22">
        <w:rPr>
          <w:rFonts w:ascii="Arial" w:hAnsi="Arial" w:cs="Arial"/>
          <w:sz w:val="21"/>
          <w:szCs w:val="21"/>
        </w:rPr>
        <w:t xml:space="preserve">of </w:t>
      </w:r>
      <w:r w:rsidR="00E53610" w:rsidRPr="00EC7F22">
        <w:rPr>
          <w:rFonts w:ascii="Arial" w:hAnsi="Arial" w:cs="Arial"/>
          <w:sz w:val="21"/>
          <w:szCs w:val="21"/>
        </w:rPr>
        <w:t>Pensioners’ Incomes.</w:t>
      </w:r>
    </w:p>
    <w:p w14:paraId="00B762F3"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462118">
        <w:rPr>
          <w:rFonts w:ascii="Arial" w:hAnsi="Arial" w:cs="Arial"/>
          <w:sz w:val="22"/>
          <w:szCs w:val="21"/>
        </w:rPr>
        <w:t xml:space="preserve">EUROPEAN COMMISSION </w:t>
      </w:r>
      <w:r w:rsidR="001C69A6" w:rsidRPr="00EC7F22">
        <w:rPr>
          <w:rFonts w:ascii="Arial" w:hAnsi="Arial" w:cs="Arial"/>
          <w:sz w:val="21"/>
          <w:szCs w:val="21"/>
        </w:rPr>
        <w:t>(2001)</w:t>
      </w:r>
      <w:r w:rsidR="00CC35CC">
        <w:rPr>
          <w:rFonts w:ascii="Arial" w:hAnsi="Arial" w:cs="Arial"/>
          <w:sz w:val="21"/>
          <w:szCs w:val="21"/>
        </w:rPr>
        <w:t>.</w:t>
      </w:r>
      <w:r w:rsidR="00E53610" w:rsidRPr="00EC7F22">
        <w:rPr>
          <w:rFonts w:ascii="Arial" w:hAnsi="Arial" w:cs="Arial"/>
          <w:sz w:val="21"/>
          <w:szCs w:val="21"/>
        </w:rPr>
        <w:t xml:space="preserve"> </w:t>
      </w:r>
      <w:r w:rsidR="001C69A6" w:rsidRPr="00EC7F22">
        <w:rPr>
          <w:rFonts w:ascii="Arial" w:hAnsi="Arial" w:cs="Arial"/>
          <w:sz w:val="21"/>
          <w:szCs w:val="21"/>
        </w:rPr>
        <w:t xml:space="preserve">Supporting National Strategies for Safe and Sustainable Pensions through an Integrated Approach. </w:t>
      </w:r>
      <w:r w:rsidR="001C69A6" w:rsidRPr="00EC7F22">
        <w:rPr>
          <w:rFonts w:ascii="Arial" w:hAnsi="Arial" w:cs="Arial"/>
          <w:i/>
          <w:iCs/>
          <w:sz w:val="21"/>
          <w:szCs w:val="21"/>
        </w:rPr>
        <w:t xml:space="preserve">Communication from the Commission </w:t>
      </w:r>
      <w:r w:rsidR="001C69A6" w:rsidRPr="00EC7F22">
        <w:rPr>
          <w:rFonts w:ascii="Arial" w:hAnsi="Arial" w:cs="Arial"/>
          <w:sz w:val="21"/>
          <w:szCs w:val="21"/>
        </w:rPr>
        <w:t>COM(2001) 362 (July 3).</w:t>
      </w:r>
    </w:p>
    <w:p w14:paraId="165BA65F"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462118">
        <w:rPr>
          <w:rFonts w:ascii="Arial" w:hAnsi="Arial" w:cs="Arial"/>
          <w:sz w:val="22"/>
          <w:szCs w:val="21"/>
        </w:rPr>
        <w:t xml:space="preserve">EUROPEAN COMMISSION </w:t>
      </w:r>
      <w:r w:rsidR="001C69A6" w:rsidRPr="00EC7F22">
        <w:rPr>
          <w:rFonts w:ascii="Arial" w:hAnsi="Arial" w:cs="Arial"/>
          <w:sz w:val="21"/>
          <w:szCs w:val="21"/>
        </w:rPr>
        <w:t>(2005)</w:t>
      </w:r>
      <w:r w:rsidR="00CC35CC">
        <w:rPr>
          <w:rFonts w:ascii="Arial" w:hAnsi="Arial" w:cs="Arial"/>
          <w:sz w:val="21"/>
          <w:szCs w:val="21"/>
        </w:rPr>
        <w:t>.</w:t>
      </w:r>
      <w:r w:rsidR="00E53610" w:rsidRPr="00EC7F22">
        <w:rPr>
          <w:rFonts w:ascii="Arial" w:hAnsi="Arial" w:cs="Arial"/>
          <w:sz w:val="21"/>
          <w:szCs w:val="21"/>
        </w:rPr>
        <w:t xml:space="preserve"> </w:t>
      </w:r>
      <w:r w:rsidR="001C69A6" w:rsidRPr="00EC7F22">
        <w:rPr>
          <w:rFonts w:ascii="Arial" w:hAnsi="Arial" w:cs="Arial"/>
          <w:sz w:val="21"/>
          <w:szCs w:val="21"/>
        </w:rPr>
        <w:t xml:space="preserve">Working Together, Working Better: A New Framework for the Open Co-ordination of Social Protection and Inclusion Policies in the European Union. </w:t>
      </w:r>
      <w:r w:rsidR="001C69A6" w:rsidRPr="00EC7F22">
        <w:rPr>
          <w:rFonts w:ascii="Arial" w:hAnsi="Arial" w:cs="Arial"/>
          <w:i/>
          <w:iCs/>
          <w:sz w:val="21"/>
          <w:szCs w:val="21"/>
        </w:rPr>
        <w:t xml:space="preserve">Communication from the Commission </w:t>
      </w:r>
      <w:r w:rsidR="001C69A6" w:rsidRPr="00EC7F22">
        <w:rPr>
          <w:rFonts w:ascii="Arial" w:hAnsi="Arial" w:cs="Arial"/>
          <w:sz w:val="21"/>
          <w:szCs w:val="21"/>
        </w:rPr>
        <w:t>COM(2005) 706 final (December 22)</w:t>
      </w:r>
      <w:r w:rsidR="00E53610" w:rsidRPr="00EC7F22">
        <w:rPr>
          <w:rFonts w:ascii="Arial" w:hAnsi="Arial" w:cs="Arial"/>
          <w:sz w:val="21"/>
          <w:szCs w:val="21"/>
        </w:rPr>
        <w:t>.</w:t>
      </w:r>
      <w:r w:rsidR="001C69A6" w:rsidRPr="00EC7F22">
        <w:rPr>
          <w:rFonts w:ascii="Arial" w:hAnsi="Arial" w:cs="Arial"/>
          <w:sz w:val="21"/>
          <w:szCs w:val="21"/>
        </w:rPr>
        <w:t xml:space="preserve"> </w:t>
      </w:r>
    </w:p>
    <w:p w14:paraId="550A56CA" w14:textId="77777777" w:rsidR="00462118" w:rsidRDefault="00E405D4" w:rsidP="00EC7F22">
      <w:pPr>
        <w:pStyle w:val="ListParagraph"/>
        <w:numPr>
          <w:ilvl w:val="0"/>
          <w:numId w:val="15"/>
        </w:numPr>
        <w:spacing w:after="120" w:line="276" w:lineRule="auto"/>
        <w:ind w:left="425" w:hanging="425"/>
        <w:contextualSpacing w:val="0"/>
        <w:jc w:val="both"/>
        <w:rPr>
          <w:rFonts w:ascii="Arial" w:hAnsi="Arial" w:cs="Arial"/>
          <w:sz w:val="22"/>
          <w:szCs w:val="21"/>
        </w:rPr>
      </w:pPr>
      <w:r w:rsidRPr="00462118">
        <w:rPr>
          <w:rFonts w:ascii="Arial" w:hAnsi="Arial" w:cs="Arial"/>
          <w:sz w:val="22"/>
          <w:szCs w:val="21"/>
        </w:rPr>
        <w:t xml:space="preserve">EUROPEAN COMMISSION </w:t>
      </w:r>
      <w:r w:rsidR="001C69A6" w:rsidRPr="00DF2C94">
        <w:rPr>
          <w:rFonts w:ascii="Arial" w:hAnsi="Arial" w:cs="Arial"/>
          <w:sz w:val="22"/>
          <w:szCs w:val="21"/>
        </w:rPr>
        <w:t>(2006)</w:t>
      </w:r>
      <w:r w:rsidR="00CC35CC" w:rsidRPr="00DF2C94">
        <w:rPr>
          <w:rFonts w:ascii="Arial" w:hAnsi="Arial" w:cs="Arial"/>
          <w:sz w:val="22"/>
          <w:szCs w:val="21"/>
        </w:rPr>
        <w:t>.</w:t>
      </w:r>
      <w:r w:rsidR="001C69A6" w:rsidRPr="00DF2C94">
        <w:rPr>
          <w:rFonts w:ascii="Arial" w:hAnsi="Arial" w:cs="Arial"/>
          <w:sz w:val="22"/>
          <w:szCs w:val="21"/>
        </w:rPr>
        <w:t xml:space="preserve"> Portfolio of Overarching Indicators and Streamlined </w:t>
      </w:r>
      <w:r w:rsidR="00F25C07" w:rsidRPr="00DF2C94">
        <w:rPr>
          <w:rFonts w:ascii="Arial" w:hAnsi="Arial" w:cs="Arial"/>
          <w:sz w:val="22"/>
          <w:szCs w:val="21"/>
        </w:rPr>
        <w:t xml:space="preserve">Social Inclusion, Pensions and </w:t>
      </w:r>
      <w:r w:rsidR="001C69A6" w:rsidRPr="00DF2C94">
        <w:rPr>
          <w:rFonts w:ascii="Arial" w:hAnsi="Arial" w:cs="Arial"/>
          <w:sz w:val="22"/>
          <w:szCs w:val="21"/>
        </w:rPr>
        <w:t xml:space="preserve">Health Portfolios. D/2006. </w:t>
      </w:r>
    </w:p>
    <w:p w14:paraId="08B06548" w14:textId="77777777" w:rsidR="00DF2C94" w:rsidRPr="00DF2C94" w:rsidRDefault="00462118" w:rsidP="00EC7F22">
      <w:pPr>
        <w:pStyle w:val="ListParagraph"/>
        <w:numPr>
          <w:ilvl w:val="0"/>
          <w:numId w:val="15"/>
        </w:numPr>
        <w:spacing w:after="120" w:line="276" w:lineRule="auto"/>
        <w:ind w:left="425" w:hanging="425"/>
        <w:contextualSpacing w:val="0"/>
        <w:jc w:val="both"/>
        <w:rPr>
          <w:rFonts w:ascii="Arial" w:hAnsi="Arial" w:cs="Arial"/>
          <w:sz w:val="22"/>
          <w:szCs w:val="21"/>
        </w:rPr>
      </w:pPr>
      <w:r w:rsidRPr="00462118">
        <w:rPr>
          <w:rFonts w:ascii="Arial" w:hAnsi="Arial" w:cs="Arial"/>
          <w:sz w:val="22"/>
          <w:szCs w:val="21"/>
        </w:rPr>
        <w:t>EUROPEAN COMMISSION (2006</w:t>
      </w:r>
      <w:r>
        <w:rPr>
          <w:rFonts w:ascii="Arial" w:hAnsi="Arial" w:cs="Arial"/>
          <w:sz w:val="22"/>
          <w:szCs w:val="21"/>
        </w:rPr>
        <w:t>a</w:t>
      </w:r>
      <w:r w:rsidRPr="00462118">
        <w:rPr>
          <w:rFonts w:ascii="Arial" w:hAnsi="Arial" w:cs="Arial"/>
          <w:sz w:val="22"/>
          <w:szCs w:val="21"/>
        </w:rPr>
        <w:t>) Current and prospective theoretical pension replacement rates – Report by the Indicators Sub-group (ISG) of the Social Protection Committee (SPC).</w:t>
      </w:r>
    </w:p>
    <w:p w14:paraId="722A2783" w14:textId="77777777" w:rsidR="001C69A6" w:rsidRPr="00DF2C94" w:rsidRDefault="00E405D4" w:rsidP="00DF2C94">
      <w:pPr>
        <w:numPr>
          <w:ilvl w:val="0"/>
          <w:numId w:val="15"/>
        </w:numPr>
        <w:spacing w:after="120" w:line="276" w:lineRule="auto"/>
        <w:ind w:left="425" w:hanging="425"/>
        <w:jc w:val="both"/>
        <w:rPr>
          <w:rFonts w:ascii="Arial" w:hAnsi="Arial"/>
          <w:sz w:val="22"/>
        </w:rPr>
      </w:pPr>
      <w:r w:rsidRPr="00462118">
        <w:rPr>
          <w:rFonts w:ascii="Arial" w:hAnsi="Arial" w:cs="Arial"/>
          <w:sz w:val="22"/>
          <w:szCs w:val="21"/>
        </w:rPr>
        <w:t xml:space="preserve">EUROPEAN COMMISSION </w:t>
      </w:r>
      <w:r w:rsidR="00DF2C94" w:rsidRPr="00DF2C94">
        <w:rPr>
          <w:rFonts w:ascii="Arial" w:hAnsi="Arial"/>
          <w:sz w:val="22"/>
        </w:rPr>
        <w:t>(2008). Portfolio of Overarching Indicators and Streamlined Social Inclusion, Pensions and  Health Portfolios: Update”. April, 2008. Brussels.</w:t>
      </w:r>
    </w:p>
    <w:p w14:paraId="563ABACF"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462118">
        <w:rPr>
          <w:rFonts w:ascii="Arial" w:hAnsi="Arial" w:cs="Arial"/>
          <w:sz w:val="22"/>
          <w:szCs w:val="21"/>
        </w:rPr>
        <w:t xml:space="preserve">EUROPEAN COMMISSION </w:t>
      </w:r>
      <w:r w:rsidR="001C69A6" w:rsidRPr="00DF2C94">
        <w:rPr>
          <w:rFonts w:ascii="Arial" w:hAnsi="Arial" w:cs="Arial"/>
          <w:sz w:val="22"/>
          <w:szCs w:val="21"/>
        </w:rPr>
        <w:t>(2012)</w:t>
      </w:r>
      <w:r w:rsidR="00CC35CC" w:rsidRPr="00DF2C94">
        <w:rPr>
          <w:rFonts w:ascii="Arial" w:hAnsi="Arial" w:cs="Arial"/>
          <w:sz w:val="22"/>
          <w:szCs w:val="21"/>
        </w:rPr>
        <w:t>.</w:t>
      </w:r>
      <w:r w:rsidR="001C69A6" w:rsidRPr="00DF2C94">
        <w:rPr>
          <w:rFonts w:ascii="Arial" w:hAnsi="Arial" w:cs="Arial"/>
          <w:sz w:val="22"/>
          <w:szCs w:val="21"/>
        </w:rPr>
        <w:t xml:space="preserve"> White Paper. An </w:t>
      </w:r>
      <w:r w:rsidR="00F25C07" w:rsidRPr="00DF2C94">
        <w:rPr>
          <w:rFonts w:ascii="Arial" w:hAnsi="Arial" w:cs="Arial"/>
          <w:sz w:val="22"/>
          <w:szCs w:val="21"/>
        </w:rPr>
        <w:t xml:space="preserve">Agenda </w:t>
      </w:r>
      <w:r w:rsidR="001C69A6" w:rsidRPr="00DF2C94">
        <w:rPr>
          <w:rFonts w:ascii="Arial" w:hAnsi="Arial" w:cs="Arial"/>
          <w:sz w:val="22"/>
          <w:szCs w:val="21"/>
        </w:rPr>
        <w:t>for Adequate, Safe and Sustainable</w:t>
      </w:r>
      <w:r w:rsidR="001C69A6" w:rsidRPr="00EC7F22">
        <w:rPr>
          <w:rFonts w:ascii="Arial" w:hAnsi="Arial" w:cs="Arial"/>
          <w:sz w:val="21"/>
          <w:szCs w:val="21"/>
        </w:rPr>
        <w:t xml:space="preserve"> </w:t>
      </w:r>
      <w:r w:rsidR="00F25C07" w:rsidRPr="00EC7F22">
        <w:rPr>
          <w:rFonts w:ascii="Arial" w:hAnsi="Arial" w:cs="Arial"/>
          <w:sz w:val="21"/>
          <w:szCs w:val="21"/>
        </w:rPr>
        <w:t>Pensions</w:t>
      </w:r>
      <w:r w:rsidR="001C69A6" w:rsidRPr="00EC7F22">
        <w:rPr>
          <w:rFonts w:ascii="Arial" w:hAnsi="Arial" w:cs="Arial"/>
          <w:sz w:val="21"/>
          <w:szCs w:val="21"/>
        </w:rPr>
        <w:t xml:space="preserve">. COM(2012) 55 final, 16 February 2012, Brussels. </w:t>
      </w:r>
    </w:p>
    <w:p w14:paraId="261D7888"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462118">
        <w:rPr>
          <w:rFonts w:ascii="Arial" w:hAnsi="Arial" w:cs="Arial"/>
          <w:sz w:val="22"/>
          <w:szCs w:val="21"/>
        </w:rPr>
        <w:t xml:space="preserve">EUROPEAN COMMISSION </w:t>
      </w:r>
      <w:r w:rsidR="001C69A6" w:rsidRPr="00EC7F22">
        <w:rPr>
          <w:rFonts w:ascii="Arial" w:hAnsi="Arial" w:cs="Arial"/>
          <w:sz w:val="21"/>
          <w:szCs w:val="21"/>
        </w:rPr>
        <w:t>and Council</w:t>
      </w:r>
      <w:r w:rsidR="00F25C07" w:rsidRPr="00EC7F22">
        <w:rPr>
          <w:rFonts w:ascii="Arial" w:hAnsi="Arial" w:cs="Arial"/>
          <w:sz w:val="21"/>
          <w:szCs w:val="21"/>
        </w:rPr>
        <w:t xml:space="preserve"> (</w:t>
      </w:r>
      <w:r w:rsidR="001C69A6" w:rsidRPr="00EC7F22">
        <w:rPr>
          <w:rFonts w:ascii="Arial" w:hAnsi="Arial" w:cs="Arial"/>
          <w:sz w:val="21"/>
          <w:szCs w:val="21"/>
        </w:rPr>
        <w:t>2003</w:t>
      </w:r>
      <w:r w:rsidR="00CC35CC">
        <w:rPr>
          <w:rFonts w:ascii="Arial" w:hAnsi="Arial" w:cs="Arial"/>
          <w:sz w:val="21"/>
          <w:szCs w:val="21"/>
        </w:rPr>
        <w:t>).</w:t>
      </w:r>
      <w:r w:rsidR="00F25C07" w:rsidRPr="00EC7F22">
        <w:rPr>
          <w:rFonts w:ascii="Arial" w:hAnsi="Arial" w:cs="Arial"/>
          <w:sz w:val="21"/>
          <w:szCs w:val="21"/>
        </w:rPr>
        <w:t xml:space="preserve"> </w:t>
      </w:r>
      <w:r w:rsidR="001C69A6" w:rsidRPr="00EC7F22">
        <w:rPr>
          <w:rFonts w:ascii="Arial" w:hAnsi="Arial" w:cs="Arial"/>
          <w:sz w:val="21"/>
          <w:szCs w:val="21"/>
        </w:rPr>
        <w:t xml:space="preserve">Adequate and Sustainable Pensions: Joint Report by the Commission and the Council”. 7165/03. </w:t>
      </w:r>
    </w:p>
    <w:p w14:paraId="53A5D15F"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462118">
        <w:rPr>
          <w:rFonts w:ascii="Arial" w:hAnsi="Arial" w:cs="Arial"/>
          <w:sz w:val="22"/>
          <w:szCs w:val="21"/>
        </w:rPr>
        <w:t xml:space="preserve">EUROPEAN COMMISSION </w:t>
      </w:r>
      <w:r w:rsidR="001C69A6" w:rsidRPr="00EC7F22">
        <w:rPr>
          <w:rFonts w:ascii="Arial" w:hAnsi="Arial" w:cs="Arial"/>
          <w:sz w:val="21"/>
          <w:szCs w:val="21"/>
        </w:rPr>
        <w:t>(DG EMPL) and Social Protection Committee (2015)</w:t>
      </w:r>
      <w:r w:rsidR="00F25C07" w:rsidRPr="00EC7F22">
        <w:rPr>
          <w:rFonts w:ascii="Arial" w:hAnsi="Arial" w:cs="Arial"/>
          <w:sz w:val="21"/>
          <w:szCs w:val="21"/>
        </w:rPr>
        <w:t>:</w:t>
      </w:r>
      <w:r w:rsidR="001C69A6" w:rsidRPr="00EC7F22">
        <w:rPr>
          <w:rFonts w:ascii="Arial" w:hAnsi="Arial" w:cs="Arial"/>
          <w:sz w:val="21"/>
          <w:szCs w:val="21"/>
        </w:rPr>
        <w:t xml:space="preserve"> The 2015 Pension Adequacy Report: </w:t>
      </w:r>
      <w:r w:rsidR="00F25C07" w:rsidRPr="00EC7F22">
        <w:rPr>
          <w:rFonts w:ascii="Arial" w:hAnsi="Arial" w:cs="Arial"/>
          <w:sz w:val="21"/>
          <w:szCs w:val="21"/>
        </w:rPr>
        <w:t xml:space="preserve">Current </w:t>
      </w:r>
      <w:r w:rsidR="001C69A6" w:rsidRPr="00EC7F22">
        <w:rPr>
          <w:rFonts w:ascii="Arial" w:hAnsi="Arial" w:cs="Arial"/>
          <w:sz w:val="21"/>
          <w:szCs w:val="21"/>
        </w:rPr>
        <w:t xml:space="preserve">and </w:t>
      </w:r>
      <w:r w:rsidR="00F25C07" w:rsidRPr="00EC7F22">
        <w:rPr>
          <w:rFonts w:ascii="Arial" w:hAnsi="Arial" w:cs="Arial"/>
          <w:sz w:val="21"/>
          <w:szCs w:val="21"/>
        </w:rPr>
        <w:t xml:space="preserve">Future Income Adequacy </w:t>
      </w:r>
      <w:r w:rsidR="001C69A6" w:rsidRPr="00EC7F22">
        <w:rPr>
          <w:rFonts w:ascii="Arial" w:hAnsi="Arial" w:cs="Arial"/>
          <w:sz w:val="21"/>
          <w:szCs w:val="21"/>
        </w:rPr>
        <w:t xml:space="preserve">in </w:t>
      </w:r>
      <w:r w:rsidR="00F25C07" w:rsidRPr="00EC7F22">
        <w:rPr>
          <w:rFonts w:ascii="Arial" w:hAnsi="Arial" w:cs="Arial"/>
          <w:sz w:val="21"/>
          <w:szCs w:val="21"/>
        </w:rPr>
        <w:t xml:space="preserve">Old Age </w:t>
      </w:r>
      <w:r w:rsidR="001C69A6" w:rsidRPr="00EC7F22">
        <w:rPr>
          <w:rFonts w:ascii="Arial" w:hAnsi="Arial" w:cs="Arial"/>
          <w:sz w:val="21"/>
          <w:szCs w:val="21"/>
        </w:rPr>
        <w:t>in the EU. Volume I. European Commission. Luxembourg: Publishing Office of the European Union.</w:t>
      </w:r>
    </w:p>
    <w:p w14:paraId="1B5E0CCB"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i/>
          <w:sz w:val="21"/>
          <w:szCs w:val="21"/>
        </w:rPr>
      </w:pPr>
      <w:r w:rsidRPr="00462118">
        <w:rPr>
          <w:rFonts w:ascii="Arial" w:hAnsi="Arial" w:cs="Arial"/>
          <w:sz w:val="22"/>
          <w:szCs w:val="21"/>
        </w:rPr>
        <w:t xml:space="preserve">EUROPEAN COMMISSION </w:t>
      </w:r>
      <w:r w:rsidR="001C69A6" w:rsidRPr="00EC7F22">
        <w:rPr>
          <w:rFonts w:ascii="Arial" w:hAnsi="Arial" w:cs="Arial"/>
          <w:sz w:val="21"/>
          <w:szCs w:val="21"/>
        </w:rPr>
        <w:t xml:space="preserve"> (2015)</w:t>
      </w:r>
      <w:r w:rsidR="00CC35CC">
        <w:rPr>
          <w:rFonts w:ascii="Arial" w:hAnsi="Arial" w:cs="Arial"/>
          <w:sz w:val="21"/>
          <w:szCs w:val="21"/>
        </w:rPr>
        <w:t>.</w:t>
      </w:r>
      <w:r w:rsidR="001C69A6" w:rsidRPr="00EC7F22">
        <w:rPr>
          <w:rFonts w:ascii="Arial" w:hAnsi="Arial" w:cs="Arial"/>
          <w:sz w:val="21"/>
          <w:szCs w:val="21"/>
        </w:rPr>
        <w:t xml:space="preserve"> The 2015 Ageing Report Underlying Assumptions and Projection Methodologies. Joint Report prepared by the European Commission (DG ECFIN) and the Economic Policy Committee (AWG). </w:t>
      </w:r>
      <w:r w:rsidR="00F25C07" w:rsidRPr="00EC7F22">
        <w:rPr>
          <w:rFonts w:ascii="Arial" w:hAnsi="Arial" w:cs="Arial"/>
          <w:sz w:val="21"/>
          <w:szCs w:val="21"/>
        </w:rPr>
        <w:t xml:space="preserve">European Economy </w:t>
      </w:r>
      <w:r w:rsidR="001C69A6" w:rsidRPr="00EC7F22">
        <w:rPr>
          <w:rFonts w:ascii="Arial" w:hAnsi="Arial" w:cs="Arial"/>
          <w:sz w:val="21"/>
          <w:szCs w:val="21"/>
        </w:rPr>
        <w:t>8|2014</w:t>
      </w:r>
      <w:r w:rsidR="00F25C07" w:rsidRPr="00EC7F22">
        <w:rPr>
          <w:rFonts w:ascii="Arial" w:hAnsi="Arial" w:cs="Arial"/>
          <w:sz w:val="21"/>
          <w:szCs w:val="21"/>
        </w:rPr>
        <w:t>.</w:t>
      </w:r>
    </w:p>
    <w:p w14:paraId="021D9514"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EC7F22">
        <w:rPr>
          <w:rFonts w:ascii="Arial" w:hAnsi="Arial" w:cs="Arial"/>
          <w:sz w:val="21"/>
          <w:szCs w:val="21"/>
        </w:rPr>
        <w:t xml:space="preserve">EUROPEAN UNION </w:t>
      </w:r>
      <w:r w:rsidR="001C69A6" w:rsidRPr="00EC7F22">
        <w:rPr>
          <w:rFonts w:ascii="Arial" w:hAnsi="Arial" w:cs="Arial"/>
          <w:sz w:val="21"/>
          <w:szCs w:val="21"/>
        </w:rPr>
        <w:t>(2014)</w:t>
      </w:r>
      <w:r w:rsidR="00CC35CC">
        <w:rPr>
          <w:rFonts w:ascii="Arial" w:hAnsi="Arial" w:cs="Arial"/>
          <w:sz w:val="21"/>
          <w:szCs w:val="21"/>
        </w:rPr>
        <w:t>.</w:t>
      </w:r>
      <w:r w:rsidR="001C69A6" w:rsidRPr="00EC7F22">
        <w:rPr>
          <w:rFonts w:ascii="Arial" w:hAnsi="Arial" w:cs="Arial"/>
          <w:sz w:val="21"/>
          <w:szCs w:val="21"/>
        </w:rPr>
        <w:t xml:space="preserve"> 2014 Social Protection Performance Monitor (SPPM) dashboard results. Luxembourg: Publications Office of the European Union. </w:t>
      </w:r>
    </w:p>
    <w:p w14:paraId="43ECBEC3" w14:textId="77777777" w:rsidR="001C69A6" w:rsidRPr="00E405D4" w:rsidRDefault="00E405D4" w:rsidP="00E405D4">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 xml:space="preserve">EUROSTAT </w:t>
      </w:r>
      <w:r w:rsidR="001C69A6" w:rsidRPr="00EC7F22">
        <w:rPr>
          <w:rFonts w:ascii="Arial" w:hAnsi="Arial" w:cs="Arial"/>
          <w:color w:val="000000" w:themeColor="text1"/>
          <w:sz w:val="21"/>
          <w:szCs w:val="21"/>
        </w:rPr>
        <w:t>(2012)</w:t>
      </w:r>
      <w:r w:rsidR="00CC35CC">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w:t>
      </w:r>
      <w:r w:rsidR="001C69A6" w:rsidRPr="00EC7F22">
        <w:rPr>
          <w:rFonts w:ascii="Arial" w:hAnsi="Arial" w:cs="Arial"/>
          <w:iCs/>
          <w:color w:val="000000" w:themeColor="text1"/>
          <w:sz w:val="21"/>
          <w:szCs w:val="21"/>
        </w:rPr>
        <w:t>ESSPROS Manual 2012</w:t>
      </w:r>
      <w:r w:rsidR="001C69A6" w:rsidRPr="00EC7F22">
        <w:rPr>
          <w:rFonts w:ascii="Arial" w:hAnsi="Arial" w:cs="Arial"/>
          <w:color w:val="000000" w:themeColor="text1"/>
          <w:sz w:val="21"/>
          <w:szCs w:val="21"/>
        </w:rPr>
        <w:t>, Luxembourg 2012</w:t>
      </w:r>
      <w:r w:rsidR="0001252A" w:rsidRPr="00EC7F22">
        <w:rPr>
          <w:rFonts w:ascii="Arial" w:hAnsi="Arial" w:cs="Arial"/>
          <w:color w:val="000000" w:themeColor="text1"/>
          <w:sz w:val="21"/>
          <w:szCs w:val="21"/>
        </w:rPr>
        <w:t>.</w:t>
      </w:r>
    </w:p>
    <w:p w14:paraId="6C5F15E8"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lastRenderedPageBreak/>
        <w:t xml:space="preserve">GRECH, </w:t>
      </w:r>
      <w:r w:rsidR="001C69A6" w:rsidRPr="00EC7F22">
        <w:rPr>
          <w:rFonts w:ascii="Arial" w:hAnsi="Arial" w:cs="Arial"/>
          <w:color w:val="000000" w:themeColor="text1"/>
          <w:sz w:val="21"/>
          <w:szCs w:val="21"/>
        </w:rPr>
        <w:t>A. G. (2013)</w:t>
      </w:r>
      <w:r w:rsidR="00CC35CC">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How </w:t>
      </w:r>
      <w:r w:rsidR="0001252A" w:rsidRPr="00EC7F22">
        <w:rPr>
          <w:rFonts w:ascii="Arial" w:hAnsi="Arial" w:cs="Arial"/>
          <w:color w:val="000000" w:themeColor="text1"/>
          <w:sz w:val="21"/>
          <w:szCs w:val="21"/>
        </w:rPr>
        <w:t xml:space="preserve">Best </w:t>
      </w:r>
      <w:r w:rsidR="001C69A6" w:rsidRPr="00EC7F22">
        <w:rPr>
          <w:rFonts w:ascii="Arial" w:hAnsi="Arial" w:cs="Arial"/>
          <w:color w:val="000000" w:themeColor="text1"/>
          <w:sz w:val="21"/>
          <w:szCs w:val="21"/>
        </w:rPr>
        <w:t xml:space="preserve">to </w:t>
      </w:r>
      <w:r w:rsidR="0001252A" w:rsidRPr="00EC7F22">
        <w:rPr>
          <w:rFonts w:ascii="Arial" w:hAnsi="Arial" w:cs="Arial"/>
          <w:color w:val="000000" w:themeColor="text1"/>
          <w:sz w:val="21"/>
          <w:szCs w:val="21"/>
        </w:rPr>
        <w:t>Measure Pension Adequacy</w:t>
      </w:r>
      <w:r w:rsidR="001C69A6" w:rsidRPr="00EC7F22">
        <w:rPr>
          <w:rFonts w:ascii="Arial" w:hAnsi="Arial" w:cs="Arial"/>
          <w:color w:val="000000" w:themeColor="text1"/>
          <w:sz w:val="21"/>
          <w:szCs w:val="21"/>
        </w:rPr>
        <w:t>.</w:t>
      </w:r>
    </w:p>
    <w:p w14:paraId="16D858AC" w14:textId="77777777" w:rsidR="001C69A6" w:rsidRPr="00EC7F22" w:rsidRDefault="00E405D4" w:rsidP="00CC35CC">
      <w:pPr>
        <w:pStyle w:val="NormalWeb"/>
        <w:numPr>
          <w:ilvl w:val="0"/>
          <w:numId w:val="15"/>
        </w:numPr>
        <w:spacing w:beforeLines="0" w:afterLines="0" w:line="276" w:lineRule="auto"/>
        <w:ind w:left="425" w:hanging="425"/>
        <w:jc w:val="both"/>
        <w:rPr>
          <w:rFonts w:ascii="Arial" w:hAnsi="Arial" w:cs="Arial"/>
          <w:color w:val="000000" w:themeColor="text1"/>
          <w:sz w:val="21"/>
          <w:szCs w:val="21"/>
        </w:rPr>
      </w:pPr>
      <w:r w:rsidRPr="00EC7F22">
        <w:rPr>
          <w:rFonts w:ascii="Arial" w:hAnsi="Arial" w:cs="Arial"/>
          <w:color w:val="000000" w:themeColor="text1"/>
          <w:sz w:val="21"/>
          <w:szCs w:val="21"/>
        </w:rPr>
        <w:t xml:space="preserve">HOLZMANN, </w:t>
      </w:r>
      <w:r w:rsidR="001C69A6" w:rsidRPr="00EC7F22">
        <w:rPr>
          <w:rFonts w:ascii="Arial" w:hAnsi="Arial" w:cs="Arial"/>
          <w:color w:val="000000" w:themeColor="text1"/>
          <w:sz w:val="21"/>
          <w:szCs w:val="21"/>
        </w:rPr>
        <w:t>R.</w:t>
      </w:r>
      <w:r w:rsidR="0001252A" w:rsidRPr="00EC7F22">
        <w:rPr>
          <w:rFonts w:ascii="Arial" w:hAnsi="Arial" w:cs="Arial"/>
          <w:color w:val="000000" w:themeColor="text1"/>
          <w:sz w:val="21"/>
          <w:szCs w:val="21"/>
        </w:rPr>
        <w:t>,</w:t>
      </w:r>
      <w:r w:rsidR="00CC35CC">
        <w:rPr>
          <w:rFonts w:ascii="Arial" w:hAnsi="Arial" w:cs="Arial"/>
          <w:color w:val="000000" w:themeColor="text1"/>
          <w:sz w:val="21"/>
          <w:szCs w:val="21"/>
        </w:rPr>
        <w:t xml:space="preserve"> </w:t>
      </w:r>
      <w:r>
        <w:rPr>
          <w:rFonts w:ascii="Arial" w:hAnsi="Arial" w:cs="Arial"/>
          <w:color w:val="000000" w:themeColor="text1"/>
          <w:sz w:val="21"/>
          <w:szCs w:val="21"/>
        </w:rPr>
        <w:t xml:space="preserve">HINZ, </w:t>
      </w:r>
      <w:r w:rsidR="00CC35CC">
        <w:rPr>
          <w:rFonts w:ascii="Arial" w:hAnsi="Arial" w:cs="Arial"/>
          <w:color w:val="000000" w:themeColor="text1"/>
          <w:sz w:val="21"/>
          <w:szCs w:val="21"/>
        </w:rPr>
        <w:t>R. (2005).</w:t>
      </w:r>
      <w:r w:rsidR="001C69A6" w:rsidRPr="00EC7F22">
        <w:rPr>
          <w:rFonts w:ascii="Arial" w:hAnsi="Arial" w:cs="Arial"/>
          <w:color w:val="000000" w:themeColor="text1"/>
          <w:sz w:val="21"/>
          <w:szCs w:val="21"/>
        </w:rPr>
        <w:t xml:space="preserve"> Old-Age Income Support in the 21</w:t>
      </w:r>
      <w:r w:rsidR="0001252A" w:rsidRPr="00EC7F22">
        <w:rPr>
          <w:rFonts w:ascii="Arial" w:hAnsi="Arial" w:cs="Arial"/>
          <w:color w:val="000000" w:themeColor="text1"/>
          <w:sz w:val="21"/>
          <w:szCs w:val="21"/>
          <w:vertAlign w:val="superscript"/>
        </w:rPr>
        <w:t>st</w:t>
      </w:r>
      <w:r w:rsidR="0001252A" w:rsidRPr="00EC7F22">
        <w:rPr>
          <w:rFonts w:ascii="Arial" w:hAnsi="Arial" w:cs="Arial"/>
          <w:color w:val="000000" w:themeColor="text1"/>
          <w:sz w:val="21"/>
          <w:szCs w:val="21"/>
        </w:rPr>
        <w:t xml:space="preserve"> </w:t>
      </w:r>
      <w:r w:rsidR="001C69A6" w:rsidRPr="00EC7F22">
        <w:rPr>
          <w:rFonts w:ascii="Arial" w:hAnsi="Arial" w:cs="Arial"/>
          <w:color w:val="000000" w:themeColor="text1"/>
          <w:sz w:val="21"/>
          <w:szCs w:val="21"/>
        </w:rPr>
        <w:t>Century: An International Perspective on Pension Systems and Reform. Washington DC: World Bank</w:t>
      </w:r>
      <w:r w:rsidR="0001252A" w:rsidRPr="00EC7F22">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w:t>
      </w:r>
    </w:p>
    <w:p w14:paraId="04CE8DD6"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EC7F22">
        <w:rPr>
          <w:rFonts w:ascii="Arial" w:hAnsi="Arial" w:cs="Arial"/>
          <w:color w:val="000000" w:themeColor="text1"/>
          <w:sz w:val="21"/>
          <w:szCs w:val="21"/>
        </w:rPr>
        <w:t xml:space="preserve">LODGE, </w:t>
      </w:r>
      <w:r w:rsidR="001C69A6" w:rsidRPr="00EC7F22">
        <w:rPr>
          <w:rFonts w:ascii="Arial" w:hAnsi="Arial" w:cs="Arial"/>
          <w:color w:val="000000" w:themeColor="text1"/>
          <w:sz w:val="21"/>
          <w:szCs w:val="21"/>
        </w:rPr>
        <w:t>M. (2007)</w:t>
      </w:r>
      <w:r w:rsidR="00CC35CC">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Comparing </w:t>
      </w:r>
      <w:r w:rsidR="0001252A" w:rsidRPr="00EC7F22">
        <w:rPr>
          <w:rFonts w:ascii="Arial" w:hAnsi="Arial" w:cs="Arial"/>
          <w:color w:val="000000" w:themeColor="text1"/>
          <w:sz w:val="21"/>
          <w:szCs w:val="21"/>
        </w:rPr>
        <w:t>Non</w:t>
      </w:r>
      <w:r w:rsidR="001C69A6" w:rsidRPr="00EC7F22">
        <w:rPr>
          <w:rFonts w:ascii="Academy Engraved LET" w:hAnsi="Academy Engraved LET" w:cs="Academy Engraved LET"/>
          <w:color w:val="000000" w:themeColor="text1"/>
          <w:sz w:val="21"/>
          <w:szCs w:val="21"/>
        </w:rPr>
        <w:t>‐</w:t>
      </w:r>
      <w:r w:rsidR="0001252A" w:rsidRPr="00EC7F22">
        <w:rPr>
          <w:rFonts w:ascii="Arial" w:hAnsi="Arial" w:cs="Arial"/>
          <w:color w:val="000000" w:themeColor="text1"/>
          <w:sz w:val="21"/>
          <w:szCs w:val="21"/>
        </w:rPr>
        <w:t xml:space="preserve">Hierarchical Governance </w:t>
      </w:r>
      <w:r w:rsidR="001C69A6" w:rsidRPr="00EC7F22">
        <w:rPr>
          <w:rFonts w:ascii="Arial" w:hAnsi="Arial" w:cs="Arial"/>
          <w:color w:val="000000" w:themeColor="text1"/>
          <w:sz w:val="21"/>
          <w:szCs w:val="21"/>
        </w:rPr>
        <w:t xml:space="preserve">in </w:t>
      </w:r>
      <w:r w:rsidR="0001252A" w:rsidRPr="00EC7F22">
        <w:rPr>
          <w:rFonts w:ascii="Arial" w:hAnsi="Arial" w:cs="Arial"/>
          <w:color w:val="000000" w:themeColor="text1"/>
          <w:sz w:val="21"/>
          <w:szCs w:val="21"/>
        </w:rPr>
        <w:t>Action</w:t>
      </w:r>
      <w:r w:rsidR="001C69A6" w:rsidRPr="00EC7F22">
        <w:rPr>
          <w:rFonts w:ascii="Arial" w:hAnsi="Arial" w:cs="Arial"/>
          <w:color w:val="000000" w:themeColor="text1"/>
          <w:sz w:val="21"/>
          <w:szCs w:val="21"/>
        </w:rPr>
        <w:t>: the Open Method of Co</w:t>
      </w:r>
      <w:r w:rsidR="001C69A6" w:rsidRPr="00EC7F22">
        <w:rPr>
          <w:rFonts w:ascii="Academy Engraved LET" w:hAnsi="Academy Engraved LET" w:cs="Academy Engraved LET"/>
          <w:color w:val="000000" w:themeColor="text1"/>
          <w:sz w:val="21"/>
          <w:szCs w:val="21"/>
        </w:rPr>
        <w:t>‐</w:t>
      </w:r>
      <w:r w:rsidR="001C69A6" w:rsidRPr="00EC7F22">
        <w:rPr>
          <w:rFonts w:ascii="Arial" w:hAnsi="Arial" w:cs="Arial"/>
          <w:color w:val="000000" w:themeColor="text1"/>
          <w:sz w:val="21"/>
          <w:szCs w:val="21"/>
        </w:rPr>
        <w:t xml:space="preserve">ordination in </w:t>
      </w:r>
      <w:r w:rsidR="0001252A" w:rsidRPr="00EC7F22">
        <w:rPr>
          <w:rFonts w:ascii="Arial" w:hAnsi="Arial" w:cs="Arial"/>
          <w:color w:val="000000" w:themeColor="text1"/>
          <w:sz w:val="21"/>
          <w:szCs w:val="21"/>
        </w:rPr>
        <w:t xml:space="preserve">Pensions </w:t>
      </w:r>
      <w:r w:rsidR="001C69A6" w:rsidRPr="00EC7F22">
        <w:rPr>
          <w:rFonts w:ascii="Arial" w:hAnsi="Arial" w:cs="Arial"/>
          <w:color w:val="000000" w:themeColor="text1"/>
          <w:sz w:val="21"/>
          <w:szCs w:val="21"/>
        </w:rPr>
        <w:t xml:space="preserve">and </w:t>
      </w:r>
      <w:r w:rsidR="0001252A" w:rsidRPr="00EC7F22">
        <w:rPr>
          <w:rFonts w:ascii="Arial" w:hAnsi="Arial" w:cs="Arial"/>
          <w:color w:val="000000" w:themeColor="text1"/>
          <w:sz w:val="21"/>
          <w:szCs w:val="21"/>
        </w:rPr>
        <w:t>Information Society</w:t>
      </w:r>
      <w:r w:rsidR="001C69A6" w:rsidRPr="00EC7F22">
        <w:rPr>
          <w:rFonts w:ascii="Arial" w:hAnsi="Arial" w:cs="Arial"/>
          <w:color w:val="000000" w:themeColor="text1"/>
          <w:sz w:val="21"/>
          <w:szCs w:val="21"/>
        </w:rPr>
        <w:t xml:space="preserve">. </w:t>
      </w:r>
      <w:r w:rsidR="001C69A6" w:rsidRPr="00EC7F22">
        <w:rPr>
          <w:rFonts w:ascii="Arial" w:hAnsi="Arial" w:cs="Arial"/>
          <w:i/>
          <w:iCs/>
          <w:color w:val="000000" w:themeColor="text1"/>
          <w:sz w:val="21"/>
          <w:szCs w:val="21"/>
        </w:rPr>
        <w:t>JCMS: Journal of common market studies</w:t>
      </w:r>
      <w:r w:rsidR="001C69A6" w:rsidRPr="00EC7F22">
        <w:rPr>
          <w:rFonts w:ascii="Arial" w:hAnsi="Arial" w:cs="Arial"/>
          <w:sz w:val="21"/>
          <w:szCs w:val="21"/>
        </w:rPr>
        <w:t xml:space="preserve">, </w:t>
      </w:r>
      <w:r w:rsidR="001C69A6" w:rsidRPr="00EC7F22">
        <w:rPr>
          <w:rFonts w:ascii="Arial" w:hAnsi="Arial" w:cs="Arial"/>
          <w:i/>
          <w:iCs/>
          <w:sz w:val="21"/>
          <w:szCs w:val="21"/>
        </w:rPr>
        <w:t>45</w:t>
      </w:r>
      <w:r w:rsidR="001C69A6" w:rsidRPr="00EC7F22">
        <w:rPr>
          <w:rFonts w:ascii="Arial" w:hAnsi="Arial" w:cs="Arial"/>
          <w:sz w:val="21"/>
          <w:szCs w:val="21"/>
        </w:rPr>
        <w:t>(2), 343-365.</w:t>
      </w:r>
    </w:p>
    <w:p w14:paraId="03240BEF"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EC7F22">
        <w:rPr>
          <w:rFonts w:ascii="Arial" w:hAnsi="Arial" w:cs="Arial"/>
          <w:sz w:val="21"/>
          <w:szCs w:val="21"/>
        </w:rPr>
        <w:t xml:space="preserve">MARLIER, </w:t>
      </w:r>
      <w:r w:rsidR="001C69A6" w:rsidRPr="00EC7F22">
        <w:rPr>
          <w:rFonts w:ascii="Arial" w:hAnsi="Arial" w:cs="Arial"/>
          <w:sz w:val="21"/>
          <w:szCs w:val="21"/>
        </w:rPr>
        <w:t>E., Cantillon, B., Nolan, B., Van den Bosch, K., Van Rie, T. (2009</w:t>
      </w:r>
      <w:r w:rsidR="0001252A" w:rsidRPr="00EC7F22">
        <w:rPr>
          <w:rFonts w:ascii="Arial" w:hAnsi="Arial" w:cs="Arial"/>
          <w:sz w:val="21"/>
          <w:szCs w:val="21"/>
        </w:rPr>
        <w:t>):</w:t>
      </w:r>
      <w:r w:rsidR="001C69A6" w:rsidRPr="00EC7F22">
        <w:rPr>
          <w:rFonts w:ascii="Arial" w:hAnsi="Arial" w:cs="Arial"/>
          <w:sz w:val="21"/>
          <w:szCs w:val="21"/>
        </w:rPr>
        <w:t xml:space="preserve"> Developing and </w:t>
      </w:r>
      <w:r w:rsidR="0001252A" w:rsidRPr="00EC7F22">
        <w:rPr>
          <w:rFonts w:ascii="Arial" w:hAnsi="Arial" w:cs="Arial"/>
          <w:sz w:val="21"/>
          <w:szCs w:val="21"/>
        </w:rPr>
        <w:t xml:space="preserve">Learning </w:t>
      </w:r>
      <w:r w:rsidR="001C69A6" w:rsidRPr="00EC7F22">
        <w:rPr>
          <w:rFonts w:ascii="Arial" w:hAnsi="Arial" w:cs="Arial"/>
          <w:sz w:val="21"/>
          <w:szCs w:val="21"/>
        </w:rPr>
        <w:t xml:space="preserve">from </w:t>
      </w:r>
      <w:r w:rsidR="0001252A" w:rsidRPr="00EC7F22">
        <w:rPr>
          <w:rFonts w:ascii="Arial" w:hAnsi="Arial" w:cs="Arial"/>
          <w:sz w:val="21"/>
          <w:szCs w:val="21"/>
        </w:rPr>
        <w:t xml:space="preserve">Measures </w:t>
      </w:r>
      <w:r w:rsidR="001C69A6" w:rsidRPr="00EC7F22">
        <w:rPr>
          <w:rFonts w:ascii="Arial" w:hAnsi="Arial" w:cs="Arial"/>
          <w:sz w:val="21"/>
          <w:szCs w:val="21"/>
        </w:rPr>
        <w:t xml:space="preserve">of </w:t>
      </w:r>
      <w:r w:rsidR="0001252A" w:rsidRPr="00EC7F22">
        <w:rPr>
          <w:rFonts w:ascii="Arial" w:hAnsi="Arial" w:cs="Arial"/>
          <w:sz w:val="21"/>
          <w:szCs w:val="21"/>
        </w:rPr>
        <w:t xml:space="preserve">Social Inclusion </w:t>
      </w:r>
      <w:r w:rsidR="001C69A6" w:rsidRPr="00EC7F22">
        <w:rPr>
          <w:rFonts w:ascii="Arial" w:hAnsi="Arial" w:cs="Arial"/>
          <w:sz w:val="21"/>
          <w:szCs w:val="21"/>
        </w:rPr>
        <w:t xml:space="preserve">in the European Union. In </w:t>
      </w:r>
      <w:r w:rsidR="001C69A6" w:rsidRPr="00EC7F22">
        <w:rPr>
          <w:rFonts w:ascii="Arial" w:hAnsi="Arial" w:cs="Arial"/>
          <w:i/>
          <w:iCs/>
          <w:sz w:val="21"/>
          <w:szCs w:val="21"/>
        </w:rPr>
        <w:t>Manuscript, Paris Conference</w:t>
      </w:r>
      <w:r w:rsidR="001C69A6" w:rsidRPr="00EC7F22">
        <w:rPr>
          <w:rFonts w:ascii="Arial" w:hAnsi="Arial" w:cs="Arial"/>
          <w:sz w:val="21"/>
          <w:szCs w:val="21"/>
        </w:rPr>
        <w:t>.</w:t>
      </w:r>
    </w:p>
    <w:p w14:paraId="18EA845A" w14:textId="77777777" w:rsidR="00E405D4"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EC7F22">
        <w:rPr>
          <w:rFonts w:ascii="Arial" w:hAnsi="Arial" w:cs="Arial"/>
          <w:sz w:val="21"/>
          <w:szCs w:val="21"/>
        </w:rPr>
        <w:t xml:space="preserve">MATKOVIĆ, </w:t>
      </w:r>
      <w:r w:rsidR="001C69A6" w:rsidRPr="00EC7F22">
        <w:rPr>
          <w:rFonts w:ascii="Arial" w:hAnsi="Arial" w:cs="Arial"/>
          <w:sz w:val="21"/>
          <w:szCs w:val="21"/>
        </w:rPr>
        <w:t>G. (2010)</w:t>
      </w:r>
      <w:r w:rsidR="00CC35CC">
        <w:rPr>
          <w:rFonts w:ascii="Arial" w:hAnsi="Arial" w:cs="Arial"/>
          <w:sz w:val="21"/>
          <w:szCs w:val="21"/>
        </w:rPr>
        <w:t>.</w:t>
      </w:r>
      <w:r w:rsidR="0001252A" w:rsidRPr="00EC7F22">
        <w:rPr>
          <w:rFonts w:ascii="Arial" w:hAnsi="Arial" w:cs="Arial"/>
          <w:sz w:val="21"/>
          <w:szCs w:val="21"/>
        </w:rPr>
        <w:t xml:space="preserve"> </w:t>
      </w:r>
      <w:r w:rsidR="001C69A6" w:rsidRPr="00EC7F22">
        <w:rPr>
          <w:rFonts w:ascii="Arial" w:hAnsi="Arial" w:cs="Arial"/>
          <w:sz w:val="21"/>
          <w:szCs w:val="21"/>
        </w:rPr>
        <w:t>Najčešće zablude o penzijskom sistemu u Srbiji</w:t>
      </w:r>
      <w:r w:rsidR="0001252A" w:rsidRPr="00EC7F22">
        <w:rPr>
          <w:rFonts w:ascii="Arial" w:hAnsi="Arial" w:cs="Arial"/>
          <w:sz w:val="21"/>
          <w:szCs w:val="21"/>
        </w:rPr>
        <w:t>,</w:t>
      </w:r>
      <w:r w:rsidR="001C69A6" w:rsidRPr="00EC7F22">
        <w:rPr>
          <w:rFonts w:ascii="Arial" w:hAnsi="Arial" w:cs="Arial"/>
          <w:sz w:val="21"/>
          <w:szCs w:val="21"/>
        </w:rPr>
        <w:t xml:space="preserve"> u </w:t>
      </w:r>
      <w:r w:rsidR="001C69A6" w:rsidRPr="00EC7F22">
        <w:rPr>
          <w:rFonts w:ascii="Arial" w:hAnsi="Arial" w:cs="Arial"/>
          <w:i/>
          <w:sz w:val="21"/>
          <w:szCs w:val="21"/>
        </w:rPr>
        <w:t>Institucionalne reforme u 2009. godini</w:t>
      </w:r>
      <w:r w:rsidR="001C69A6" w:rsidRPr="00EC7F22">
        <w:rPr>
          <w:rFonts w:ascii="Arial" w:hAnsi="Arial" w:cs="Arial"/>
          <w:sz w:val="21"/>
          <w:szCs w:val="21"/>
        </w:rPr>
        <w:t>. Centar za liberalno-demokratske studije. Beograd</w:t>
      </w:r>
      <w:r w:rsidR="0001252A" w:rsidRPr="00EC7F22">
        <w:rPr>
          <w:rFonts w:ascii="Arial" w:hAnsi="Arial" w:cs="Arial"/>
          <w:sz w:val="21"/>
          <w:szCs w:val="21"/>
        </w:rPr>
        <w:t>.</w:t>
      </w:r>
    </w:p>
    <w:p w14:paraId="77E430D5"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sz w:val="21"/>
          <w:szCs w:val="21"/>
        </w:rPr>
      </w:pPr>
      <w:r w:rsidRPr="00E405D4">
        <w:rPr>
          <w:rFonts w:ascii="Arial" w:hAnsi="Arial" w:cs="Arial"/>
          <w:sz w:val="21"/>
          <w:szCs w:val="21"/>
        </w:rPr>
        <w:t xml:space="preserve">MUNNELL, A. and SOTO, M. (2005) “How much pre-retirement income does social security replace?”, Issue in Brief. Center for Retirement Research at Boston College. </w:t>
      </w:r>
    </w:p>
    <w:p w14:paraId="08325ECF" w14:textId="77777777" w:rsidR="00CA5888" w:rsidRDefault="00E405D4" w:rsidP="00EC7F22">
      <w:pPr>
        <w:pStyle w:val="ListParagraph"/>
        <w:numPr>
          <w:ilvl w:val="0"/>
          <w:numId w:val="15"/>
        </w:numPr>
        <w:spacing w:after="120" w:line="276" w:lineRule="auto"/>
        <w:ind w:left="425" w:hanging="425"/>
        <w:contextualSpacing w:val="0"/>
        <w:jc w:val="both"/>
        <w:rPr>
          <w:rFonts w:ascii="Arial" w:hAnsi="Arial" w:cs="Arial"/>
          <w:i/>
          <w:color w:val="000000" w:themeColor="text1"/>
          <w:sz w:val="21"/>
          <w:szCs w:val="21"/>
        </w:rPr>
      </w:pPr>
      <w:r w:rsidRPr="00EC7F22">
        <w:rPr>
          <w:rFonts w:ascii="Arial" w:hAnsi="Arial" w:cs="Arial"/>
          <w:color w:val="000000" w:themeColor="text1"/>
          <w:sz w:val="21"/>
          <w:szCs w:val="21"/>
        </w:rPr>
        <w:t xml:space="preserve">NATALI, </w:t>
      </w:r>
      <w:r w:rsidR="001C69A6" w:rsidRPr="00EC7F22">
        <w:rPr>
          <w:rFonts w:ascii="Arial" w:hAnsi="Arial" w:cs="Arial"/>
          <w:color w:val="000000" w:themeColor="text1"/>
          <w:sz w:val="21"/>
          <w:szCs w:val="21"/>
        </w:rPr>
        <w:t>D. (2007)</w:t>
      </w:r>
      <w:r w:rsidR="00CC35CC">
        <w:rPr>
          <w:rFonts w:ascii="Arial" w:hAnsi="Arial" w:cs="Arial"/>
          <w:color w:val="000000" w:themeColor="text1"/>
          <w:sz w:val="21"/>
          <w:szCs w:val="21"/>
        </w:rPr>
        <w:t>.</w:t>
      </w:r>
      <w:r w:rsidR="0001252A" w:rsidRPr="00EC7F22">
        <w:rPr>
          <w:rFonts w:ascii="Arial" w:hAnsi="Arial" w:cs="Arial"/>
          <w:color w:val="000000" w:themeColor="text1"/>
          <w:sz w:val="21"/>
          <w:szCs w:val="21"/>
        </w:rPr>
        <w:t xml:space="preserve"> </w:t>
      </w:r>
      <w:r w:rsidR="00CC35CC">
        <w:rPr>
          <w:rFonts w:ascii="Arial" w:hAnsi="Arial" w:cs="Arial"/>
          <w:color w:val="000000" w:themeColor="text1"/>
          <w:sz w:val="21"/>
          <w:szCs w:val="21"/>
        </w:rPr>
        <w:t>Pensions OMC:</w:t>
      </w:r>
      <w:r w:rsidR="001C69A6" w:rsidRPr="00EC7F22">
        <w:rPr>
          <w:rFonts w:ascii="Arial" w:hAnsi="Arial" w:cs="Arial"/>
          <w:color w:val="000000" w:themeColor="text1"/>
          <w:sz w:val="21"/>
          <w:szCs w:val="21"/>
        </w:rPr>
        <w:t xml:space="preserve"> </w:t>
      </w:r>
      <w:r w:rsidR="0001252A" w:rsidRPr="00EC7F22">
        <w:rPr>
          <w:rFonts w:ascii="Arial" w:hAnsi="Arial" w:cs="Arial"/>
          <w:color w:val="000000" w:themeColor="text1"/>
          <w:sz w:val="21"/>
          <w:szCs w:val="21"/>
        </w:rPr>
        <w:t xml:space="preserve">Why Did </w:t>
      </w:r>
      <w:r w:rsidR="001C69A6" w:rsidRPr="00EC7F22">
        <w:rPr>
          <w:rFonts w:ascii="Arial" w:hAnsi="Arial" w:cs="Arial"/>
          <w:color w:val="000000" w:themeColor="text1"/>
          <w:sz w:val="21"/>
          <w:szCs w:val="21"/>
        </w:rPr>
        <w:t xml:space="preserve">it </w:t>
      </w:r>
      <w:r w:rsidR="0001252A" w:rsidRPr="00EC7F22">
        <w:rPr>
          <w:rFonts w:ascii="Arial" w:hAnsi="Arial" w:cs="Arial"/>
          <w:color w:val="000000" w:themeColor="text1"/>
          <w:sz w:val="21"/>
          <w:szCs w:val="21"/>
        </w:rPr>
        <w:t xml:space="preserve">Emerge </w:t>
      </w:r>
      <w:r w:rsidR="001C69A6" w:rsidRPr="00EC7F22">
        <w:rPr>
          <w:rFonts w:ascii="Arial" w:hAnsi="Arial" w:cs="Arial"/>
          <w:color w:val="000000" w:themeColor="text1"/>
          <w:sz w:val="21"/>
          <w:szCs w:val="21"/>
        </w:rPr>
        <w:t xml:space="preserve">and </w:t>
      </w:r>
      <w:r w:rsidR="0001252A" w:rsidRPr="00EC7F22">
        <w:rPr>
          <w:rFonts w:ascii="Arial" w:hAnsi="Arial" w:cs="Arial"/>
          <w:color w:val="000000" w:themeColor="text1"/>
          <w:sz w:val="21"/>
          <w:szCs w:val="21"/>
        </w:rPr>
        <w:t xml:space="preserve">How Does </w:t>
      </w:r>
      <w:r w:rsidR="001C69A6" w:rsidRPr="00EC7F22">
        <w:rPr>
          <w:rFonts w:ascii="Arial" w:hAnsi="Arial" w:cs="Arial"/>
          <w:color w:val="000000" w:themeColor="text1"/>
          <w:sz w:val="21"/>
          <w:szCs w:val="21"/>
        </w:rPr>
        <w:t xml:space="preserve">it </w:t>
      </w:r>
      <w:r w:rsidR="0001252A" w:rsidRPr="00EC7F22">
        <w:rPr>
          <w:rFonts w:ascii="Arial" w:hAnsi="Arial" w:cs="Arial"/>
          <w:color w:val="000000" w:themeColor="text1"/>
          <w:sz w:val="21"/>
          <w:szCs w:val="21"/>
        </w:rPr>
        <w:t>Evolve</w:t>
      </w:r>
      <w:r w:rsidR="001C69A6" w:rsidRPr="00EC7F22">
        <w:rPr>
          <w:rFonts w:ascii="Arial" w:hAnsi="Arial" w:cs="Arial"/>
          <w:color w:val="000000" w:themeColor="text1"/>
          <w:sz w:val="21"/>
          <w:szCs w:val="21"/>
        </w:rPr>
        <w:t xml:space="preserve">”. </w:t>
      </w:r>
      <w:r w:rsidR="001C69A6" w:rsidRPr="00EC7F22">
        <w:rPr>
          <w:rFonts w:ascii="Arial" w:hAnsi="Arial" w:cs="Arial"/>
          <w:i/>
          <w:color w:val="000000" w:themeColor="text1"/>
          <w:sz w:val="21"/>
          <w:szCs w:val="21"/>
        </w:rPr>
        <w:t>Paper for the Annual EUSA Conference</w:t>
      </w:r>
      <w:r w:rsidR="0001252A" w:rsidRPr="00EC7F22">
        <w:rPr>
          <w:rFonts w:ascii="Arial" w:hAnsi="Arial" w:cs="Arial"/>
          <w:i/>
          <w:color w:val="000000" w:themeColor="text1"/>
          <w:sz w:val="21"/>
          <w:szCs w:val="21"/>
        </w:rPr>
        <w:t>.</w:t>
      </w:r>
      <w:r w:rsidR="001C69A6" w:rsidRPr="00EC7F22">
        <w:rPr>
          <w:rFonts w:ascii="Arial" w:hAnsi="Arial" w:cs="Arial"/>
          <w:i/>
          <w:color w:val="000000" w:themeColor="text1"/>
          <w:sz w:val="21"/>
          <w:szCs w:val="21"/>
        </w:rPr>
        <w:t xml:space="preserve"> </w:t>
      </w:r>
    </w:p>
    <w:p w14:paraId="0F6BCF65" w14:textId="77777777" w:rsidR="00CA5888" w:rsidRDefault="00CA5888" w:rsidP="00CA5888">
      <w:pPr>
        <w:numPr>
          <w:ilvl w:val="0"/>
          <w:numId w:val="15"/>
        </w:numPr>
        <w:spacing w:after="120" w:line="276" w:lineRule="auto"/>
        <w:ind w:left="425" w:hanging="425"/>
        <w:jc w:val="both"/>
        <w:rPr>
          <w:rFonts w:ascii="Arial" w:hAnsi="Arial" w:cs="Arial"/>
          <w:color w:val="000000"/>
          <w:sz w:val="21"/>
          <w:szCs w:val="21"/>
        </w:rPr>
      </w:pPr>
      <w:r w:rsidRPr="0015772B">
        <w:rPr>
          <w:rFonts w:ascii="Arial" w:hAnsi="Arial" w:cs="Arial"/>
          <w:color w:val="000000"/>
          <w:sz w:val="21"/>
          <w:szCs w:val="21"/>
        </w:rPr>
        <w:t xml:space="preserve">OECD (2005): Pensions at a Glance 2005: Public policies across OECD countries. OECD Publishing. </w:t>
      </w:r>
    </w:p>
    <w:p w14:paraId="35FFFEE7" w14:textId="77777777" w:rsidR="001C69A6" w:rsidRPr="00CA5888" w:rsidRDefault="00CA5888" w:rsidP="00CA5888">
      <w:pPr>
        <w:numPr>
          <w:ilvl w:val="0"/>
          <w:numId w:val="15"/>
        </w:numPr>
        <w:spacing w:after="120" w:line="276" w:lineRule="auto"/>
        <w:ind w:left="425" w:hanging="425"/>
        <w:jc w:val="both"/>
        <w:rPr>
          <w:rFonts w:ascii="Arial" w:hAnsi="Arial" w:cs="Arial"/>
          <w:color w:val="000000"/>
          <w:sz w:val="21"/>
          <w:szCs w:val="21"/>
        </w:rPr>
      </w:pPr>
      <w:r w:rsidRPr="0015772B">
        <w:rPr>
          <w:rFonts w:ascii="Arial" w:hAnsi="Arial" w:cs="Arial"/>
          <w:color w:val="000000"/>
          <w:sz w:val="21"/>
          <w:szCs w:val="21"/>
        </w:rPr>
        <w:t>OECD (20</w:t>
      </w:r>
      <w:r>
        <w:rPr>
          <w:rFonts w:ascii="Arial" w:hAnsi="Arial" w:cs="Arial"/>
          <w:color w:val="000000"/>
          <w:sz w:val="21"/>
          <w:szCs w:val="21"/>
        </w:rPr>
        <w:t>09</w:t>
      </w:r>
      <w:r w:rsidRPr="0015772B">
        <w:rPr>
          <w:rFonts w:ascii="Arial" w:hAnsi="Arial" w:cs="Arial"/>
          <w:color w:val="000000"/>
          <w:sz w:val="21"/>
          <w:szCs w:val="21"/>
        </w:rPr>
        <w:t>): Pensions at a Glance 20</w:t>
      </w:r>
      <w:r>
        <w:rPr>
          <w:rFonts w:ascii="Arial" w:hAnsi="Arial" w:cs="Arial"/>
          <w:color w:val="000000"/>
          <w:sz w:val="21"/>
          <w:szCs w:val="21"/>
        </w:rPr>
        <w:t>09</w:t>
      </w:r>
      <w:r w:rsidRPr="0015772B">
        <w:rPr>
          <w:rFonts w:ascii="Arial" w:hAnsi="Arial" w:cs="Arial"/>
          <w:color w:val="000000"/>
          <w:sz w:val="21"/>
          <w:szCs w:val="21"/>
        </w:rPr>
        <w:t xml:space="preserve">: </w:t>
      </w:r>
      <w:r>
        <w:rPr>
          <w:rFonts w:ascii="Arial" w:hAnsi="Arial" w:cs="Arial"/>
          <w:color w:val="000000"/>
          <w:sz w:val="21"/>
          <w:szCs w:val="21"/>
        </w:rPr>
        <w:t xml:space="preserve">Retirement-income systems in </w:t>
      </w:r>
      <w:r w:rsidRPr="0015772B">
        <w:rPr>
          <w:rFonts w:ascii="Arial" w:hAnsi="Arial" w:cs="Arial"/>
          <w:color w:val="000000"/>
          <w:sz w:val="21"/>
          <w:szCs w:val="21"/>
        </w:rPr>
        <w:t xml:space="preserve">OECD countries. OECD Publishing. </w:t>
      </w:r>
    </w:p>
    <w:p w14:paraId="38E2BA03" w14:textId="77777777" w:rsidR="001C69A6" w:rsidRPr="00EC7F22" w:rsidRDefault="001C69A6"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OECD (2013)</w:t>
      </w:r>
      <w:r w:rsidR="00CC35CC">
        <w:rPr>
          <w:rFonts w:ascii="Arial" w:hAnsi="Arial" w:cs="Arial"/>
          <w:color w:val="000000" w:themeColor="text1"/>
          <w:sz w:val="21"/>
          <w:szCs w:val="21"/>
        </w:rPr>
        <w:t>.</w:t>
      </w:r>
      <w:r w:rsidRPr="00EC7F22">
        <w:rPr>
          <w:rFonts w:ascii="Arial" w:hAnsi="Arial" w:cs="Arial"/>
          <w:color w:val="000000" w:themeColor="text1"/>
          <w:sz w:val="21"/>
          <w:szCs w:val="21"/>
        </w:rPr>
        <w:t xml:space="preserve"> Pensions at a Glance 2013: OECD and G20 Indicators, OECD Publishing. </w:t>
      </w:r>
      <w:r w:rsidR="0001252A" w:rsidRPr="00EC7F22">
        <w:rPr>
          <w:rFonts w:ascii="Arial" w:hAnsi="Arial" w:cs="Arial"/>
          <w:color w:val="000000" w:themeColor="text1"/>
          <w:sz w:val="21"/>
          <w:szCs w:val="21"/>
        </w:rPr>
        <w:t>Retrieved from: www.dx.doi.org/10.1787/pension_glance-2013-en.</w:t>
      </w:r>
    </w:p>
    <w:p w14:paraId="6D06D39D" w14:textId="77777777" w:rsidR="001C69A6" w:rsidRPr="00EC7F22" w:rsidRDefault="001C69A6" w:rsidP="00EC7F22">
      <w:pPr>
        <w:pStyle w:val="ListParagraph"/>
        <w:numPr>
          <w:ilvl w:val="0"/>
          <w:numId w:val="15"/>
        </w:numPr>
        <w:spacing w:after="120" w:line="276" w:lineRule="auto"/>
        <w:ind w:left="425" w:hanging="425"/>
        <w:contextualSpacing w:val="0"/>
        <w:jc w:val="both"/>
        <w:rPr>
          <w:rFonts w:ascii="Arial" w:hAnsi="Arial" w:cs="Arial"/>
          <w:iCs/>
          <w:color w:val="000000" w:themeColor="text1"/>
          <w:sz w:val="21"/>
          <w:szCs w:val="21"/>
        </w:rPr>
      </w:pPr>
      <w:r w:rsidRPr="00EC7F22">
        <w:rPr>
          <w:rFonts w:ascii="Arial" w:hAnsi="Arial" w:cs="Arial"/>
          <w:color w:val="000000" w:themeColor="text1"/>
          <w:sz w:val="21"/>
          <w:szCs w:val="21"/>
        </w:rPr>
        <w:t>OECD (2015)</w:t>
      </w:r>
      <w:r w:rsidR="00CC35CC">
        <w:rPr>
          <w:rFonts w:ascii="Arial" w:hAnsi="Arial" w:cs="Arial"/>
          <w:color w:val="000000" w:themeColor="text1"/>
          <w:sz w:val="21"/>
          <w:szCs w:val="21"/>
        </w:rPr>
        <w:t>.</w:t>
      </w:r>
      <w:r w:rsidRPr="00EC7F22">
        <w:rPr>
          <w:rFonts w:ascii="Arial" w:hAnsi="Arial" w:cs="Arial"/>
          <w:color w:val="000000" w:themeColor="text1"/>
          <w:sz w:val="21"/>
          <w:szCs w:val="21"/>
        </w:rPr>
        <w:t xml:space="preserve"> </w:t>
      </w:r>
      <w:r w:rsidRPr="00EC7F22">
        <w:rPr>
          <w:rFonts w:ascii="Arial" w:hAnsi="Arial" w:cs="Arial"/>
          <w:iCs/>
          <w:color w:val="000000" w:themeColor="text1"/>
          <w:sz w:val="21"/>
          <w:szCs w:val="21"/>
        </w:rPr>
        <w:t>Pensions at a Glance 2015: OECD and G20 indicators</w:t>
      </w:r>
      <w:r w:rsidRPr="00EC7F22">
        <w:rPr>
          <w:rFonts w:ascii="Arial" w:hAnsi="Arial" w:cs="Arial"/>
          <w:color w:val="000000" w:themeColor="text1"/>
          <w:sz w:val="21"/>
          <w:szCs w:val="21"/>
        </w:rPr>
        <w:t xml:space="preserve">, OECD Publishing, Paris. </w:t>
      </w:r>
      <w:r w:rsidR="0001252A" w:rsidRPr="00EC7F22">
        <w:rPr>
          <w:rFonts w:ascii="Arial" w:hAnsi="Arial" w:cs="Arial"/>
          <w:iCs/>
          <w:color w:val="000000" w:themeColor="text1"/>
          <w:sz w:val="21"/>
          <w:szCs w:val="21"/>
        </w:rPr>
        <w:t>www.dx.doi.org/10.1787/pension_glance-2015-en</w:t>
      </w:r>
      <w:r w:rsidR="0001252A" w:rsidRPr="00EC7F22">
        <w:rPr>
          <w:rFonts w:ascii="Arial" w:hAnsi="Arial" w:cs="Arial"/>
          <w:color w:val="000000" w:themeColor="text1"/>
          <w:sz w:val="21"/>
          <w:szCs w:val="21"/>
        </w:rPr>
        <w:t>.</w:t>
      </w:r>
      <w:r w:rsidRPr="00EC7F22">
        <w:rPr>
          <w:rFonts w:ascii="Arial" w:hAnsi="Arial" w:cs="Arial"/>
          <w:iCs/>
          <w:color w:val="000000" w:themeColor="text1"/>
          <w:sz w:val="21"/>
          <w:szCs w:val="21"/>
        </w:rPr>
        <w:t xml:space="preserve"> </w:t>
      </w:r>
    </w:p>
    <w:p w14:paraId="39F115A9" w14:textId="77777777" w:rsidR="00E405D4" w:rsidRDefault="00E405D4"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 xml:space="preserve">PALLARES-MIRALLES, M., ROMERO, C., WHITEHOUSE, </w:t>
      </w:r>
      <w:r w:rsidR="001C69A6" w:rsidRPr="00EC7F22">
        <w:rPr>
          <w:rFonts w:ascii="Arial" w:hAnsi="Arial" w:cs="Arial"/>
          <w:color w:val="000000" w:themeColor="text1"/>
          <w:sz w:val="21"/>
          <w:szCs w:val="21"/>
        </w:rPr>
        <w:t>E. (2012)</w:t>
      </w:r>
      <w:r w:rsidR="00CC35CC">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International </w:t>
      </w:r>
      <w:r w:rsidR="0001252A" w:rsidRPr="00EC7F22">
        <w:rPr>
          <w:rFonts w:ascii="Arial" w:hAnsi="Arial" w:cs="Arial"/>
          <w:color w:val="000000" w:themeColor="text1"/>
          <w:sz w:val="21"/>
          <w:szCs w:val="21"/>
        </w:rPr>
        <w:t xml:space="preserve">Patterns </w:t>
      </w:r>
      <w:r w:rsidR="001C69A6" w:rsidRPr="00EC7F22">
        <w:rPr>
          <w:rFonts w:ascii="Arial" w:hAnsi="Arial" w:cs="Arial"/>
          <w:color w:val="000000" w:themeColor="text1"/>
          <w:sz w:val="21"/>
          <w:szCs w:val="21"/>
        </w:rPr>
        <w:t xml:space="preserve">of </w:t>
      </w:r>
      <w:r w:rsidR="0001252A" w:rsidRPr="00EC7F22">
        <w:rPr>
          <w:rFonts w:ascii="Arial" w:hAnsi="Arial" w:cs="Arial"/>
          <w:color w:val="000000" w:themeColor="text1"/>
          <w:sz w:val="21"/>
          <w:szCs w:val="21"/>
        </w:rPr>
        <w:t xml:space="preserve">Pension Provision </w:t>
      </w:r>
      <w:r w:rsidR="001C69A6" w:rsidRPr="00EC7F22">
        <w:rPr>
          <w:rFonts w:ascii="Arial" w:hAnsi="Arial" w:cs="Arial"/>
          <w:color w:val="000000" w:themeColor="text1"/>
          <w:sz w:val="21"/>
          <w:szCs w:val="21"/>
        </w:rPr>
        <w:t xml:space="preserve">II. </w:t>
      </w:r>
      <w:r w:rsidR="001C69A6" w:rsidRPr="00EC7F22">
        <w:rPr>
          <w:rFonts w:ascii="Arial" w:hAnsi="Arial" w:cs="Arial"/>
          <w:iCs/>
          <w:color w:val="000000" w:themeColor="text1"/>
          <w:sz w:val="21"/>
          <w:szCs w:val="21"/>
        </w:rPr>
        <w:t>A Worldwide Overview of Facts and Figures, Social Protection &amp; Labor Discussion Paper</w:t>
      </w:r>
      <w:r w:rsidR="001C69A6" w:rsidRPr="00EC7F22">
        <w:rPr>
          <w:rFonts w:ascii="Arial" w:hAnsi="Arial" w:cs="Arial"/>
          <w:color w:val="000000" w:themeColor="text1"/>
          <w:sz w:val="21"/>
          <w:szCs w:val="21"/>
        </w:rPr>
        <w:t>, (1211).</w:t>
      </w:r>
    </w:p>
    <w:p w14:paraId="70D8D653"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405D4">
        <w:rPr>
          <w:rFonts w:ascii="Arial" w:hAnsi="Arial" w:cs="Arial"/>
          <w:color w:val="000000" w:themeColor="text1"/>
          <w:sz w:val="21"/>
          <w:szCs w:val="21"/>
        </w:rPr>
        <w:t xml:space="preserve">PALMER, B. (1989) “Tax Reform and Retirement Income Replacement Ratios”, The Journal of Risk and Insurance, Vol. 56, No. 4 (Dec., 1989), pp. 702-725   </w:t>
      </w:r>
    </w:p>
    <w:p w14:paraId="49A31780"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 xml:space="preserve">RAKIĆ, N., CHIAPPE, </w:t>
      </w:r>
      <w:r w:rsidR="001C69A6" w:rsidRPr="00EC7F22">
        <w:rPr>
          <w:rFonts w:ascii="Arial" w:hAnsi="Arial" w:cs="Arial"/>
          <w:color w:val="000000" w:themeColor="text1"/>
          <w:sz w:val="21"/>
          <w:szCs w:val="21"/>
        </w:rPr>
        <w:t>R. (2008)</w:t>
      </w:r>
      <w:r w:rsidR="00CC35CC">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Razlike između muškaraca i žena u penzijskom sistemu Srbije</w:t>
      </w:r>
      <w:r w:rsidR="0001252A" w:rsidRPr="00EC7F22">
        <w:rPr>
          <w:rFonts w:ascii="Arial" w:hAnsi="Arial" w:cs="Arial"/>
          <w:color w:val="000000" w:themeColor="text1"/>
          <w:sz w:val="21"/>
          <w:szCs w:val="21"/>
        </w:rPr>
        <w:t>, in Penzijski si</w:t>
      </w:r>
      <w:r w:rsidR="001C69A6" w:rsidRPr="00EC7F22">
        <w:rPr>
          <w:rFonts w:ascii="Arial" w:hAnsi="Arial" w:cs="Arial"/>
          <w:color w:val="000000" w:themeColor="text1"/>
          <w:sz w:val="21"/>
          <w:szCs w:val="21"/>
        </w:rPr>
        <w:t>stem u Srbiji, BearingPoint, Be</w:t>
      </w:r>
      <w:r w:rsidR="0019351A" w:rsidRPr="00EC7F22">
        <w:rPr>
          <w:rFonts w:ascii="Arial" w:hAnsi="Arial" w:cs="Arial"/>
          <w:color w:val="000000" w:themeColor="text1"/>
          <w:sz w:val="21"/>
          <w:szCs w:val="21"/>
        </w:rPr>
        <w:t>l</w:t>
      </w:r>
      <w:r w:rsidR="001C69A6" w:rsidRPr="00EC7F22">
        <w:rPr>
          <w:rFonts w:ascii="Arial" w:hAnsi="Arial" w:cs="Arial"/>
          <w:color w:val="000000" w:themeColor="text1"/>
          <w:sz w:val="21"/>
          <w:szCs w:val="21"/>
        </w:rPr>
        <w:t>grade</w:t>
      </w:r>
      <w:r w:rsidR="0001252A" w:rsidRPr="00EC7F22">
        <w:rPr>
          <w:rFonts w:ascii="Arial" w:hAnsi="Arial" w:cs="Arial"/>
          <w:color w:val="000000" w:themeColor="text1"/>
          <w:sz w:val="21"/>
          <w:szCs w:val="21"/>
        </w:rPr>
        <w:t>.</w:t>
      </w:r>
    </w:p>
    <w:p w14:paraId="10C97254"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LODOVICI, S., DRUFUCA, S., PATRIZIO, M., PESCE</w:t>
      </w:r>
      <w:r w:rsidR="001C69A6" w:rsidRPr="00EC7F22">
        <w:rPr>
          <w:rFonts w:ascii="Arial" w:hAnsi="Arial" w:cs="Arial"/>
          <w:color w:val="000000" w:themeColor="text1"/>
          <w:sz w:val="21"/>
          <w:szCs w:val="21"/>
        </w:rPr>
        <w:t>, F. (2016)</w:t>
      </w:r>
      <w:r w:rsidR="00CC35CC">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The </w:t>
      </w:r>
      <w:r w:rsidR="0001252A" w:rsidRPr="00EC7F22">
        <w:rPr>
          <w:rFonts w:ascii="Arial" w:hAnsi="Arial" w:cs="Arial"/>
          <w:color w:val="000000" w:themeColor="text1"/>
          <w:sz w:val="21"/>
          <w:szCs w:val="21"/>
        </w:rPr>
        <w:t>Gender Pension Gap</w:t>
      </w:r>
      <w:r w:rsidR="001C69A6" w:rsidRPr="00EC7F22">
        <w:rPr>
          <w:rFonts w:ascii="Arial" w:hAnsi="Arial" w:cs="Arial"/>
          <w:color w:val="000000" w:themeColor="text1"/>
          <w:sz w:val="21"/>
          <w:szCs w:val="21"/>
        </w:rPr>
        <w:t xml:space="preserve">: </w:t>
      </w:r>
      <w:r w:rsidR="0001252A" w:rsidRPr="00EC7F22">
        <w:rPr>
          <w:rFonts w:ascii="Arial" w:hAnsi="Arial" w:cs="Arial"/>
          <w:color w:val="000000" w:themeColor="text1"/>
          <w:sz w:val="21"/>
          <w:szCs w:val="21"/>
        </w:rPr>
        <w:t xml:space="preserve">Differences </w:t>
      </w:r>
      <w:r w:rsidR="001C69A6" w:rsidRPr="00EC7F22">
        <w:rPr>
          <w:rFonts w:ascii="Arial" w:hAnsi="Arial" w:cs="Arial"/>
          <w:color w:val="000000" w:themeColor="text1"/>
          <w:sz w:val="21"/>
          <w:szCs w:val="21"/>
        </w:rPr>
        <w:t xml:space="preserve">between </w:t>
      </w:r>
      <w:r w:rsidR="0001252A" w:rsidRPr="00EC7F22">
        <w:rPr>
          <w:rFonts w:ascii="Arial" w:hAnsi="Arial" w:cs="Arial"/>
          <w:color w:val="000000" w:themeColor="text1"/>
          <w:sz w:val="21"/>
          <w:szCs w:val="21"/>
        </w:rPr>
        <w:t xml:space="preserve">Mothers </w:t>
      </w:r>
      <w:r w:rsidR="001C69A6" w:rsidRPr="00EC7F22">
        <w:rPr>
          <w:rFonts w:ascii="Arial" w:hAnsi="Arial" w:cs="Arial"/>
          <w:color w:val="000000" w:themeColor="text1"/>
          <w:sz w:val="21"/>
          <w:szCs w:val="21"/>
        </w:rPr>
        <w:t xml:space="preserve">and </w:t>
      </w:r>
      <w:r w:rsidR="0001252A" w:rsidRPr="00EC7F22">
        <w:rPr>
          <w:rFonts w:ascii="Arial" w:hAnsi="Arial" w:cs="Arial"/>
          <w:color w:val="000000" w:themeColor="text1"/>
          <w:sz w:val="21"/>
          <w:szCs w:val="21"/>
        </w:rPr>
        <w:t xml:space="preserve">Women </w:t>
      </w:r>
      <w:r w:rsidR="00DE0B39" w:rsidRPr="00EC7F22">
        <w:rPr>
          <w:rFonts w:ascii="Arial" w:hAnsi="Arial" w:cs="Arial"/>
          <w:color w:val="000000" w:themeColor="text1"/>
          <w:sz w:val="21"/>
          <w:szCs w:val="21"/>
        </w:rPr>
        <w:t>without</w:t>
      </w:r>
      <w:r w:rsidR="0001252A" w:rsidRPr="00EC7F22">
        <w:rPr>
          <w:rFonts w:ascii="Arial" w:hAnsi="Arial" w:cs="Arial"/>
          <w:color w:val="000000" w:themeColor="text1"/>
          <w:sz w:val="21"/>
          <w:szCs w:val="21"/>
        </w:rPr>
        <w:t xml:space="preserve"> Children</w:t>
      </w:r>
      <w:r w:rsidR="001C69A6" w:rsidRPr="00EC7F22">
        <w:rPr>
          <w:rFonts w:ascii="Arial" w:hAnsi="Arial" w:cs="Arial"/>
          <w:color w:val="000000" w:themeColor="text1"/>
          <w:sz w:val="21"/>
          <w:szCs w:val="21"/>
        </w:rPr>
        <w:t>. European Union, Brussels</w:t>
      </w:r>
      <w:r w:rsidR="0001252A" w:rsidRPr="00EC7F22">
        <w:rPr>
          <w:rFonts w:ascii="Arial" w:hAnsi="Arial" w:cs="Arial"/>
          <w:color w:val="000000" w:themeColor="text1"/>
          <w:sz w:val="21"/>
          <w:szCs w:val="21"/>
        </w:rPr>
        <w:t>.</w:t>
      </w:r>
    </w:p>
    <w:p w14:paraId="1B33B86A" w14:textId="77777777" w:rsidR="00DF2C94" w:rsidRDefault="001C69A6"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SPC and EPC (2001)</w:t>
      </w:r>
      <w:r w:rsidR="00CC35CC">
        <w:rPr>
          <w:rFonts w:ascii="Arial" w:hAnsi="Arial" w:cs="Arial"/>
          <w:color w:val="000000" w:themeColor="text1"/>
          <w:sz w:val="21"/>
          <w:szCs w:val="21"/>
        </w:rPr>
        <w:t>.</w:t>
      </w:r>
      <w:r w:rsidR="0001252A" w:rsidRPr="00EC7F22">
        <w:rPr>
          <w:rFonts w:ascii="Arial" w:hAnsi="Arial" w:cs="Arial"/>
          <w:color w:val="000000" w:themeColor="text1"/>
          <w:sz w:val="21"/>
          <w:szCs w:val="21"/>
        </w:rPr>
        <w:t xml:space="preserve"> </w:t>
      </w:r>
      <w:r w:rsidRPr="00EC7F22">
        <w:rPr>
          <w:rFonts w:ascii="Arial" w:hAnsi="Arial" w:cs="Arial"/>
          <w:color w:val="000000" w:themeColor="text1"/>
          <w:sz w:val="21"/>
          <w:szCs w:val="21"/>
        </w:rPr>
        <w:t>Quality and Viability of Pensions. Joint Report on Objectives and Working Methods in the Area of Pensions, November 23.</w:t>
      </w:r>
    </w:p>
    <w:p w14:paraId="2A368151" w14:textId="77777777" w:rsidR="001C69A6" w:rsidRPr="00DF2C94" w:rsidRDefault="00DF2C94" w:rsidP="00DF2C94">
      <w:pPr>
        <w:numPr>
          <w:ilvl w:val="0"/>
          <w:numId w:val="15"/>
        </w:numPr>
        <w:spacing w:after="120" w:line="276" w:lineRule="auto"/>
        <w:ind w:left="425" w:hanging="425"/>
        <w:jc w:val="both"/>
        <w:rPr>
          <w:rFonts w:ascii="Arial" w:hAnsi="Arial" w:cs="Arial"/>
          <w:color w:val="000000"/>
          <w:sz w:val="21"/>
          <w:szCs w:val="21"/>
        </w:rPr>
      </w:pPr>
      <w:r w:rsidRPr="00FA6B6A">
        <w:rPr>
          <w:rFonts w:ascii="Arial" w:hAnsi="Arial" w:cs="Arial"/>
          <w:color w:val="000000"/>
          <w:sz w:val="21"/>
          <w:szCs w:val="21"/>
        </w:rPr>
        <w:t xml:space="preserve">SPC and EPC (2005). </w:t>
      </w:r>
      <w:r w:rsidRPr="00DF2C94">
        <w:rPr>
          <w:rFonts w:ascii="Arial" w:hAnsi="Arial" w:cs="Arial"/>
          <w:i/>
          <w:color w:val="000000"/>
          <w:sz w:val="21"/>
          <w:szCs w:val="21"/>
        </w:rPr>
        <w:t>Preparation of the 2005 National Strategy Reports on Adequate and Sustainable Pensions. Guidance Note</w:t>
      </w:r>
      <w:r>
        <w:rPr>
          <w:rFonts w:ascii="Arial" w:hAnsi="Arial" w:cs="Arial"/>
          <w:color w:val="000000"/>
          <w:sz w:val="21"/>
          <w:szCs w:val="21"/>
        </w:rPr>
        <w:t xml:space="preserve">. Brussels. </w:t>
      </w:r>
    </w:p>
    <w:p w14:paraId="080BCCDB" w14:textId="77777777" w:rsidR="001C69A6" w:rsidRPr="00EC7F22" w:rsidRDefault="00CC35CC"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Pr>
          <w:rFonts w:ascii="Arial" w:hAnsi="Arial" w:cs="Arial"/>
          <w:color w:val="000000" w:themeColor="text1"/>
          <w:sz w:val="21"/>
          <w:szCs w:val="21"/>
        </w:rPr>
        <w:t>SPC-ISG (2012).</w:t>
      </w:r>
      <w:r w:rsidR="0001252A" w:rsidRPr="00EC7F22">
        <w:rPr>
          <w:rFonts w:ascii="Arial" w:hAnsi="Arial" w:cs="Arial"/>
          <w:color w:val="000000" w:themeColor="text1"/>
          <w:sz w:val="21"/>
          <w:szCs w:val="21"/>
        </w:rPr>
        <w:t xml:space="preserve"> </w:t>
      </w:r>
      <w:r w:rsidR="001C69A6" w:rsidRPr="00EC7F22">
        <w:rPr>
          <w:rFonts w:ascii="Arial" w:hAnsi="Arial" w:cs="Arial"/>
          <w:color w:val="000000" w:themeColor="text1"/>
          <w:sz w:val="21"/>
          <w:szCs w:val="21"/>
        </w:rPr>
        <w:t>Social Protection Performance Monitor (SPPM) – Methodological Report</w:t>
      </w:r>
      <w:r w:rsidR="0001252A" w:rsidRPr="00EC7F22">
        <w:rPr>
          <w:rFonts w:ascii="Arial" w:hAnsi="Arial" w:cs="Arial"/>
          <w:color w:val="000000" w:themeColor="text1"/>
          <w:sz w:val="21"/>
          <w:szCs w:val="21"/>
        </w:rPr>
        <w:t xml:space="preserve">. </w:t>
      </w:r>
      <w:r w:rsidR="00430B4B" w:rsidRPr="00EC7F22">
        <w:rPr>
          <w:rFonts w:ascii="Arial" w:hAnsi="Arial" w:cs="Arial"/>
          <w:color w:val="000000" w:themeColor="text1"/>
          <w:sz w:val="21"/>
          <w:szCs w:val="21"/>
        </w:rPr>
        <w:t>October</w:t>
      </w:r>
      <w:r w:rsidR="0001252A" w:rsidRPr="00EC7F22">
        <w:rPr>
          <w:rFonts w:ascii="Arial" w:hAnsi="Arial" w:cs="Arial"/>
          <w:color w:val="000000" w:themeColor="text1"/>
          <w:sz w:val="21"/>
          <w:szCs w:val="21"/>
        </w:rPr>
        <w:t xml:space="preserve"> 17</w:t>
      </w:r>
      <w:r w:rsidR="0001252A" w:rsidRPr="00EC7F22">
        <w:rPr>
          <w:rFonts w:ascii="Arial" w:hAnsi="Arial" w:cs="Arial"/>
          <w:color w:val="000000" w:themeColor="text1"/>
          <w:sz w:val="21"/>
          <w:szCs w:val="21"/>
          <w:vertAlign w:val="superscript"/>
        </w:rPr>
        <w:t>th</w:t>
      </w:r>
      <w:r w:rsidR="0001252A" w:rsidRPr="00EC7F22">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w:t>
      </w:r>
    </w:p>
    <w:p w14:paraId="47BEAB86" w14:textId="77777777" w:rsidR="001C69A6" w:rsidRPr="00EC7F22" w:rsidRDefault="001C69A6"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SPC (2011)</w:t>
      </w:r>
      <w:r w:rsidR="00CC35CC">
        <w:rPr>
          <w:rFonts w:ascii="Arial" w:hAnsi="Arial" w:cs="Arial"/>
          <w:color w:val="000000" w:themeColor="text1"/>
          <w:sz w:val="21"/>
          <w:szCs w:val="21"/>
        </w:rPr>
        <w:t>.</w:t>
      </w:r>
      <w:r w:rsidR="00974E19" w:rsidRPr="00EC7F22">
        <w:rPr>
          <w:rFonts w:ascii="Arial" w:hAnsi="Arial" w:cs="Arial"/>
          <w:color w:val="000000" w:themeColor="text1"/>
          <w:sz w:val="21"/>
          <w:szCs w:val="21"/>
        </w:rPr>
        <w:t xml:space="preserve"> </w:t>
      </w:r>
      <w:r w:rsidRPr="00CC35CC">
        <w:rPr>
          <w:rFonts w:ascii="Arial" w:hAnsi="Arial" w:cs="Arial"/>
          <w:i/>
          <w:color w:val="000000" w:themeColor="text1"/>
          <w:sz w:val="21"/>
          <w:szCs w:val="21"/>
        </w:rPr>
        <w:t>Draft Background Paper to the SPC from the Ad</w:t>
      </w:r>
      <w:r w:rsidR="00974E19" w:rsidRPr="00CC35CC">
        <w:rPr>
          <w:rFonts w:ascii="Arial" w:hAnsi="Arial" w:cs="Arial"/>
          <w:i/>
          <w:color w:val="000000" w:themeColor="text1"/>
          <w:sz w:val="21"/>
          <w:szCs w:val="21"/>
        </w:rPr>
        <w:t xml:space="preserve"> </w:t>
      </w:r>
      <w:r w:rsidRPr="00CC35CC">
        <w:rPr>
          <w:rFonts w:ascii="Arial" w:hAnsi="Arial" w:cs="Arial"/>
          <w:i/>
          <w:color w:val="000000" w:themeColor="text1"/>
          <w:sz w:val="21"/>
          <w:szCs w:val="21"/>
        </w:rPr>
        <w:t>hoc Group on Reinvigorating the Social OMC in the Context of the Europe 2020 Strategy</w:t>
      </w:r>
      <w:r w:rsidRPr="00EC7F22">
        <w:rPr>
          <w:rFonts w:ascii="Arial" w:hAnsi="Arial" w:cs="Arial"/>
          <w:color w:val="000000" w:themeColor="text1"/>
          <w:sz w:val="21"/>
          <w:szCs w:val="21"/>
        </w:rPr>
        <w:t xml:space="preserve">. SPC/2011 09/1. </w:t>
      </w:r>
    </w:p>
    <w:p w14:paraId="78C715D5" w14:textId="77777777" w:rsidR="001C69A6" w:rsidRPr="00CC35CC" w:rsidRDefault="001C69A6" w:rsidP="00EC7F22">
      <w:pPr>
        <w:pStyle w:val="ListParagraph"/>
        <w:numPr>
          <w:ilvl w:val="0"/>
          <w:numId w:val="15"/>
        </w:numPr>
        <w:spacing w:after="120" w:line="276" w:lineRule="auto"/>
        <w:ind w:left="425" w:hanging="425"/>
        <w:contextualSpacing w:val="0"/>
        <w:jc w:val="both"/>
        <w:rPr>
          <w:rFonts w:ascii="Arial" w:hAnsi="Arial" w:cs="Arial"/>
          <w:iCs/>
          <w:color w:val="000000" w:themeColor="text1"/>
          <w:sz w:val="21"/>
          <w:szCs w:val="21"/>
        </w:rPr>
      </w:pPr>
      <w:r w:rsidRPr="00EC7F22">
        <w:rPr>
          <w:rFonts w:ascii="Arial" w:hAnsi="Arial" w:cs="Arial"/>
          <w:color w:val="000000" w:themeColor="text1"/>
          <w:sz w:val="21"/>
          <w:szCs w:val="21"/>
        </w:rPr>
        <w:lastRenderedPageBreak/>
        <w:t>SPC-ISG (2015)</w:t>
      </w:r>
      <w:r w:rsidR="00CC35CC">
        <w:rPr>
          <w:rFonts w:ascii="Arial" w:hAnsi="Arial" w:cs="Arial"/>
          <w:color w:val="000000" w:themeColor="text1"/>
          <w:sz w:val="21"/>
          <w:szCs w:val="21"/>
        </w:rPr>
        <w:t>.</w:t>
      </w:r>
      <w:r w:rsidR="00974E19" w:rsidRPr="00EC7F22">
        <w:rPr>
          <w:rFonts w:ascii="Arial" w:hAnsi="Arial" w:cs="Arial"/>
          <w:color w:val="000000" w:themeColor="text1"/>
          <w:sz w:val="21"/>
          <w:szCs w:val="21"/>
        </w:rPr>
        <w:t xml:space="preserve"> </w:t>
      </w:r>
      <w:r w:rsidRPr="00CC35CC">
        <w:rPr>
          <w:rFonts w:ascii="Arial" w:hAnsi="Arial" w:cs="Arial"/>
          <w:i/>
          <w:color w:val="000000" w:themeColor="text1"/>
          <w:sz w:val="21"/>
          <w:szCs w:val="21"/>
        </w:rPr>
        <w:t>Portfolio of EU Social Indicators for the Monitoring of Progress Towards the EU Objectives for Social Protection and Social Inclusion</w:t>
      </w:r>
      <w:r w:rsidR="00CC35CC">
        <w:rPr>
          <w:rFonts w:ascii="Arial" w:hAnsi="Arial" w:cs="Arial"/>
          <w:color w:val="000000" w:themeColor="text1"/>
          <w:sz w:val="21"/>
          <w:szCs w:val="21"/>
        </w:rPr>
        <w:t>.</w:t>
      </w:r>
      <w:r w:rsidRPr="00EC7F22">
        <w:rPr>
          <w:rFonts w:ascii="Arial" w:hAnsi="Arial" w:cs="Arial"/>
          <w:color w:val="000000" w:themeColor="text1"/>
          <w:sz w:val="21"/>
          <w:szCs w:val="21"/>
        </w:rPr>
        <w:t xml:space="preserve"> </w:t>
      </w:r>
      <w:r w:rsidRPr="00CC35CC">
        <w:rPr>
          <w:rFonts w:ascii="Arial" w:hAnsi="Arial" w:cs="Arial"/>
          <w:iCs/>
          <w:color w:val="000000" w:themeColor="text1"/>
          <w:sz w:val="21"/>
          <w:szCs w:val="21"/>
        </w:rPr>
        <w:t>Report by the Indicators Sub-Group (ISG) of the Social Protection Committee.</w:t>
      </w:r>
    </w:p>
    <w:p w14:paraId="089D8AA3"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iCs/>
          <w:color w:val="000000" w:themeColor="text1"/>
          <w:sz w:val="21"/>
          <w:szCs w:val="21"/>
        </w:rPr>
      </w:pPr>
      <w:r>
        <w:rPr>
          <w:rFonts w:ascii="Arial" w:hAnsi="Arial" w:cs="Arial"/>
          <w:iCs/>
          <w:color w:val="000000" w:themeColor="text1"/>
          <w:sz w:val="21"/>
          <w:szCs w:val="21"/>
        </w:rPr>
        <w:t>STANIĆ, K</w:t>
      </w:r>
      <w:r w:rsidR="00101B57">
        <w:rPr>
          <w:rFonts w:ascii="Arial" w:hAnsi="Arial" w:cs="Arial"/>
          <w:iCs/>
          <w:color w:val="000000" w:themeColor="text1"/>
          <w:sz w:val="21"/>
          <w:szCs w:val="21"/>
        </w:rPr>
        <w:t xml:space="preserve">. (2008). </w:t>
      </w:r>
      <w:r w:rsidR="001C69A6" w:rsidRPr="00EC7F22">
        <w:rPr>
          <w:rFonts w:ascii="Arial" w:hAnsi="Arial" w:cs="Arial"/>
          <w:iCs/>
          <w:color w:val="000000" w:themeColor="text1"/>
          <w:sz w:val="21"/>
          <w:szCs w:val="21"/>
        </w:rPr>
        <w:t>Uloga penzijskog sistema u održanju nivoa prihoda u starosti – merenje i međunarodna poređenja”, Kvartalni monitor ekonomskih trendova i politika u Srbiji, br.13, 75-89</w:t>
      </w:r>
      <w:r w:rsidR="00974E19" w:rsidRPr="00EC7F22">
        <w:rPr>
          <w:rFonts w:ascii="Arial" w:hAnsi="Arial" w:cs="Arial"/>
          <w:iCs/>
          <w:color w:val="000000" w:themeColor="text1"/>
          <w:sz w:val="21"/>
          <w:szCs w:val="21"/>
        </w:rPr>
        <w:t>.</w:t>
      </w:r>
    </w:p>
    <w:p w14:paraId="1EDC453E" w14:textId="77777777" w:rsidR="001C69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color w:val="000000" w:themeColor="text1"/>
          <w:sz w:val="21"/>
          <w:szCs w:val="21"/>
        </w:rPr>
      </w:pPr>
      <w:r w:rsidRPr="00EC7F22">
        <w:rPr>
          <w:rFonts w:ascii="Arial" w:hAnsi="Arial" w:cs="Arial"/>
          <w:color w:val="000000" w:themeColor="text1"/>
          <w:sz w:val="21"/>
          <w:szCs w:val="21"/>
        </w:rPr>
        <w:t xml:space="preserve">STANIĆ, K. </w:t>
      </w:r>
      <w:r w:rsidR="00101B57" w:rsidRPr="00EC7F22">
        <w:rPr>
          <w:rFonts w:ascii="Arial" w:hAnsi="Arial" w:cs="Arial"/>
          <w:color w:val="000000" w:themeColor="text1"/>
          <w:sz w:val="21"/>
          <w:szCs w:val="21"/>
        </w:rPr>
        <w:t>(2010)</w:t>
      </w:r>
      <w:r w:rsidR="00101B57">
        <w:rPr>
          <w:rFonts w:ascii="Arial" w:hAnsi="Arial" w:cs="Arial"/>
          <w:color w:val="000000" w:themeColor="text1"/>
          <w:sz w:val="21"/>
          <w:szCs w:val="21"/>
        </w:rPr>
        <w:t>.</w:t>
      </w:r>
      <w:r w:rsidR="00101B57" w:rsidRPr="00101B57">
        <w:rPr>
          <w:rFonts w:ascii="Arial" w:hAnsi="Arial" w:cs="Arial"/>
          <w:i/>
          <w:color w:val="000000" w:themeColor="text1"/>
          <w:sz w:val="21"/>
          <w:szCs w:val="21"/>
        </w:rPr>
        <w:t xml:space="preserve"> Penzijski sistem u Srbiji – dizajn, karakteristike i preporuke</w:t>
      </w:r>
      <w:r w:rsidR="001C69A6" w:rsidRPr="00101B57">
        <w:rPr>
          <w:rFonts w:ascii="Arial" w:hAnsi="Arial" w:cs="Arial"/>
          <w:i/>
          <w:color w:val="000000" w:themeColor="text1"/>
          <w:sz w:val="21"/>
          <w:szCs w:val="21"/>
        </w:rPr>
        <w:t xml:space="preserve">, </w:t>
      </w:r>
      <w:r w:rsidR="001C69A6" w:rsidRPr="00EC7F22">
        <w:rPr>
          <w:rFonts w:ascii="Arial" w:hAnsi="Arial" w:cs="Arial"/>
          <w:color w:val="000000" w:themeColor="text1"/>
          <w:sz w:val="21"/>
          <w:szCs w:val="21"/>
        </w:rPr>
        <w:t>CLDS i USAID, Beograd</w:t>
      </w:r>
      <w:r w:rsidR="001370F7" w:rsidRPr="00EC7F22">
        <w:rPr>
          <w:rFonts w:ascii="Arial" w:hAnsi="Arial" w:cs="Arial"/>
          <w:color w:val="000000" w:themeColor="text1"/>
          <w:sz w:val="21"/>
          <w:szCs w:val="21"/>
        </w:rPr>
        <w:t>.</w:t>
      </w:r>
    </w:p>
    <w:p w14:paraId="03590D94" w14:textId="77777777" w:rsidR="00950AA6" w:rsidRPr="00EC7F22" w:rsidRDefault="00E405D4" w:rsidP="00EC7F22">
      <w:pPr>
        <w:pStyle w:val="ListParagraph"/>
        <w:numPr>
          <w:ilvl w:val="0"/>
          <w:numId w:val="15"/>
        </w:numPr>
        <w:spacing w:after="120" w:line="276" w:lineRule="auto"/>
        <w:ind w:left="425" w:hanging="425"/>
        <w:contextualSpacing w:val="0"/>
        <w:jc w:val="both"/>
        <w:rPr>
          <w:rFonts w:ascii="Arial" w:hAnsi="Arial" w:cs="Arial"/>
          <w:b/>
          <w:color w:val="000000" w:themeColor="text1"/>
          <w:sz w:val="21"/>
          <w:szCs w:val="21"/>
        </w:rPr>
      </w:pPr>
      <w:r w:rsidRPr="00EC7F22">
        <w:rPr>
          <w:rFonts w:ascii="Arial" w:hAnsi="Arial" w:cs="Arial"/>
          <w:color w:val="000000" w:themeColor="text1"/>
          <w:sz w:val="21"/>
          <w:szCs w:val="21"/>
        </w:rPr>
        <w:t>STANIĆ, K</w:t>
      </w:r>
      <w:r w:rsidR="001C69A6" w:rsidRPr="00EC7F22">
        <w:rPr>
          <w:rFonts w:ascii="Arial" w:hAnsi="Arial" w:cs="Arial"/>
          <w:color w:val="000000" w:themeColor="text1"/>
          <w:sz w:val="21"/>
          <w:szCs w:val="21"/>
        </w:rPr>
        <w:t>. (2012)</w:t>
      </w:r>
      <w:r w:rsidR="00101B57">
        <w:rPr>
          <w:rFonts w:ascii="Arial" w:hAnsi="Arial" w:cs="Arial"/>
          <w:color w:val="000000" w:themeColor="text1"/>
          <w:sz w:val="21"/>
          <w:szCs w:val="21"/>
        </w:rPr>
        <w:t>.</w:t>
      </w:r>
      <w:r w:rsidR="001C69A6" w:rsidRPr="00EC7F22">
        <w:rPr>
          <w:rFonts w:ascii="Arial" w:hAnsi="Arial" w:cs="Arial"/>
          <w:color w:val="000000" w:themeColor="text1"/>
          <w:sz w:val="21"/>
          <w:szCs w:val="21"/>
        </w:rPr>
        <w:t xml:space="preserve"> </w:t>
      </w:r>
      <w:r w:rsidR="001C69A6" w:rsidRPr="00101B57">
        <w:rPr>
          <w:rFonts w:ascii="Arial" w:hAnsi="Arial" w:cs="Arial"/>
          <w:i/>
          <w:iCs/>
          <w:color w:val="000000" w:themeColor="text1"/>
          <w:sz w:val="21"/>
          <w:szCs w:val="21"/>
        </w:rPr>
        <w:t>Pension system design and its effect on saving.</w:t>
      </w:r>
      <w:r w:rsidR="001C69A6" w:rsidRPr="00101B57">
        <w:rPr>
          <w:rFonts w:ascii="Arial" w:hAnsi="Arial" w:cs="Arial"/>
          <w:i/>
          <w:color w:val="000000" w:themeColor="text1"/>
          <w:sz w:val="21"/>
          <w:szCs w:val="21"/>
        </w:rPr>
        <w:t xml:space="preserve"> </w:t>
      </w:r>
      <w:r w:rsidR="001C69A6" w:rsidRPr="00EC7F22">
        <w:rPr>
          <w:rFonts w:ascii="Arial" w:hAnsi="Arial" w:cs="Arial"/>
          <w:color w:val="000000" w:themeColor="text1"/>
          <w:sz w:val="21"/>
          <w:szCs w:val="21"/>
        </w:rPr>
        <w:t>PhD thesis, University of Nottingham</w:t>
      </w:r>
      <w:r w:rsidR="00814F8E" w:rsidRPr="00EC7F22">
        <w:rPr>
          <w:rFonts w:ascii="Arial" w:hAnsi="Arial" w:cs="Arial"/>
          <w:color w:val="000000" w:themeColor="text1"/>
          <w:sz w:val="21"/>
          <w:szCs w:val="21"/>
        </w:rPr>
        <w:t>.</w:t>
      </w:r>
    </w:p>
    <w:sectPr w:rsidR="00950AA6" w:rsidRPr="00EC7F22" w:rsidSect="00D12E11">
      <w:pgSz w:w="11900" w:h="16840"/>
      <w:pgMar w:top="1411" w:right="1411" w:bottom="1699" w:left="1411" w:header="706" w:footer="706"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206DE" w14:textId="77777777" w:rsidR="00D8244E" w:rsidRDefault="00D8244E">
      <w:r>
        <w:separator/>
      </w:r>
    </w:p>
  </w:endnote>
  <w:endnote w:type="continuationSeparator" w:id="0">
    <w:p w14:paraId="5F6C135B" w14:textId="77777777" w:rsidR="00D8244E" w:rsidRDefault="00D8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OpenSans">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cademy Engraved LET">
    <w:altName w:val="Times New Roman"/>
    <w:charset w:val="00"/>
    <w:family w:val="auto"/>
    <w:pitch w:val="variable"/>
    <w:sig w:usb0="00000003" w:usb1="4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96972"/>
      <w:docPartObj>
        <w:docPartGallery w:val="Page Numbers (Bottom of Page)"/>
        <w:docPartUnique/>
      </w:docPartObj>
    </w:sdtPr>
    <w:sdtEndPr>
      <w:rPr>
        <w:rFonts w:ascii="Arial" w:hAnsi="Arial" w:cs="Arial"/>
        <w:noProof/>
        <w:sz w:val="22"/>
        <w:szCs w:val="22"/>
      </w:rPr>
    </w:sdtEndPr>
    <w:sdtContent>
      <w:p w14:paraId="358045E6" w14:textId="106A74DB" w:rsidR="009E721B" w:rsidRPr="009E721B" w:rsidRDefault="009E721B">
        <w:pPr>
          <w:pStyle w:val="Footer"/>
          <w:jc w:val="center"/>
          <w:rPr>
            <w:rFonts w:ascii="Arial" w:hAnsi="Arial" w:cs="Arial"/>
            <w:sz w:val="22"/>
            <w:szCs w:val="22"/>
          </w:rPr>
        </w:pPr>
        <w:r w:rsidRPr="009E721B">
          <w:rPr>
            <w:rFonts w:ascii="Arial" w:hAnsi="Arial" w:cs="Arial"/>
            <w:sz w:val="22"/>
            <w:szCs w:val="22"/>
          </w:rPr>
          <w:fldChar w:fldCharType="begin"/>
        </w:r>
        <w:r w:rsidRPr="009E721B">
          <w:rPr>
            <w:rFonts w:ascii="Arial" w:hAnsi="Arial" w:cs="Arial"/>
            <w:sz w:val="22"/>
            <w:szCs w:val="22"/>
          </w:rPr>
          <w:instrText xml:space="preserve"> PAGE   \* MERGEFORMAT </w:instrText>
        </w:r>
        <w:r w:rsidRPr="009E721B">
          <w:rPr>
            <w:rFonts w:ascii="Arial" w:hAnsi="Arial" w:cs="Arial"/>
            <w:sz w:val="22"/>
            <w:szCs w:val="22"/>
          </w:rPr>
          <w:fldChar w:fldCharType="separate"/>
        </w:r>
        <w:r w:rsidR="00DA33FF">
          <w:rPr>
            <w:rFonts w:ascii="Arial" w:hAnsi="Arial" w:cs="Arial"/>
            <w:noProof/>
            <w:sz w:val="22"/>
            <w:szCs w:val="22"/>
          </w:rPr>
          <w:t>1</w:t>
        </w:r>
        <w:r w:rsidRPr="009E721B">
          <w:rPr>
            <w:rFonts w:ascii="Arial" w:hAnsi="Arial" w:cs="Arial"/>
            <w:noProof/>
            <w:sz w:val="22"/>
            <w:szCs w:val="22"/>
          </w:rPr>
          <w:fldChar w:fldCharType="end"/>
        </w:r>
      </w:p>
    </w:sdtContent>
  </w:sdt>
  <w:p w14:paraId="5623C66E" w14:textId="77777777" w:rsidR="009E721B" w:rsidRDefault="009E7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8918" w14:textId="46251B85" w:rsidR="00D84F49" w:rsidRPr="008F4E47" w:rsidRDefault="00D84F49" w:rsidP="00BB5B98">
    <w:pPr>
      <w:pStyle w:val="Footer"/>
      <w:framePr w:wrap="around" w:vAnchor="text" w:hAnchor="margin" w:xAlign="center" w:y="1"/>
      <w:rPr>
        <w:rStyle w:val="PageNumber"/>
        <w:sz w:val="20"/>
        <w:szCs w:val="20"/>
      </w:rPr>
    </w:pPr>
    <w:r w:rsidRPr="008F4E47">
      <w:rPr>
        <w:rStyle w:val="PageNumber"/>
        <w:rFonts w:ascii="Arial" w:hAnsi="Arial" w:cs="Arial"/>
        <w:sz w:val="20"/>
        <w:szCs w:val="20"/>
      </w:rPr>
      <w:fldChar w:fldCharType="begin"/>
    </w:r>
    <w:r w:rsidRPr="008F4E47">
      <w:rPr>
        <w:rStyle w:val="PageNumber"/>
        <w:rFonts w:ascii="Arial" w:hAnsi="Arial" w:cs="Arial"/>
        <w:sz w:val="20"/>
        <w:szCs w:val="20"/>
      </w:rPr>
      <w:instrText xml:space="preserve">PAGE  </w:instrText>
    </w:r>
    <w:r w:rsidRPr="008F4E47">
      <w:rPr>
        <w:rStyle w:val="PageNumber"/>
        <w:rFonts w:ascii="Arial" w:hAnsi="Arial" w:cs="Arial"/>
        <w:sz w:val="20"/>
        <w:szCs w:val="20"/>
      </w:rPr>
      <w:fldChar w:fldCharType="separate"/>
    </w:r>
    <w:r w:rsidR="00DA33FF">
      <w:rPr>
        <w:rStyle w:val="PageNumber"/>
        <w:rFonts w:ascii="Arial" w:hAnsi="Arial" w:cs="Arial"/>
        <w:noProof/>
        <w:sz w:val="20"/>
        <w:szCs w:val="20"/>
      </w:rPr>
      <w:t>19</w:t>
    </w:r>
    <w:r w:rsidRPr="008F4E47">
      <w:rPr>
        <w:rStyle w:val="PageNumber"/>
        <w:rFonts w:ascii="Arial" w:hAnsi="Arial" w:cs="Arial"/>
        <w:sz w:val="20"/>
        <w:szCs w:val="20"/>
      </w:rPr>
      <w:fldChar w:fldCharType="end"/>
    </w:r>
  </w:p>
  <w:p w14:paraId="6F643682" w14:textId="77777777" w:rsidR="00D84F49" w:rsidRDefault="00D84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9A4B6" w14:textId="77777777" w:rsidR="00D8244E" w:rsidRDefault="00D8244E">
      <w:r>
        <w:separator/>
      </w:r>
    </w:p>
  </w:footnote>
  <w:footnote w:type="continuationSeparator" w:id="0">
    <w:p w14:paraId="408C4D3C" w14:textId="77777777" w:rsidR="00D8244E" w:rsidRDefault="00D8244E">
      <w:r>
        <w:continuationSeparator/>
      </w:r>
    </w:p>
  </w:footnote>
  <w:footnote w:id="1">
    <w:p w14:paraId="1F3AA6A2" w14:textId="77777777" w:rsidR="00D84F49" w:rsidRPr="00282349" w:rsidRDefault="00D84F49" w:rsidP="00C67A00">
      <w:pPr>
        <w:pStyle w:val="FootnoteText"/>
        <w:rPr>
          <w:rFonts w:ascii="Arial" w:hAnsi="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This indicator is at Eurostat tables dubbed as Dispersion around the at-risk-of-poverty threshold for elderly people.</w:t>
      </w:r>
    </w:p>
  </w:footnote>
  <w:footnote w:id="2">
    <w:p w14:paraId="28174C3A" w14:textId="77777777" w:rsidR="00D84F49" w:rsidRPr="00282349" w:rsidRDefault="00D84F49" w:rsidP="00471320">
      <w:pPr>
        <w:pStyle w:val="FootnoteText"/>
        <w:jc w:val="both"/>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Categories defined by ESSPROS: disability pension, early retirement benefit due to reduced capacity to work, old-age pension, anticipated old-age pension, partial pension, survivors' pension and early retirement benefit for labor market reasons. </w:t>
      </w:r>
    </w:p>
  </w:footnote>
  <w:footnote w:id="3">
    <w:p w14:paraId="20D40977" w14:textId="77777777" w:rsidR="00D84F49" w:rsidRPr="00A10D7D" w:rsidRDefault="00D84F49" w:rsidP="00471320">
      <w:pPr>
        <w:pStyle w:val="FootnoteText"/>
        <w:jc w:val="both"/>
        <w:rPr>
          <w:rFonts w:ascii="Arial" w:hAnsi="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w:t>
      </w:r>
      <w:r w:rsidRPr="00A10D7D">
        <w:rPr>
          <w:rFonts w:ascii="Arial" w:hAnsi="Arial" w:cs="Arial"/>
          <w:sz w:val="18"/>
          <w:szCs w:val="18"/>
        </w:rPr>
        <w:t>This is a feature of a “core” system. In 2007 “restricted” approach introduced.</w:t>
      </w:r>
    </w:p>
  </w:footnote>
  <w:footnote w:id="4">
    <w:p w14:paraId="017BDD25" w14:textId="77777777" w:rsidR="00D84F49" w:rsidRPr="00282349" w:rsidRDefault="00D84F49" w:rsidP="00E5706C">
      <w:pPr>
        <w:pStyle w:val="FootnoteText"/>
        <w:jc w:val="both"/>
        <w:rPr>
          <w:rFonts w:ascii="Arial" w:hAnsi="Arial" w:cs="Arial"/>
          <w:sz w:val="18"/>
          <w:szCs w:val="18"/>
        </w:rPr>
      </w:pPr>
      <w:r w:rsidRPr="00A10D7D">
        <w:rPr>
          <w:rStyle w:val="FootnoteReference"/>
          <w:rFonts w:ascii="Arial" w:hAnsi="Arial" w:cs="Arial"/>
          <w:sz w:val="18"/>
          <w:szCs w:val="18"/>
        </w:rPr>
        <w:footnoteRef/>
      </w:r>
      <w:r w:rsidRPr="00A10D7D">
        <w:rPr>
          <w:rFonts w:ascii="Arial" w:hAnsi="Arial" w:cs="Arial"/>
          <w:sz w:val="18"/>
          <w:szCs w:val="18"/>
        </w:rPr>
        <w:t xml:space="preserve"> This means that private pensions are included but only provided on collective basis</w:t>
      </w:r>
      <w:r w:rsidRPr="00282349">
        <w:rPr>
          <w:rFonts w:ascii="Arial" w:hAnsi="Arial" w:cs="Arial"/>
          <w:sz w:val="18"/>
          <w:szCs w:val="18"/>
        </w:rPr>
        <w:t xml:space="preserve"> (occupational schemes). According to SPC-ISG (2015) breakdown between public and private pensions is in development. </w:t>
      </w:r>
    </w:p>
  </w:footnote>
  <w:footnote w:id="5">
    <w:p w14:paraId="07DF8FCA" w14:textId="77777777" w:rsidR="00D84F49" w:rsidRPr="00282349" w:rsidRDefault="00D84F49">
      <w:pPr>
        <w:pStyle w:val="FootnoteText"/>
        <w:rPr>
          <w:rFonts w:ascii="Arial" w:hAnsi="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w:t>
      </w:r>
      <w:r w:rsidRPr="00282349">
        <w:rPr>
          <w:rFonts w:ascii="Arial" w:hAnsi="Arial" w:cs="Arial"/>
          <w:color w:val="000000" w:themeColor="text1"/>
          <w:sz w:val="18"/>
          <w:szCs w:val="18"/>
        </w:rPr>
        <w:t xml:space="preserve">SPC-ISG (2015): Portfolio of EU Social Indicators for the Monitoring of Progress Towards the EU Objectives for Social Protection and Social Inclusion. </w:t>
      </w:r>
      <w:r w:rsidRPr="00282349">
        <w:rPr>
          <w:rFonts w:ascii="Arial" w:hAnsi="Arial" w:cs="Arial"/>
          <w:iCs/>
          <w:color w:val="000000" w:themeColor="text1"/>
          <w:sz w:val="18"/>
          <w:szCs w:val="18"/>
        </w:rPr>
        <w:t>Report by the Indicators Sub-Group (ISG) of the Social Protection Committee, p. 40.</w:t>
      </w:r>
    </w:p>
  </w:footnote>
  <w:footnote w:id="6">
    <w:p w14:paraId="269BE677" w14:textId="77777777" w:rsidR="00D84F49" w:rsidRPr="00282349" w:rsidRDefault="00D84F49" w:rsidP="00BA45AB">
      <w:pPr>
        <w:pStyle w:val="FootnoteText"/>
        <w:jc w:val="both"/>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Dashboard indicators were meant to give a synthetic but comprehensive picture on the main changes in the social situation in Europe, hence the overarching indicators served as the basis for the selection while taking into account more recent developments, mainly related to the definition of the Europe 2020 poverty and social exclusion target and indicator (European Union (2014): 2014 Social Protection Performance Monitor (SPPM) Dashboard Results).</w:t>
      </w:r>
    </w:p>
  </w:footnote>
  <w:footnote w:id="7">
    <w:p w14:paraId="45E53D68" w14:textId="77777777" w:rsidR="00D84F49" w:rsidRPr="00282349" w:rsidRDefault="00D84F49" w:rsidP="000B0975">
      <w:pPr>
        <w:pStyle w:val="NormalWeb"/>
        <w:spacing w:beforeLines="0" w:afterLines="0"/>
        <w:jc w:val="both"/>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This practically means that the last year earnings will be earning in 2005, if the year of retirement is 2006. However, the difference in income between these two years is in real terms, therefore adjusted for inflation. </w:t>
      </w:r>
    </w:p>
  </w:footnote>
  <w:footnote w:id="8">
    <w:p w14:paraId="06719CA2" w14:textId="77777777" w:rsidR="00D84F49" w:rsidRPr="00282349" w:rsidRDefault="00D84F49">
      <w:pPr>
        <w:pStyle w:val="FootnoteText"/>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Ibid, p. 12.</w:t>
      </w:r>
    </w:p>
  </w:footnote>
  <w:footnote w:id="9">
    <w:p w14:paraId="4F92A68D" w14:textId="77777777" w:rsidR="00D84F49" w:rsidRPr="00282349" w:rsidRDefault="00D84F49">
      <w:pPr>
        <w:pStyle w:val="FootnoteText"/>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Ibid, p. 70.</w:t>
      </w:r>
    </w:p>
  </w:footnote>
  <w:footnote w:id="10">
    <w:p w14:paraId="480C55CD" w14:textId="77777777" w:rsidR="00D84F49" w:rsidRPr="00282349" w:rsidRDefault="00D84F49" w:rsidP="007565A0">
      <w:pPr>
        <w:pStyle w:val="NormalWeb"/>
        <w:shd w:val="clear" w:color="auto" w:fill="FFFFFF"/>
        <w:spacing w:beforeLines="0" w:afterLines="0"/>
        <w:jc w:val="both"/>
        <w:rPr>
          <w:rFonts w:ascii="Arial" w:hAnsi="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Authors explain that the indicators illustrate “six key criteria of any pension scheme”.</w:t>
      </w:r>
    </w:p>
  </w:footnote>
  <w:footnote w:id="11">
    <w:p w14:paraId="1C446680" w14:textId="77777777" w:rsidR="00D84F49" w:rsidRPr="00282349" w:rsidRDefault="00D84F49" w:rsidP="007D073F">
      <w:pPr>
        <w:pStyle w:val="FootnoteText"/>
        <w:jc w:val="both"/>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Since under the baseline assumptions workers earn the same percentage of economy – wide average earnings throughout their career, lifetime average re-valued earnings and individual final earnings are identical. Therefore, there is no difference between the OECD and EC (ISG) definition for the baseline case – flat lifetime earnings (Stanić (2008): </w:t>
      </w:r>
      <w:r w:rsidRPr="00282349">
        <w:rPr>
          <w:rFonts w:ascii="Arial" w:hAnsi="Arial" w:cs="Arial"/>
          <w:iCs/>
          <w:color w:val="000000" w:themeColor="text1"/>
          <w:sz w:val="18"/>
          <w:szCs w:val="18"/>
        </w:rPr>
        <w:t>Uloga penzijskog sistema u održanju nivoa prihoda u starosti – merenje i međunarodna poređenja)</w:t>
      </w:r>
      <w:r w:rsidRPr="00282349">
        <w:rPr>
          <w:rFonts w:ascii="Arial" w:hAnsi="Arial" w:cs="Arial"/>
          <w:sz w:val="18"/>
          <w:szCs w:val="18"/>
        </w:rPr>
        <w:t xml:space="preserve">. </w:t>
      </w:r>
    </w:p>
  </w:footnote>
  <w:footnote w:id="12">
    <w:p w14:paraId="071D0BDA" w14:textId="77777777" w:rsidR="00D84F49" w:rsidRPr="00282349" w:rsidRDefault="00D84F49" w:rsidP="007D073F">
      <w:pPr>
        <w:pStyle w:val="FootnoteText"/>
        <w:rPr>
          <w:rFonts w:ascii="Arial" w:hAnsi="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Ibid.</w:t>
      </w:r>
    </w:p>
  </w:footnote>
  <w:footnote w:id="13">
    <w:p w14:paraId="005C6B63" w14:textId="77777777" w:rsidR="00D84F49" w:rsidRPr="00282349" w:rsidRDefault="00D84F49" w:rsidP="00687504">
      <w:pPr>
        <w:pStyle w:val="FootnoteText"/>
        <w:jc w:val="both"/>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It is not clear why this indicator is static i.e. fixed for only 2006-2046. In Pension adequacy report it is period 2013-2053.</w:t>
      </w:r>
    </w:p>
  </w:footnote>
  <w:footnote w:id="14">
    <w:p w14:paraId="7490697D" w14:textId="77777777" w:rsidR="00D84F49" w:rsidRPr="00282349" w:rsidRDefault="00D84F49" w:rsidP="00687504">
      <w:pPr>
        <w:pStyle w:val="FootnoteText"/>
        <w:jc w:val="both"/>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EC call them “policy” and World Bank/OECD design/entitlements. Term policy will be avoided as OECD publication Pension at Glance (2011), consisting of 5 groups explained in the section 3, names the whole set of pension indicators a pension-policy indicators. </w:t>
      </w:r>
    </w:p>
  </w:footnote>
  <w:footnote w:id="15">
    <w:p w14:paraId="632BC6E9" w14:textId="77777777" w:rsidR="00D84F49" w:rsidRPr="00282349" w:rsidRDefault="00D84F49" w:rsidP="00687504">
      <w:pPr>
        <w:pStyle w:val="FootnoteText"/>
        <w:jc w:val="both"/>
        <w:rPr>
          <w:rFonts w:ascii="Arial" w:hAnsi="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There are still some other elements of horizontal redistribution in the system, such as disability and survivors pensions, 6% augmentation in female pension formula, pensions with accelerated services, etc.</w:t>
      </w:r>
      <w:r w:rsidRPr="00282349">
        <w:rPr>
          <w:rFonts w:ascii="Arial" w:hAnsi="Arial"/>
          <w:sz w:val="18"/>
          <w:szCs w:val="18"/>
        </w:rPr>
        <w:t xml:space="preserve"> </w:t>
      </w:r>
    </w:p>
  </w:footnote>
  <w:footnote w:id="16">
    <w:p w14:paraId="217AD374" w14:textId="77777777" w:rsidR="00D84F49" w:rsidRPr="00282349" w:rsidRDefault="00D84F49" w:rsidP="002E696D">
      <w:pPr>
        <w:jc w:val="both"/>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See for example Disney and Whitehouse (2001) for discussion on measurement of old-age income.</w:t>
      </w:r>
    </w:p>
  </w:footnote>
  <w:footnote w:id="17">
    <w:p w14:paraId="000ED7D2" w14:textId="77777777" w:rsidR="00D84F49" w:rsidRPr="00282349" w:rsidRDefault="00D84F49" w:rsidP="00F56667">
      <w:pPr>
        <w:jc w:val="both"/>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This is how Pension Adequacy report is structured (one chapter is examining current living standard of older people and other the role of pension system in securing adequate living standard in old age) </w:t>
      </w:r>
    </w:p>
  </w:footnote>
  <w:footnote w:id="18">
    <w:p w14:paraId="547A3C20" w14:textId="77777777" w:rsidR="00D84F49" w:rsidRPr="00282349" w:rsidRDefault="00D84F49" w:rsidP="00F56667">
      <w:pPr>
        <w:pStyle w:val="FootnoteText"/>
        <w:jc w:val="both"/>
        <w:rPr>
          <w:rFonts w:ascii="Arial" w:hAnsi="Arial" w:cs="Arial"/>
          <w:sz w:val="18"/>
          <w:szCs w:val="18"/>
        </w:rPr>
      </w:pPr>
      <w:r w:rsidRPr="00282349">
        <w:rPr>
          <w:rFonts w:ascii="Arial" w:hAnsi="Arial" w:cs="Arial"/>
          <w:sz w:val="18"/>
          <w:szCs w:val="18"/>
          <w:vertAlign w:val="superscript"/>
        </w:rPr>
        <w:footnoteRef/>
      </w:r>
      <w:r w:rsidRPr="00282349">
        <w:rPr>
          <w:rFonts w:ascii="Arial" w:hAnsi="Arial" w:cs="Arial"/>
          <w:sz w:val="18"/>
          <w:szCs w:val="18"/>
          <w:vertAlign w:val="superscript"/>
        </w:rPr>
        <w:t xml:space="preserve"> </w:t>
      </w:r>
      <w:r w:rsidRPr="00282349">
        <w:rPr>
          <w:rFonts w:ascii="Arial" w:hAnsi="Arial" w:cs="Arial"/>
          <w:sz w:val="18"/>
          <w:szCs w:val="18"/>
        </w:rPr>
        <w:t xml:space="preserve">For those above statutory pensionable age disability pensions are considered old-age pensions. </w:t>
      </w:r>
    </w:p>
  </w:footnote>
  <w:footnote w:id="19">
    <w:p w14:paraId="7061713D" w14:textId="77777777" w:rsidR="00D84F49" w:rsidRPr="00282349" w:rsidRDefault="00D84F49" w:rsidP="0023466F">
      <w:pPr>
        <w:pStyle w:val="FootnoteText"/>
        <w:rPr>
          <w:rFonts w:ascii="Arial" w:hAnsi="Arial" w:cs="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Analysis of LFS in Serbia and compatibility with Eurostat-LFS is beyond this paper, and is also relevant for employment indicators portfolio</w:t>
      </w:r>
    </w:p>
  </w:footnote>
  <w:footnote w:id="20">
    <w:p w14:paraId="654221ED" w14:textId="77777777" w:rsidR="00D84F49" w:rsidRPr="00282349" w:rsidRDefault="00D84F49">
      <w:pPr>
        <w:pStyle w:val="FootnoteText"/>
        <w:rPr>
          <w:rFonts w:ascii="Arial" w:hAnsi="Arial"/>
          <w:sz w:val="18"/>
          <w:szCs w:val="18"/>
        </w:rPr>
      </w:pPr>
      <w:r w:rsidRPr="00282349">
        <w:rPr>
          <w:rStyle w:val="FootnoteReference"/>
          <w:rFonts w:ascii="Arial" w:hAnsi="Arial" w:cs="Arial"/>
          <w:sz w:val="18"/>
          <w:szCs w:val="18"/>
        </w:rPr>
        <w:footnoteRef/>
      </w:r>
      <w:r w:rsidRPr="00282349">
        <w:rPr>
          <w:rFonts w:ascii="Arial" w:hAnsi="Arial" w:cs="Arial"/>
          <w:sz w:val="18"/>
          <w:szCs w:val="18"/>
        </w:rPr>
        <w:t xml:space="preserve"> F</w:t>
      </w:r>
      <w:r>
        <w:rPr>
          <w:rFonts w:ascii="Arial" w:hAnsi="Arial" w:cs="Arial"/>
          <w:sz w:val="18"/>
          <w:szCs w:val="18"/>
        </w:rPr>
        <w:t>or details see Matković (2010); Bajec, Stanić (2005); Stanić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05C"/>
    <w:multiLevelType w:val="hybridMultilevel"/>
    <w:tmpl w:val="FC6EAE48"/>
    <w:lvl w:ilvl="0" w:tplc="31003D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76B7F"/>
    <w:multiLevelType w:val="hybridMultilevel"/>
    <w:tmpl w:val="709C81E2"/>
    <w:lvl w:ilvl="0" w:tplc="31003D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50962"/>
    <w:multiLevelType w:val="hybridMultilevel"/>
    <w:tmpl w:val="512ED3D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900DC"/>
    <w:multiLevelType w:val="multilevel"/>
    <w:tmpl w:val="2DAC7A36"/>
    <w:lvl w:ilvl="0">
      <w:start w:val="1"/>
      <w:numFmt w:val="decimal"/>
      <w:lvlText w:val="%1."/>
      <w:lvlJc w:val="left"/>
      <w:pPr>
        <w:ind w:left="720" w:hanging="360"/>
      </w:pPr>
      <w:rPr>
        <w:rFonts w:ascii="Arial" w:hAnsi="Arial" w:cs="Symbol" w:hint="default"/>
        <w:b/>
        <w:i w:val="0"/>
        <w:color w:val="4F81BD" w:themeColor="accent1"/>
        <w:sz w:val="24"/>
        <w:szCs w:val="24"/>
      </w:rPr>
    </w:lvl>
    <w:lvl w:ilvl="1">
      <w:start w:val="1"/>
      <w:numFmt w:val="decimal"/>
      <w:isLgl/>
      <w:lvlText w:val="%1.%2."/>
      <w:lvlJc w:val="left"/>
      <w:pPr>
        <w:ind w:left="1080" w:hanging="720"/>
      </w:pPr>
      <w:rPr>
        <w:rFonts w:ascii="Arial" w:hAnsi="Arial" w:hint="default"/>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90524E"/>
    <w:multiLevelType w:val="hybridMultilevel"/>
    <w:tmpl w:val="A5088E36"/>
    <w:lvl w:ilvl="0" w:tplc="31003D7A">
      <w:start w:val="1"/>
      <w:numFmt w:val="bullet"/>
      <w:lvlText w:val="–"/>
      <w:lvlJc w:val="left"/>
      <w:pPr>
        <w:ind w:left="530" w:hanging="17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D42B1"/>
    <w:multiLevelType w:val="hybridMultilevel"/>
    <w:tmpl w:val="7F14B8B8"/>
    <w:lvl w:ilvl="0" w:tplc="31003D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E5636"/>
    <w:multiLevelType w:val="hybridMultilevel"/>
    <w:tmpl w:val="13EEDA78"/>
    <w:lvl w:ilvl="0" w:tplc="A9BAC7AC">
      <w:start w:val="1"/>
      <w:numFmt w:val="decimal"/>
      <w:lvlText w:val="%1."/>
      <w:lvlJc w:val="left"/>
      <w:pPr>
        <w:ind w:left="720" w:hanging="360"/>
      </w:pPr>
      <w:rPr>
        <w:rFonts w:ascii="Calibri" w:hAnsi="Calibri" w:cs="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E5898"/>
    <w:multiLevelType w:val="hybridMultilevel"/>
    <w:tmpl w:val="15CEFC06"/>
    <w:lvl w:ilvl="0" w:tplc="31003D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537D9"/>
    <w:multiLevelType w:val="hybridMultilevel"/>
    <w:tmpl w:val="79F2AE42"/>
    <w:lvl w:ilvl="0" w:tplc="31003D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F4DFA"/>
    <w:multiLevelType w:val="hybridMultilevel"/>
    <w:tmpl w:val="6052B678"/>
    <w:lvl w:ilvl="0" w:tplc="31003D7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120652"/>
    <w:multiLevelType w:val="hybridMultilevel"/>
    <w:tmpl w:val="477CD0F4"/>
    <w:lvl w:ilvl="0" w:tplc="31003D7A">
      <w:start w:val="1"/>
      <w:numFmt w:val="bullet"/>
      <w:lvlText w:val="–"/>
      <w:lvlJc w:val="left"/>
      <w:pPr>
        <w:ind w:left="720" w:hanging="360"/>
      </w:pPr>
      <w:rPr>
        <w:rFonts w:ascii="Times New Roman" w:hAnsi="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370089"/>
    <w:multiLevelType w:val="hybridMultilevel"/>
    <w:tmpl w:val="828E11E8"/>
    <w:lvl w:ilvl="0" w:tplc="31003D7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89332E"/>
    <w:multiLevelType w:val="hybridMultilevel"/>
    <w:tmpl w:val="5D2A8EFE"/>
    <w:lvl w:ilvl="0" w:tplc="31003D7A">
      <w:start w:val="1"/>
      <w:numFmt w:val="bullet"/>
      <w:lvlText w:val="–"/>
      <w:lvlJc w:val="left"/>
      <w:pPr>
        <w:ind w:left="530" w:hanging="17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91FAE"/>
    <w:multiLevelType w:val="hybridMultilevel"/>
    <w:tmpl w:val="2D36E2E0"/>
    <w:lvl w:ilvl="0" w:tplc="31003D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E0529"/>
    <w:multiLevelType w:val="multilevel"/>
    <w:tmpl w:val="374A6A84"/>
    <w:lvl w:ilvl="0">
      <w:start w:val="1"/>
      <w:numFmt w:val="decimal"/>
      <w:lvlText w:val="%1."/>
      <w:lvlJc w:val="left"/>
      <w:pPr>
        <w:ind w:left="720" w:hanging="360"/>
      </w:pPr>
      <w:rPr>
        <w:rFonts w:ascii="Arial" w:hAnsi="Arial" w:cs="Symbol" w:hint="default"/>
        <w:b w:val="0"/>
        <w:i w:val="0"/>
        <w:color w:val="000000" w:themeColor="text1"/>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F002D6"/>
    <w:multiLevelType w:val="hybridMultilevel"/>
    <w:tmpl w:val="EE90C546"/>
    <w:lvl w:ilvl="0" w:tplc="31003D7A">
      <w:start w:val="1"/>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Aria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Arial"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Arial"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3"/>
  </w:num>
  <w:num w:numId="6">
    <w:abstractNumId w:val="10"/>
  </w:num>
  <w:num w:numId="7">
    <w:abstractNumId w:val="5"/>
  </w:num>
  <w:num w:numId="8">
    <w:abstractNumId w:val="8"/>
  </w:num>
  <w:num w:numId="9">
    <w:abstractNumId w:val="1"/>
  </w:num>
  <w:num w:numId="10">
    <w:abstractNumId w:val="9"/>
  </w:num>
  <w:num w:numId="11">
    <w:abstractNumId w:val="0"/>
  </w:num>
  <w:num w:numId="12">
    <w:abstractNumId w:val="7"/>
  </w:num>
  <w:num w:numId="13">
    <w:abstractNumId w:val="13"/>
  </w:num>
  <w:num w:numId="14">
    <w:abstractNumId w:val="11"/>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GB" w:vendorID="64" w:dllVersion="131078" w:nlCheck="1" w:checkStyle="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43"/>
    <w:rsid w:val="00000099"/>
    <w:rsid w:val="00000736"/>
    <w:rsid w:val="000042CD"/>
    <w:rsid w:val="00007396"/>
    <w:rsid w:val="0001192C"/>
    <w:rsid w:val="0001252A"/>
    <w:rsid w:val="0001260A"/>
    <w:rsid w:val="0001510C"/>
    <w:rsid w:val="000165A0"/>
    <w:rsid w:val="00020044"/>
    <w:rsid w:val="00020A59"/>
    <w:rsid w:val="00022785"/>
    <w:rsid w:val="000240A8"/>
    <w:rsid w:val="00027EC8"/>
    <w:rsid w:val="00030632"/>
    <w:rsid w:val="00030E93"/>
    <w:rsid w:val="0003323A"/>
    <w:rsid w:val="000334D9"/>
    <w:rsid w:val="000366C3"/>
    <w:rsid w:val="000372FE"/>
    <w:rsid w:val="00040BE8"/>
    <w:rsid w:val="00043568"/>
    <w:rsid w:val="00043A91"/>
    <w:rsid w:val="000448CD"/>
    <w:rsid w:val="00050A73"/>
    <w:rsid w:val="00053251"/>
    <w:rsid w:val="00053DFB"/>
    <w:rsid w:val="00062BF5"/>
    <w:rsid w:val="00062F1F"/>
    <w:rsid w:val="00063288"/>
    <w:rsid w:val="00070900"/>
    <w:rsid w:val="00075AD4"/>
    <w:rsid w:val="000763E8"/>
    <w:rsid w:val="00077159"/>
    <w:rsid w:val="00077885"/>
    <w:rsid w:val="000778E4"/>
    <w:rsid w:val="00081418"/>
    <w:rsid w:val="00085DEB"/>
    <w:rsid w:val="00090A7B"/>
    <w:rsid w:val="000910F4"/>
    <w:rsid w:val="00096136"/>
    <w:rsid w:val="000A5AE8"/>
    <w:rsid w:val="000A686E"/>
    <w:rsid w:val="000A7F95"/>
    <w:rsid w:val="000B0975"/>
    <w:rsid w:val="000B0DF8"/>
    <w:rsid w:val="000B236E"/>
    <w:rsid w:val="000B4923"/>
    <w:rsid w:val="000C3537"/>
    <w:rsid w:val="000C46AA"/>
    <w:rsid w:val="000C629F"/>
    <w:rsid w:val="000C684E"/>
    <w:rsid w:val="000D0595"/>
    <w:rsid w:val="000D3048"/>
    <w:rsid w:val="000D3CE5"/>
    <w:rsid w:val="000E2562"/>
    <w:rsid w:val="000E5997"/>
    <w:rsid w:val="000E628E"/>
    <w:rsid w:val="000E6F32"/>
    <w:rsid w:val="000E722B"/>
    <w:rsid w:val="000F21CD"/>
    <w:rsid w:val="000F2E9B"/>
    <w:rsid w:val="000F3E41"/>
    <w:rsid w:val="000F4978"/>
    <w:rsid w:val="000F6871"/>
    <w:rsid w:val="000F711A"/>
    <w:rsid w:val="000F7282"/>
    <w:rsid w:val="000F777C"/>
    <w:rsid w:val="000F7BB1"/>
    <w:rsid w:val="00101B57"/>
    <w:rsid w:val="001028F4"/>
    <w:rsid w:val="001035AE"/>
    <w:rsid w:val="001047A6"/>
    <w:rsid w:val="001051F5"/>
    <w:rsid w:val="00106A77"/>
    <w:rsid w:val="001071BA"/>
    <w:rsid w:val="00116C12"/>
    <w:rsid w:val="00117BFD"/>
    <w:rsid w:val="0012235A"/>
    <w:rsid w:val="00123D08"/>
    <w:rsid w:val="00131A95"/>
    <w:rsid w:val="001322AC"/>
    <w:rsid w:val="00133D2C"/>
    <w:rsid w:val="00134838"/>
    <w:rsid w:val="00134D33"/>
    <w:rsid w:val="001370F7"/>
    <w:rsid w:val="00137FED"/>
    <w:rsid w:val="00144A63"/>
    <w:rsid w:val="00145B7D"/>
    <w:rsid w:val="00153177"/>
    <w:rsid w:val="0015561B"/>
    <w:rsid w:val="001579F5"/>
    <w:rsid w:val="00160530"/>
    <w:rsid w:val="0016136C"/>
    <w:rsid w:val="001635B1"/>
    <w:rsid w:val="00164F02"/>
    <w:rsid w:val="001651B3"/>
    <w:rsid w:val="0016623F"/>
    <w:rsid w:val="00170DF3"/>
    <w:rsid w:val="00171064"/>
    <w:rsid w:val="00172A36"/>
    <w:rsid w:val="0017412C"/>
    <w:rsid w:val="00175B0C"/>
    <w:rsid w:val="0018035A"/>
    <w:rsid w:val="0018207A"/>
    <w:rsid w:val="0019351A"/>
    <w:rsid w:val="00195670"/>
    <w:rsid w:val="00195ABA"/>
    <w:rsid w:val="00197F08"/>
    <w:rsid w:val="001A0D96"/>
    <w:rsid w:val="001A27F6"/>
    <w:rsid w:val="001A5536"/>
    <w:rsid w:val="001B11B9"/>
    <w:rsid w:val="001B51E6"/>
    <w:rsid w:val="001B55D4"/>
    <w:rsid w:val="001B5F1C"/>
    <w:rsid w:val="001C69A6"/>
    <w:rsid w:val="001C7610"/>
    <w:rsid w:val="001D1F43"/>
    <w:rsid w:val="001D3954"/>
    <w:rsid w:val="001D5C39"/>
    <w:rsid w:val="001D6396"/>
    <w:rsid w:val="001E0768"/>
    <w:rsid w:val="001E275F"/>
    <w:rsid w:val="001E323E"/>
    <w:rsid w:val="001E32DD"/>
    <w:rsid w:val="001E3386"/>
    <w:rsid w:val="001E54AB"/>
    <w:rsid w:val="001E58AA"/>
    <w:rsid w:val="001E6850"/>
    <w:rsid w:val="001F77D2"/>
    <w:rsid w:val="002000E3"/>
    <w:rsid w:val="00203605"/>
    <w:rsid w:val="002037B4"/>
    <w:rsid w:val="00203D5A"/>
    <w:rsid w:val="00205F34"/>
    <w:rsid w:val="00207BFB"/>
    <w:rsid w:val="00207C34"/>
    <w:rsid w:val="0021255B"/>
    <w:rsid w:val="002126BB"/>
    <w:rsid w:val="002130FA"/>
    <w:rsid w:val="00216236"/>
    <w:rsid w:val="00216C89"/>
    <w:rsid w:val="00224EA0"/>
    <w:rsid w:val="002257A8"/>
    <w:rsid w:val="0023010D"/>
    <w:rsid w:val="00230690"/>
    <w:rsid w:val="00231AE1"/>
    <w:rsid w:val="0023466F"/>
    <w:rsid w:val="00235BAB"/>
    <w:rsid w:val="00237D2B"/>
    <w:rsid w:val="002400EC"/>
    <w:rsid w:val="002414E8"/>
    <w:rsid w:val="0024372D"/>
    <w:rsid w:val="002437BB"/>
    <w:rsid w:val="0024501D"/>
    <w:rsid w:val="002464E5"/>
    <w:rsid w:val="002513A8"/>
    <w:rsid w:val="00253806"/>
    <w:rsid w:val="00253BFA"/>
    <w:rsid w:val="002563A0"/>
    <w:rsid w:val="00261156"/>
    <w:rsid w:val="00266C90"/>
    <w:rsid w:val="002705DA"/>
    <w:rsid w:val="00270E8E"/>
    <w:rsid w:val="00271316"/>
    <w:rsid w:val="002745A6"/>
    <w:rsid w:val="00274CD9"/>
    <w:rsid w:val="00281786"/>
    <w:rsid w:val="00281BC8"/>
    <w:rsid w:val="00281E4A"/>
    <w:rsid w:val="00282349"/>
    <w:rsid w:val="0028297B"/>
    <w:rsid w:val="002860D3"/>
    <w:rsid w:val="0028633F"/>
    <w:rsid w:val="00290EC7"/>
    <w:rsid w:val="0029228C"/>
    <w:rsid w:val="00293AB2"/>
    <w:rsid w:val="002951FC"/>
    <w:rsid w:val="00296087"/>
    <w:rsid w:val="00296B23"/>
    <w:rsid w:val="002A1571"/>
    <w:rsid w:val="002A7A26"/>
    <w:rsid w:val="002B2EF1"/>
    <w:rsid w:val="002B3FC0"/>
    <w:rsid w:val="002B7710"/>
    <w:rsid w:val="002C1ECE"/>
    <w:rsid w:val="002C250A"/>
    <w:rsid w:val="002C29A1"/>
    <w:rsid w:val="002C4ADF"/>
    <w:rsid w:val="002D2A23"/>
    <w:rsid w:val="002D348B"/>
    <w:rsid w:val="002D6340"/>
    <w:rsid w:val="002D6995"/>
    <w:rsid w:val="002E0265"/>
    <w:rsid w:val="002E1194"/>
    <w:rsid w:val="002E3C00"/>
    <w:rsid w:val="002E662B"/>
    <w:rsid w:val="002E696D"/>
    <w:rsid w:val="002F0593"/>
    <w:rsid w:val="002F1AF1"/>
    <w:rsid w:val="00300F22"/>
    <w:rsid w:val="00302054"/>
    <w:rsid w:val="003050D0"/>
    <w:rsid w:val="003053F2"/>
    <w:rsid w:val="00311BD4"/>
    <w:rsid w:val="00314359"/>
    <w:rsid w:val="00314F54"/>
    <w:rsid w:val="0031590A"/>
    <w:rsid w:val="00316BD1"/>
    <w:rsid w:val="003219CB"/>
    <w:rsid w:val="00321BDA"/>
    <w:rsid w:val="00323394"/>
    <w:rsid w:val="00323A5F"/>
    <w:rsid w:val="0032593F"/>
    <w:rsid w:val="00326BF2"/>
    <w:rsid w:val="003270EA"/>
    <w:rsid w:val="00327966"/>
    <w:rsid w:val="00332D27"/>
    <w:rsid w:val="0033584B"/>
    <w:rsid w:val="00335E51"/>
    <w:rsid w:val="00341B3C"/>
    <w:rsid w:val="00342CFD"/>
    <w:rsid w:val="00344FED"/>
    <w:rsid w:val="00345811"/>
    <w:rsid w:val="003465B9"/>
    <w:rsid w:val="00351FEB"/>
    <w:rsid w:val="00352B17"/>
    <w:rsid w:val="00354162"/>
    <w:rsid w:val="00357C8C"/>
    <w:rsid w:val="0036458E"/>
    <w:rsid w:val="00366091"/>
    <w:rsid w:val="0037332A"/>
    <w:rsid w:val="0037382A"/>
    <w:rsid w:val="00375D7C"/>
    <w:rsid w:val="00375FE4"/>
    <w:rsid w:val="00380D4A"/>
    <w:rsid w:val="00381132"/>
    <w:rsid w:val="0038230D"/>
    <w:rsid w:val="0038281E"/>
    <w:rsid w:val="00382A17"/>
    <w:rsid w:val="00383827"/>
    <w:rsid w:val="00384DAC"/>
    <w:rsid w:val="0038675F"/>
    <w:rsid w:val="003877C7"/>
    <w:rsid w:val="00390E19"/>
    <w:rsid w:val="00391EC7"/>
    <w:rsid w:val="00393A9F"/>
    <w:rsid w:val="00395163"/>
    <w:rsid w:val="003A0204"/>
    <w:rsid w:val="003A49BA"/>
    <w:rsid w:val="003A5C62"/>
    <w:rsid w:val="003A6EB8"/>
    <w:rsid w:val="003B0174"/>
    <w:rsid w:val="003B299B"/>
    <w:rsid w:val="003B4F4E"/>
    <w:rsid w:val="003B5CEB"/>
    <w:rsid w:val="003B6EFC"/>
    <w:rsid w:val="003B71A2"/>
    <w:rsid w:val="003B78FD"/>
    <w:rsid w:val="003C08F3"/>
    <w:rsid w:val="003C24C1"/>
    <w:rsid w:val="003C26B0"/>
    <w:rsid w:val="003C4432"/>
    <w:rsid w:val="003C4651"/>
    <w:rsid w:val="003C735D"/>
    <w:rsid w:val="003D121C"/>
    <w:rsid w:val="003D1324"/>
    <w:rsid w:val="003D6DE7"/>
    <w:rsid w:val="003E1981"/>
    <w:rsid w:val="003E244A"/>
    <w:rsid w:val="003E4F3E"/>
    <w:rsid w:val="003E5D12"/>
    <w:rsid w:val="003E6D75"/>
    <w:rsid w:val="003E79A8"/>
    <w:rsid w:val="003F7FA7"/>
    <w:rsid w:val="00401113"/>
    <w:rsid w:val="004029A9"/>
    <w:rsid w:val="00403130"/>
    <w:rsid w:val="00406884"/>
    <w:rsid w:val="00416378"/>
    <w:rsid w:val="00416EFF"/>
    <w:rsid w:val="004208DC"/>
    <w:rsid w:val="00422167"/>
    <w:rsid w:val="00424527"/>
    <w:rsid w:val="00425269"/>
    <w:rsid w:val="004266D4"/>
    <w:rsid w:val="00430B4B"/>
    <w:rsid w:val="00430D21"/>
    <w:rsid w:val="00434A4C"/>
    <w:rsid w:val="00435025"/>
    <w:rsid w:val="00437F19"/>
    <w:rsid w:val="00445B34"/>
    <w:rsid w:val="004460F5"/>
    <w:rsid w:val="00451EBE"/>
    <w:rsid w:val="00451F52"/>
    <w:rsid w:val="00460025"/>
    <w:rsid w:val="00460514"/>
    <w:rsid w:val="00462118"/>
    <w:rsid w:val="0046591B"/>
    <w:rsid w:val="004702D1"/>
    <w:rsid w:val="00471320"/>
    <w:rsid w:val="0047308E"/>
    <w:rsid w:val="00477735"/>
    <w:rsid w:val="004805A4"/>
    <w:rsid w:val="004817D4"/>
    <w:rsid w:val="0048523B"/>
    <w:rsid w:val="00491322"/>
    <w:rsid w:val="00491BCE"/>
    <w:rsid w:val="00494855"/>
    <w:rsid w:val="004967DC"/>
    <w:rsid w:val="00496C77"/>
    <w:rsid w:val="00496D60"/>
    <w:rsid w:val="004A1C1A"/>
    <w:rsid w:val="004A1FD3"/>
    <w:rsid w:val="004A6023"/>
    <w:rsid w:val="004B34CA"/>
    <w:rsid w:val="004B710A"/>
    <w:rsid w:val="004C1573"/>
    <w:rsid w:val="004C26D3"/>
    <w:rsid w:val="004C7003"/>
    <w:rsid w:val="004D1B0C"/>
    <w:rsid w:val="004D2003"/>
    <w:rsid w:val="004D47C7"/>
    <w:rsid w:val="004E1282"/>
    <w:rsid w:val="004E2D1B"/>
    <w:rsid w:val="004E40CF"/>
    <w:rsid w:val="004E4E9A"/>
    <w:rsid w:val="004E5B32"/>
    <w:rsid w:val="004E6829"/>
    <w:rsid w:val="004E7BBA"/>
    <w:rsid w:val="004F184E"/>
    <w:rsid w:val="004F1A4F"/>
    <w:rsid w:val="004F4E5D"/>
    <w:rsid w:val="004F73E1"/>
    <w:rsid w:val="0050340E"/>
    <w:rsid w:val="00511C5A"/>
    <w:rsid w:val="0051209F"/>
    <w:rsid w:val="005130D6"/>
    <w:rsid w:val="00514749"/>
    <w:rsid w:val="00524FF7"/>
    <w:rsid w:val="005254F1"/>
    <w:rsid w:val="00531464"/>
    <w:rsid w:val="00532312"/>
    <w:rsid w:val="00536759"/>
    <w:rsid w:val="00537050"/>
    <w:rsid w:val="0054738F"/>
    <w:rsid w:val="00550783"/>
    <w:rsid w:val="00551B73"/>
    <w:rsid w:val="00551BF6"/>
    <w:rsid w:val="0055280A"/>
    <w:rsid w:val="0055313E"/>
    <w:rsid w:val="0055358F"/>
    <w:rsid w:val="00560B92"/>
    <w:rsid w:val="00565138"/>
    <w:rsid w:val="005653BA"/>
    <w:rsid w:val="00571291"/>
    <w:rsid w:val="005716EC"/>
    <w:rsid w:val="0057304A"/>
    <w:rsid w:val="005753CF"/>
    <w:rsid w:val="00576678"/>
    <w:rsid w:val="00581768"/>
    <w:rsid w:val="00581F33"/>
    <w:rsid w:val="00583A6C"/>
    <w:rsid w:val="0058402D"/>
    <w:rsid w:val="0058435D"/>
    <w:rsid w:val="00584F73"/>
    <w:rsid w:val="00585885"/>
    <w:rsid w:val="005858FF"/>
    <w:rsid w:val="00585ACB"/>
    <w:rsid w:val="00587A0F"/>
    <w:rsid w:val="00594608"/>
    <w:rsid w:val="00594A59"/>
    <w:rsid w:val="00594C19"/>
    <w:rsid w:val="00595763"/>
    <w:rsid w:val="00596874"/>
    <w:rsid w:val="005A17DC"/>
    <w:rsid w:val="005A240C"/>
    <w:rsid w:val="005B03E4"/>
    <w:rsid w:val="005B1854"/>
    <w:rsid w:val="005B2D9A"/>
    <w:rsid w:val="005B3098"/>
    <w:rsid w:val="005B592C"/>
    <w:rsid w:val="005B7BF4"/>
    <w:rsid w:val="005C002C"/>
    <w:rsid w:val="005C3AB2"/>
    <w:rsid w:val="005C44DE"/>
    <w:rsid w:val="005C4750"/>
    <w:rsid w:val="005C48F1"/>
    <w:rsid w:val="005C5009"/>
    <w:rsid w:val="005C7A02"/>
    <w:rsid w:val="005D0B5B"/>
    <w:rsid w:val="005D2702"/>
    <w:rsid w:val="005D3577"/>
    <w:rsid w:val="005D5CCA"/>
    <w:rsid w:val="005D6229"/>
    <w:rsid w:val="005D679B"/>
    <w:rsid w:val="005E1367"/>
    <w:rsid w:val="005E139B"/>
    <w:rsid w:val="005E5DB2"/>
    <w:rsid w:val="005E689E"/>
    <w:rsid w:val="005F2C2B"/>
    <w:rsid w:val="005F39E8"/>
    <w:rsid w:val="005F4790"/>
    <w:rsid w:val="005F5487"/>
    <w:rsid w:val="0060049B"/>
    <w:rsid w:val="00600F85"/>
    <w:rsid w:val="006020AB"/>
    <w:rsid w:val="00602B1F"/>
    <w:rsid w:val="00604328"/>
    <w:rsid w:val="0060512D"/>
    <w:rsid w:val="00605D60"/>
    <w:rsid w:val="006115DD"/>
    <w:rsid w:val="006118E4"/>
    <w:rsid w:val="006173D1"/>
    <w:rsid w:val="00624A69"/>
    <w:rsid w:val="00627ED6"/>
    <w:rsid w:val="00632456"/>
    <w:rsid w:val="0063370C"/>
    <w:rsid w:val="006349BB"/>
    <w:rsid w:val="00634BA3"/>
    <w:rsid w:val="00637E54"/>
    <w:rsid w:val="006423DD"/>
    <w:rsid w:val="00642E49"/>
    <w:rsid w:val="006435DE"/>
    <w:rsid w:val="0064419D"/>
    <w:rsid w:val="00646896"/>
    <w:rsid w:val="00652DCA"/>
    <w:rsid w:val="00654E2E"/>
    <w:rsid w:val="00656FA4"/>
    <w:rsid w:val="00661999"/>
    <w:rsid w:val="00663BE5"/>
    <w:rsid w:val="00665F5E"/>
    <w:rsid w:val="00667513"/>
    <w:rsid w:val="00672273"/>
    <w:rsid w:val="00675207"/>
    <w:rsid w:val="006753F6"/>
    <w:rsid w:val="00676373"/>
    <w:rsid w:val="006763FE"/>
    <w:rsid w:val="006770F4"/>
    <w:rsid w:val="0067746E"/>
    <w:rsid w:val="00680447"/>
    <w:rsid w:val="00680E47"/>
    <w:rsid w:val="006810D4"/>
    <w:rsid w:val="00681C7C"/>
    <w:rsid w:val="006825A6"/>
    <w:rsid w:val="00682A94"/>
    <w:rsid w:val="00687172"/>
    <w:rsid w:val="00687504"/>
    <w:rsid w:val="00692411"/>
    <w:rsid w:val="0069625E"/>
    <w:rsid w:val="006A02D3"/>
    <w:rsid w:val="006A201C"/>
    <w:rsid w:val="006A4CE9"/>
    <w:rsid w:val="006A5A25"/>
    <w:rsid w:val="006A6908"/>
    <w:rsid w:val="006A7C68"/>
    <w:rsid w:val="006B12AE"/>
    <w:rsid w:val="006B1FC0"/>
    <w:rsid w:val="006B42D1"/>
    <w:rsid w:val="006B54C2"/>
    <w:rsid w:val="006B5D6F"/>
    <w:rsid w:val="006B618E"/>
    <w:rsid w:val="006C08B5"/>
    <w:rsid w:val="006C2846"/>
    <w:rsid w:val="006C7BE4"/>
    <w:rsid w:val="006E0E0D"/>
    <w:rsid w:val="006E2458"/>
    <w:rsid w:val="006E4DBC"/>
    <w:rsid w:val="006E6238"/>
    <w:rsid w:val="006F092E"/>
    <w:rsid w:val="006F38CA"/>
    <w:rsid w:val="006F52FE"/>
    <w:rsid w:val="00702DD8"/>
    <w:rsid w:val="0070307F"/>
    <w:rsid w:val="007039E5"/>
    <w:rsid w:val="0070466E"/>
    <w:rsid w:val="00706AAE"/>
    <w:rsid w:val="00707BBB"/>
    <w:rsid w:val="00710D33"/>
    <w:rsid w:val="007112FE"/>
    <w:rsid w:val="00711678"/>
    <w:rsid w:val="007137F4"/>
    <w:rsid w:val="00722A3E"/>
    <w:rsid w:val="00724800"/>
    <w:rsid w:val="007250D8"/>
    <w:rsid w:val="007254A7"/>
    <w:rsid w:val="007256AF"/>
    <w:rsid w:val="00725B8A"/>
    <w:rsid w:val="0072655E"/>
    <w:rsid w:val="00735982"/>
    <w:rsid w:val="00741675"/>
    <w:rsid w:val="00741988"/>
    <w:rsid w:val="00741F20"/>
    <w:rsid w:val="00750D91"/>
    <w:rsid w:val="00752F97"/>
    <w:rsid w:val="007565A0"/>
    <w:rsid w:val="00757E2F"/>
    <w:rsid w:val="00761991"/>
    <w:rsid w:val="00761A8D"/>
    <w:rsid w:val="00763F36"/>
    <w:rsid w:val="007655CC"/>
    <w:rsid w:val="0076732A"/>
    <w:rsid w:val="007770E1"/>
    <w:rsid w:val="0078012F"/>
    <w:rsid w:val="007822E4"/>
    <w:rsid w:val="007832A5"/>
    <w:rsid w:val="00785DEE"/>
    <w:rsid w:val="00787289"/>
    <w:rsid w:val="007915FC"/>
    <w:rsid w:val="00792503"/>
    <w:rsid w:val="007959FE"/>
    <w:rsid w:val="007A1C2D"/>
    <w:rsid w:val="007A2678"/>
    <w:rsid w:val="007A306D"/>
    <w:rsid w:val="007A3CA3"/>
    <w:rsid w:val="007A4017"/>
    <w:rsid w:val="007A4595"/>
    <w:rsid w:val="007A5E0F"/>
    <w:rsid w:val="007A689A"/>
    <w:rsid w:val="007B6E52"/>
    <w:rsid w:val="007C0042"/>
    <w:rsid w:val="007C2255"/>
    <w:rsid w:val="007C6A2F"/>
    <w:rsid w:val="007D0382"/>
    <w:rsid w:val="007D073F"/>
    <w:rsid w:val="007D13C5"/>
    <w:rsid w:val="007E1E5A"/>
    <w:rsid w:val="007E67C6"/>
    <w:rsid w:val="007E7B02"/>
    <w:rsid w:val="007F0491"/>
    <w:rsid w:val="007F05CD"/>
    <w:rsid w:val="007F0821"/>
    <w:rsid w:val="007F0C34"/>
    <w:rsid w:val="007F3B21"/>
    <w:rsid w:val="007F40BC"/>
    <w:rsid w:val="007F5F7A"/>
    <w:rsid w:val="007F70E3"/>
    <w:rsid w:val="007F7690"/>
    <w:rsid w:val="00800B89"/>
    <w:rsid w:val="00800EB2"/>
    <w:rsid w:val="008015C8"/>
    <w:rsid w:val="00802E76"/>
    <w:rsid w:val="00803613"/>
    <w:rsid w:val="008047DD"/>
    <w:rsid w:val="008068BF"/>
    <w:rsid w:val="008075A1"/>
    <w:rsid w:val="00811D33"/>
    <w:rsid w:val="0081224E"/>
    <w:rsid w:val="008125BF"/>
    <w:rsid w:val="00814F8E"/>
    <w:rsid w:val="008153C8"/>
    <w:rsid w:val="00816B86"/>
    <w:rsid w:val="00816C63"/>
    <w:rsid w:val="00816E57"/>
    <w:rsid w:val="008175BC"/>
    <w:rsid w:val="0082091B"/>
    <w:rsid w:val="00821ED6"/>
    <w:rsid w:val="00822157"/>
    <w:rsid w:val="00822BE1"/>
    <w:rsid w:val="00824E63"/>
    <w:rsid w:val="00830768"/>
    <w:rsid w:val="00836135"/>
    <w:rsid w:val="00836A84"/>
    <w:rsid w:val="00841ECF"/>
    <w:rsid w:val="008426F5"/>
    <w:rsid w:val="00842B0D"/>
    <w:rsid w:val="00845061"/>
    <w:rsid w:val="00845CCF"/>
    <w:rsid w:val="008521CF"/>
    <w:rsid w:val="008547DD"/>
    <w:rsid w:val="008618DE"/>
    <w:rsid w:val="00867812"/>
    <w:rsid w:val="0087014C"/>
    <w:rsid w:val="00870532"/>
    <w:rsid w:val="008709C7"/>
    <w:rsid w:val="00872EE1"/>
    <w:rsid w:val="00874EEE"/>
    <w:rsid w:val="00876515"/>
    <w:rsid w:val="00881253"/>
    <w:rsid w:val="00881957"/>
    <w:rsid w:val="00881C67"/>
    <w:rsid w:val="00882CBD"/>
    <w:rsid w:val="00884145"/>
    <w:rsid w:val="00885429"/>
    <w:rsid w:val="008857E4"/>
    <w:rsid w:val="00887EA3"/>
    <w:rsid w:val="00891C79"/>
    <w:rsid w:val="00894A0F"/>
    <w:rsid w:val="00897584"/>
    <w:rsid w:val="008A0D9A"/>
    <w:rsid w:val="008A1E96"/>
    <w:rsid w:val="008A479D"/>
    <w:rsid w:val="008A5D26"/>
    <w:rsid w:val="008A6DF0"/>
    <w:rsid w:val="008A7ADD"/>
    <w:rsid w:val="008B2589"/>
    <w:rsid w:val="008B5CCD"/>
    <w:rsid w:val="008B7CFA"/>
    <w:rsid w:val="008C202F"/>
    <w:rsid w:val="008C6A1D"/>
    <w:rsid w:val="008C7FA7"/>
    <w:rsid w:val="008D26FD"/>
    <w:rsid w:val="008E0F51"/>
    <w:rsid w:val="008E201F"/>
    <w:rsid w:val="008E2354"/>
    <w:rsid w:val="008E6665"/>
    <w:rsid w:val="008F2A60"/>
    <w:rsid w:val="008F2D27"/>
    <w:rsid w:val="008F48A9"/>
    <w:rsid w:val="008F4E47"/>
    <w:rsid w:val="008F6AD2"/>
    <w:rsid w:val="00900232"/>
    <w:rsid w:val="00903F68"/>
    <w:rsid w:val="009068E4"/>
    <w:rsid w:val="00910B9F"/>
    <w:rsid w:val="00911874"/>
    <w:rsid w:val="00912698"/>
    <w:rsid w:val="00913DCA"/>
    <w:rsid w:val="00915472"/>
    <w:rsid w:val="00915BA5"/>
    <w:rsid w:val="0091722F"/>
    <w:rsid w:val="00917DB2"/>
    <w:rsid w:val="00920088"/>
    <w:rsid w:val="00925D54"/>
    <w:rsid w:val="00926C66"/>
    <w:rsid w:val="00930433"/>
    <w:rsid w:val="0093114B"/>
    <w:rsid w:val="00932302"/>
    <w:rsid w:val="00932388"/>
    <w:rsid w:val="009361E9"/>
    <w:rsid w:val="0093728B"/>
    <w:rsid w:val="009378FA"/>
    <w:rsid w:val="009405EE"/>
    <w:rsid w:val="00940BF3"/>
    <w:rsid w:val="009415DD"/>
    <w:rsid w:val="00941FC7"/>
    <w:rsid w:val="00943B45"/>
    <w:rsid w:val="00944094"/>
    <w:rsid w:val="0094659F"/>
    <w:rsid w:val="00946AA1"/>
    <w:rsid w:val="00947B5F"/>
    <w:rsid w:val="00950AA6"/>
    <w:rsid w:val="00950BEC"/>
    <w:rsid w:val="00955947"/>
    <w:rsid w:val="009563B7"/>
    <w:rsid w:val="009568B3"/>
    <w:rsid w:val="00960748"/>
    <w:rsid w:val="0096141D"/>
    <w:rsid w:val="00962330"/>
    <w:rsid w:val="00962DC0"/>
    <w:rsid w:val="009630E3"/>
    <w:rsid w:val="009648D4"/>
    <w:rsid w:val="00966C6F"/>
    <w:rsid w:val="00970E22"/>
    <w:rsid w:val="00971350"/>
    <w:rsid w:val="00973488"/>
    <w:rsid w:val="00973A20"/>
    <w:rsid w:val="00974E19"/>
    <w:rsid w:val="00975900"/>
    <w:rsid w:val="00976C67"/>
    <w:rsid w:val="00980285"/>
    <w:rsid w:val="00982081"/>
    <w:rsid w:val="00983653"/>
    <w:rsid w:val="00983B69"/>
    <w:rsid w:val="0099013C"/>
    <w:rsid w:val="009903CC"/>
    <w:rsid w:val="00990F25"/>
    <w:rsid w:val="0099108D"/>
    <w:rsid w:val="0099383F"/>
    <w:rsid w:val="00993ED8"/>
    <w:rsid w:val="00994615"/>
    <w:rsid w:val="00996FDD"/>
    <w:rsid w:val="009973AC"/>
    <w:rsid w:val="009A0040"/>
    <w:rsid w:val="009A1855"/>
    <w:rsid w:val="009A440B"/>
    <w:rsid w:val="009A643B"/>
    <w:rsid w:val="009B0457"/>
    <w:rsid w:val="009B129F"/>
    <w:rsid w:val="009B2ED0"/>
    <w:rsid w:val="009B313A"/>
    <w:rsid w:val="009B7244"/>
    <w:rsid w:val="009C2D22"/>
    <w:rsid w:val="009C2F4F"/>
    <w:rsid w:val="009C61DD"/>
    <w:rsid w:val="009D0E16"/>
    <w:rsid w:val="009D4714"/>
    <w:rsid w:val="009D5FC3"/>
    <w:rsid w:val="009E074C"/>
    <w:rsid w:val="009E08AF"/>
    <w:rsid w:val="009E6C37"/>
    <w:rsid w:val="009E721B"/>
    <w:rsid w:val="009F036E"/>
    <w:rsid w:val="009F2A0E"/>
    <w:rsid w:val="009F44C7"/>
    <w:rsid w:val="009F47C0"/>
    <w:rsid w:val="009F6C12"/>
    <w:rsid w:val="00A000A8"/>
    <w:rsid w:val="00A0569B"/>
    <w:rsid w:val="00A06F82"/>
    <w:rsid w:val="00A10D7D"/>
    <w:rsid w:val="00A11F1F"/>
    <w:rsid w:val="00A12039"/>
    <w:rsid w:val="00A162CD"/>
    <w:rsid w:val="00A3518B"/>
    <w:rsid w:val="00A35BFF"/>
    <w:rsid w:val="00A36E7D"/>
    <w:rsid w:val="00A41201"/>
    <w:rsid w:val="00A42501"/>
    <w:rsid w:val="00A44C99"/>
    <w:rsid w:val="00A44D36"/>
    <w:rsid w:val="00A450CC"/>
    <w:rsid w:val="00A45189"/>
    <w:rsid w:val="00A47D62"/>
    <w:rsid w:val="00A50B5F"/>
    <w:rsid w:val="00A50E94"/>
    <w:rsid w:val="00A5288B"/>
    <w:rsid w:val="00A530E9"/>
    <w:rsid w:val="00A544C5"/>
    <w:rsid w:val="00A55D10"/>
    <w:rsid w:val="00A574CE"/>
    <w:rsid w:val="00A60EB6"/>
    <w:rsid w:val="00A6140A"/>
    <w:rsid w:val="00A659EF"/>
    <w:rsid w:val="00A6706E"/>
    <w:rsid w:val="00A7295D"/>
    <w:rsid w:val="00A74665"/>
    <w:rsid w:val="00A74709"/>
    <w:rsid w:val="00A751F3"/>
    <w:rsid w:val="00A82554"/>
    <w:rsid w:val="00A83061"/>
    <w:rsid w:val="00A84EF2"/>
    <w:rsid w:val="00A9026D"/>
    <w:rsid w:val="00A92627"/>
    <w:rsid w:val="00A96CDE"/>
    <w:rsid w:val="00AA4797"/>
    <w:rsid w:val="00AA7C5E"/>
    <w:rsid w:val="00AB2DAE"/>
    <w:rsid w:val="00AB6970"/>
    <w:rsid w:val="00AC266D"/>
    <w:rsid w:val="00AC55FF"/>
    <w:rsid w:val="00AC5997"/>
    <w:rsid w:val="00AD0112"/>
    <w:rsid w:val="00AD080B"/>
    <w:rsid w:val="00AD0B41"/>
    <w:rsid w:val="00AD412C"/>
    <w:rsid w:val="00AE0437"/>
    <w:rsid w:val="00AE2057"/>
    <w:rsid w:val="00AE249D"/>
    <w:rsid w:val="00AE3B38"/>
    <w:rsid w:val="00AE4546"/>
    <w:rsid w:val="00AE5C97"/>
    <w:rsid w:val="00AF02D3"/>
    <w:rsid w:val="00AF2581"/>
    <w:rsid w:val="00AF25DE"/>
    <w:rsid w:val="00AF2DFC"/>
    <w:rsid w:val="00AF3D9A"/>
    <w:rsid w:val="00AF41BA"/>
    <w:rsid w:val="00AF7AB1"/>
    <w:rsid w:val="00B00B5E"/>
    <w:rsid w:val="00B0262B"/>
    <w:rsid w:val="00B0505B"/>
    <w:rsid w:val="00B050E8"/>
    <w:rsid w:val="00B06D82"/>
    <w:rsid w:val="00B12747"/>
    <w:rsid w:val="00B1305A"/>
    <w:rsid w:val="00B16975"/>
    <w:rsid w:val="00B24EB5"/>
    <w:rsid w:val="00B255C4"/>
    <w:rsid w:val="00B25614"/>
    <w:rsid w:val="00B272E2"/>
    <w:rsid w:val="00B27AC1"/>
    <w:rsid w:val="00B27E70"/>
    <w:rsid w:val="00B30FC6"/>
    <w:rsid w:val="00B35786"/>
    <w:rsid w:val="00B35CD3"/>
    <w:rsid w:val="00B41A64"/>
    <w:rsid w:val="00B42771"/>
    <w:rsid w:val="00B4457E"/>
    <w:rsid w:val="00B45DF6"/>
    <w:rsid w:val="00B4675F"/>
    <w:rsid w:val="00B4755E"/>
    <w:rsid w:val="00B510CB"/>
    <w:rsid w:val="00B57776"/>
    <w:rsid w:val="00B60D9C"/>
    <w:rsid w:val="00B612CF"/>
    <w:rsid w:val="00B62688"/>
    <w:rsid w:val="00B640AD"/>
    <w:rsid w:val="00B71883"/>
    <w:rsid w:val="00B71CB3"/>
    <w:rsid w:val="00B76CF9"/>
    <w:rsid w:val="00B8364A"/>
    <w:rsid w:val="00B858E8"/>
    <w:rsid w:val="00B91EE4"/>
    <w:rsid w:val="00B93C0C"/>
    <w:rsid w:val="00B951F8"/>
    <w:rsid w:val="00B95F16"/>
    <w:rsid w:val="00B95F1D"/>
    <w:rsid w:val="00B9718C"/>
    <w:rsid w:val="00BA45AB"/>
    <w:rsid w:val="00BA4E8C"/>
    <w:rsid w:val="00BA5AE7"/>
    <w:rsid w:val="00BA6963"/>
    <w:rsid w:val="00BB0AA1"/>
    <w:rsid w:val="00BB1406"/>
    <w:rsid w:val="00BB564B"/>
    <w:rsid w:val="00BB5A25"/>
    <w:rsid w:val="00BB5B98"/>
    <w:rsid w:val="00BB7469"/>
    <w:rsid w:val="00BC03DA"/>
    <w:rsid w:val="00BC569A"/>
    <w:rsid w:val="00BC6623"/>
    <w:rsid w:val="00BC6FA4"/>
    <w:rsid w:val="00BC77DE"/>
    <w:rsid w:val="00BC794F"/>
    <w:rsid w:val="00BD2378"/>
    <w:rsid w:val="00BD3A3D"/>
    <w:rsid w:val="00BD4611"/>
    <w:rsid w:val="00BD7368"/>
    <w:rsid w:val="00BE1A34"/>
    <w:rsid w:val="00BE3820"/>
    <w:rsid w:val="00BF0104"/>
    <w:rsid w:val="00BF1038"/>
    <w:rsid w:val="00BF3E9A"/>
    <w:rsid w:val="00C01014"/>
    <w:rsid w:val="00C05674"/>
    <w:rsid w:val="00C06FD1"/>
    <w:rsid w:val="00C07C75"/>
    <w:rsid w:val="00C123D1"/>
    <w:rsid w:val="00C232D5"/>
    <w:rsid w:val="00C2358A"/>
    <w:rsid w:val="00C25F04"/>
    <w:rsid w:val="00C27F9A"/>
    <w:rsid w:val="00C308FD"/>
    <w:rsid w:val="00C338C1"/>
    <w:rsid w:val="00C356BD"/>
    <w:rsid w:val="00C378F3"/>
    <w:rsid w:val="00C40F22"/>
    <w:rsid w:val="00C42339"/>
    <w:rsid w:val="00C42A4E"/>
    <w:rsid w:val="00C45D68"/>
    <w:rsid w:val="00C463C9"/>
    <w:rsid w:val="00C46AC5"/>
    <w:rsid w:val="00C516D3"/>
    <w:rsid w:val="00C569B1"/>
    <w:rsid w:val="00C620AE"/>
    <w:rsid w:val="00C65DF3"/>
    <w:rsid w:val="00C67014"/>
    <w:rsid w:val="00C67A00"/>
    <w:rsid w:val="00C7174F"/>
    <w:rsid w:val="00C71F1D"/>
    <w:rsid w:val="00C762D9"/>
    <w:rsid w:val="00C7740D"/>
    <w:rsid w:val="00C77ED5"/>
    <w:rsid w:val="00C807ED"/>
    <w:rsid w:val="00C8131B"/>
    <w:rsid w:val="00C8163F"/>
    <w:rsid w:val="00C83FA3"/>
    <w:rsid w:val="00C8484E"/>
    <w:rsid w:val="00C900C7"/>
    <w:rsid w:val="00C91BDE"/>
    <w:rsid w:val="00C929B6"/>
    <w:rsid w:val="00C961C5"/>
    <w:rsid w:val="00C96AE3"/>
    <w:rsid w:val="00C9723A"/>
    <w:rsid w:val="00CA0B4D"/>
    <w:rsid w:val="00CA5888"/>
    <w:rsid w:val="00CA6B2D"/>
    <w:rsid w:val="00CB0E5F"/>
    <w:rsid w:val="00CB2B18"/>
    <w:rsid w:val="00CB56EF"/>
    <w:rsid w:val="00CB5D8B"/>
    <w:rsid w:val="00CB6343"/>
    <w:rsid w:val="00CB7051"/>
    <w:rsid w:val="00CC0BF5"/>
    <w:rsid w:val="00CC1C32"/>
    <w:rsid w:val="00CC1D95"/>
    <w:rsid w:val="00CC1E74"/>
    <w:rsid w:val="00CC33DF"/>
    <w:rsid w:val="00CC35CC"/>
    <w:rsid w:val="00CC5FE8"/>
    <w:rsid w:val="00CC6623"/>
    <w:rsid w:val="00CC6B63"/>
    <w:rsid w:val="00CD01D5"/>
    <w:rsid w:val="00CD2D39"/>
    <w:rsid w:val="00CD35D2"/>
    <w:rsid w:val="00CD40EE"/>
    <w:rsid w:val="00CD484A"/>
    <w:rsid w:val="00CD5132"/>
    <w:rsid w:val="00CE0C19"/>
    <w:rsid w:val="00CE2A68"/>
    <w:rsid w:val="00CE3736"/>
    <w:rsid w:val="00CE5FA2"/>
    <w:rsid w:val="00CE7032"/>
    <w:rsid w:val="00CF0FCD"/>
    <w:rsid w:val="00CF35C9"/>
    <w:rsid w:val="00CF57BE"/>
    <w:rsid w:val="00CF5805"/>
    <w:rsid w:val="00CF74AE"/>
    <w:rsid w:val="00D01616"/>
    <w:rsid w:val="00D035B7"/>
    <w:rsid w:val="00D0361E"/>
    <w:rsid w:val="00D036FD"/>
    <w:rsid w:val="00D04814"/>
    <w:rsid w:val="00D04ED8"/>
    <w:rsid w:val="00D05123"/>
    <w:rsid w:val="00D12969"/>
    <w:rsid w:val="00D12E11"/>
    <w:rsid w:val="00D13102"/>
    <w:rsid w:val="00D1446E"/>
    <w:rsid w:val="00D144AC"/>
    <w:rsid w:val="00D14745"/>
    <w:rsid w:val="00D22E12"/>
    <w:rsid w:val="00D26A58"/>
    <w:rsid w:val="00D27A6C"/>
    <w:rsid w:val="00D31208"/>
    <w:rsid w:val="00D35BA3"/>
    <w:rsid w:val="00D3653C"/>
    <w:rsid w:val="00D40ACB"/>
    <w:rsid w:val="00D415A6"/>
    <w:rsid w:val="00D41B08"/>
    <w:rsid w:val="00D4375B"/>
    <w:rsid w:val="00D4487B"/>
    <w:rsid w:val="00D4579D"/>
    <w:rsid w:val="00D50D83"/>
    <w:rsid w:val="00D51922"/>
    <w:rsid w:val="00D520B7"/>
    <w:rsid w:val="00D5545C"/>
    <w:rsid w:val="00D56B62"/>
    <w:rsid w:val="00D6084F"/>
    <w:rsid w:val="00D612CE"/>
    <w:rsid w:val="00D6201B"/>
    <w:rsid w:val="00D63514"/>
    <w:rsid w:val="00D63964"/>
    <w:rsid w:val="00D64DB3"/>
    <w:rsid w:val="00D72348"/>
    <w:rsid w:val="00D73409"/>
    <w:rsid w:val="00D74527"/>
    <w:rsid w:val="00D775A9"/>
    <w:rsid w:val="00D80008"/>
    <w:rsid w:val="00D813F3"/>
    <w:rsid w:val="00D8244E"/>
    <w:rsid w:val="00D84F49"/>
    <w:rsid w:val="00D860CA"/>
    <w:rsid w:val="00D87D3B"/>
    <w:rsid w:val="00D94B3B"/>
    <w:rsid w:val="00D9534A"/>
    <w:rsid w:val="00D96174"/>
    <w:rsid w:val="00D97ACF"/>
    <w:rsid w:val="00DA0746"/>
    <w:rsid w:val="00DA33FF"/>
    <w:rsid w:val="00DA41D4"/>
    <w:rsid w:val="00DA5536"/>
    <w:rsid w:val="00DA68CB"/>
    <w:rsid w:val="00DA7801"/>
    <w:rsid w:val="00DB0879"/>
    <w:rsid w:val="00DB1D68"/>
    <w:rsid w:val="00DB4D4B"/>
    <w:rsid w:val="00DB519E"/>
    <w:rsid w:val="00DB75CB"/>
    <w:rsid w:val="00DC04F3"/>
    <w:rsid w:val="00DC14CB"/>
    <w:rsid w:val="00DC25D2"/>
    <w:rsid w:val="00DC2FF4"/>
    <w:rsid w:val="00DC3610"/>
    <w:rsid w:val="00DC6572"/>
    <w:rsid w:val="00DD0D75"/>
    <w:rsid w:val="00DD15E1"/>
    <w:rsid w:val="00DD4EEC"/>
    <w:rsid w:val="00DD5A65"/>
    <w:rsid w:val="00DD6275"/>
    <w:rsid w:val="00DE0B39"/>
    <w:rsid w:val="00DE5AC6"/>
    <w:rsid w:val="00DE67CA"/>
    <w:rsid w:val="00DE689D"/>
    <w:rsid w:val="00DF0269"/>
    <w:rsid w:val="00DF1825"/>
    <w:rsid w:val="00DF26D8"/>
    <w:rsid w:val="00DF2C94"/>
    <w:rsid w:val="00DF3EC4"/>
    <w:rsid w:val="00E011F5"/>
    <w:rsid w:val="00E0225B"/>
    <w:rsid w:val="00E059CA"/>
    <w:rsid w:val="00E108C3"/>
    <w:rsid w:val="00E1356B"/>
    <w:rsid w:val="00E1412F"/>
    <w:rsid w:val="00E14665"/>
    <w:rsid w:val="00E15E77"/>
    <w:rsid w:val="00E17A06"/>
    <w:rsid w:val="00E27651"/>
    <w:rsid w:val="00E3075F"/>
    <w:rsid w:val="00E31FC3"/>
    <w:rsid w:val="00E332C4"/>
    <w:rsid w:val="00E337F2"/>
    <w:rsid w:val="00E342BF"/>
    <w:rsid w:val="00E346F7"/>
    <w:rsid w:val="00E3714C"/>
    <w:rsid w:val="00E40426"/>
    <w:rsid w:val="00E405D4"/>
    <w:rsid w:val="00E41578"/>
    <w:rsid w:val="00E42428"/>
    <w:rsid w:val="00E43E12"/>
    <w:rsid w:val="00E46D1B"/>
    <w:rsid w:val="00E47B1C"/>
    <w:rsid w:val="00E50A72"/>
    <w:rsid w:val="00E53610"/>
    <w:rsid w:val="00E546EF"/>
    <w:rsid w:val="00E5706C"/>
    <w:rsid w:val="00E57873"/>
    <w:rsid w:val="00E61E65"/>
    <w:rsid w:val="00E637D5"/>
    <w:rsid w:val="00E63E00"/>
    <w:rsid w:val="00E64C1D"/>
    <w:rsid w:val="00E6643B"/>
    <w:rsid w:val="00E665C1"/>
    <w:rsid w:val="00E726E8"/>
    <w:rsid w:val="00E8041D"/>
    <w:rsid w:val="00E80A88"/>
    <w:rsid w:val="00E818A4"/>
    <w:rsid w:val="00E81E26"/>
    <w:rsid w:val="00E83F55"/>
    <w:rsid w:val="00E843BD"/>
    <w:rsid w:val="00E90E66"/>
    <w:rsid w:val="00E91E6D"/>
    <w:rsid w:val="00E92C28"/>
    <w:rsid w:val="00E96E68"/>
    <w:rsid w:val="00EA1CD4"/>
    <w:rsid w:val="00EA210F"/>
    <w:rsid w:val="00EA3058"/>
    <w:rsid w:val="00EA325D"/>
    <w:rsid w:val="00EA3EE9"/>
    <w:rsid w:val="00EA4DED"/>
    <w:rsid w:val="00EA5535"/>
    <w:rsid w:val="00EA6D57"/>
    <w:rsid w:val="00EA7572"/>
    <w:rsid w:val="00EA79FF"/>
    <w:rsid w:val="00EA7FAC"/>
    <w:rsid w:val="00EA7FEE"/>
    <w:rsid w:val="00EB2504"/>
    <w:rsid w:val="00EB2C72"/>
    <w:rsid w:val="00EB79F3"/>
    <w:rsid w:val="00EC0C97"/>
    <w:rsid w:val="00EC3C63"/>
    <w:rsid w:val="00EC454F"/>
    <w:rsid w:val="00EC7F22"/>
    <w:rsid w:val="00ED1798"/>
    <w:rsid w:val="00ED1DD1"/>
    <w:rsid w:val="00ED7017"/>
    <w:rsid w:val="00EE20C7"/>
    <w:rsid w:val="00EE25BF"/>
    <w:rsid w:val="00EE74B8"/>
    <w:rsid w:val="00EE7B52"/>
    <w:rsid w:val="00EF4285"/>
    <w:rsid w:val="00EF6839"/>
    <w:rsid w:val="00EF7313"/>
    <w:rsid w:val="00F02E91"/>
    <w:rsid w:val="00F10F56"/>
    <w:rsid w:val="00F110ED"/>
    <w:rsid w:val="00F12944"/>
    <w:rsid w:val="00F12C64"/>
    <w:rsid w:val="00F13EBC"/>
    <w:rsid w:val="00F14805"/>
    <w:rsid w:val="00F14DB0"/>
    <w:rsid w:val="00F162DD"/>
    <w:rsid w:val="00F2034F"/>
    <w:rsid w:val="00F2097C"/>
    <w:rsid w:val="00F21012"/>
    <w:rsid w:val="00F24227"/>
    <w:rsid w:val="00F256BF"/>
    <w:rsid w:val="00F25984"/>
    <w:rsid w:val="00F25C07"/>
    <w:rsid w:val="00F25D7E"/>
    <w:rsid w:val="00F26890"/>
    <w:rsid w:val="00F27454"/>
    <w:rsid w:val="00F307D1"/>
    <w:rsid w:val="00F3308B"/>
    <w:rsid w:val="00F417F3"/>
    <w:rsid w:val="00F43544"/>
    <w:rsid w:val="00F43C8C"/>
    <w:rsid w:val="00F44CFD"/>
    <w:rsid w:val="00F53743"/>
    <w:rsid w:val="00F5394B"/>
    <w:rsid w:val="00F56207"/>
    <w:rsid w:val="00F56667"/>
    <w:rsid w:val="00F60991"/>
    <w:rsid w:val="00F61B59"/>
    <w:rsid w:val="00F61E43"/>
    <w:rsid w:val="00F62DD0"/>
    <w:rsid w:val="00F64EEA"/>
    <w:rsid w:val="00F66323"/>
    <w:rsid w:val="00F715D4"/>
    <w:rsid w:val="00F72CC8"/>
    <w:rsid w:val="00F73FEF"/>
    <w:rsid w:val="00F74EEA"/>
    <w:rsid w:val="00F752AE"/>
    <w:rsid w:val="00F76620"/>
    <w:rsid w:val="00F833FC"/>
    <w:rsid w:val="00F84CDE"/>
    <w:rsid w:val="00F877A9"/>
    <w:rsid w:val="00F916DC"/>
    <w:rsid w:val="00F918D3"/>
    <w:rsid w:val="00F928EE"/>
    <w:rsid w:val="00F93717"/>
    <w:rsid w:val="00F966A6"/>
    <w:rsid w:val="00FA2777"/>
    <w:rsid w:val="00FA39DA"/>
    <w:rsid w:val="00FA6744"/>
    <w:rsid w:val="00FB509F"/>
    <w:rsid w:val="00FB6BD7"/>
    <w:rsid w:val="00FB7A90"/>
    <w:rsid w:val="00FC20C7"/>
    <w:rsid w:val="00FC2B3C"/>
    <w:rsid w:val="00FC4FA7"/>
    <w:rsid w:val="00FD0793"/>
    <w:rsid w:val="00FD26D5"/>
    <w:rsid w:val="00FD2C02"/>
    <w:rsid w:val="00FD3874"/>
    <w:rsid w:val="00FD4B57"/>
    <w:rsid w:val="00FD7088"/>
    <w:rsid w:val="00FD75B4"/>
    <w:rsid w:val="00FE16CE"/>
    <w:rsid w:val="00FE4373"/>
    <w:rsid w:val="00FE683F"/>
    <w:rsid w:val="00FE72F5"/>
    <w:rsid w:val="00FF16C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3909"/>
  <w15:docId w15:val="{19CF2AC3-6E4C-4E00-ACD1-CFDEA702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67"/>
  </w:style>
  <w:style w:type="paragraph" w:styleId="Heading1">
    <w:name w:val="heading 1"/>
    <w:basedOn w:val="Normal"/>
    <w:next w:val="Normal"/>
    <w:link w:val="Heading1Char"/>
    <w:rsid w:val="00C338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C338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0910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4334DB"/>
    <w:rPr>
      <w:rFonts w:ascii="Lucida Grande" w:hAnsi="Lucida Grande"/>
      <w:sz w:val="18"/>
      <w:szCs w:val="18"/>
    </w:rPr>
  </w:style>
  <w:style w:type="character" w:customStyle="1" w:styleId="BalloonTextChar">
    <w:name w:val="Balloon Text Char"/>
    <w:basedOn w:val="DefaultParagraphFont"/>
    <w:uiPriority w:val="99"/>
    <w:semiHidden/>
    <w:rsid w:val="0040296D"/>
    <w:rPr>
      <w:rFonts w:ascii="Lucida Grande" w:hAnsi="Lucida Grande"/>
      <w:sz w:val="18"/>
      <w:szCs w:val="18"/>
    </w:rPr>
  </w:style>
  <w:style w:type="character" w:customStyle="1" w:styleId="BalloonTextChar0">
    <w:name w:val="Balloon Text Char"/>
    <w:basedOn w:val="DefaultParagraphFont"/>
    <w:uiPriority w:val="99"/>
    <w:semiHidden/>
    <w:rsid w:val="004334DB"/>
    <w:rPr>
      <w:rFonts w:ascii="Lucida Grande" w:hAnsi="Lucida Grande"/>
      <w:sz w:val="18"/>
      <w:szCs w:val="18"/>
    </w:rPr>
  </w:style>
  <w:style w:type="character" w:customStyle="1" w:styleId="BalloonTextChar2">
    <w:name w:val="Balloon Text Char"/>
    <w:basedOn w:val="DefaultParagraphFont"/>
    <w:uiPriority w:val="99"/>
    <w:semiHidden/>
    <w:rsid w:val="004334DB"/>
    <w:rPr>
      <w:rFonts w:ascii="Lucida Grande" w:hAnsi="Lucida Grande"/>
      <w:sz w:val="18"/>
      <w:szCs w:val="18"/>
    </w:rPr>
  </w:style>
  <w:style w:type="character" w:customStyle="1" w:styleId="BalloonTextChar3">
    <w:name w:val="Balloon Text Char"/>
    <w:basedOn w:val="DefaultParagraphFont"/>
    <w:uiPriority w:val="99"/>
    <w:semiHidden/>
    <w:rsid w:val="004334DB"/>
    <w:rPr>
      <w:rFonts w:ascii="Lucida Grande" w:hAnsi="Lucida Grande"/>
      <w:sz w:val="18"/>
      <w:szCs w:val="18"/>
    </w:rPr>
  </w:style>
  <w:style w:type="character" w:customStyle="1" w:styleId="BalloonTextChar4">
    <w:name w:val="Balloon Text Char"/>
    <w:basedOn w:val="DefaultParagraphFont"/>
    <w:uiPriority w:val="99"/>
    <w:semiHidden/>
    <w:rsid w:val="004334DB"/>
    <w:rPr>
      <w:rFonts w:ascii="Lucida Grande" w:hAnsi="Lucida Grande"/>
      <w:sz w:val="18"/>
      <w:szCs w:val="18"/>
    </w:rPr>
  </w:style>
  <w:style w:type="character" w:customStyle="1" w:styleId="BalloonTextChar1">
    <w:name w:val="Balloon Text Char1"/>
    <w:basedOn w:val="DefaultParagraphFont"/>
    <w:link w:val="BalloonText"/>
    <w:semiHidden/>
    <w:rsid w:val="004334DB"/>
    <w:rPr>
      <w:rFonts w:ascii="Lucida Grande" w:hAnsi="Lucida Grande"/>
      <w:sz w:val="18"/>
      <w:szCs w:val="18"/>
    </w:rPr>
  </w:style>
  <w:style w:type="paragraph" w:styleId="ListParagraph">
    <w:name w:val="List Paragraph"/>
    <w:basedOn w:val="Normal"/>
    <w:uiPriority w:val="34"/>
    <w:qFormat/>
    <w:rsid w:val="001D1F43"/>
    <w:pPr>
      <w:ind w:left="720"/>
      <w:contextualSpacing/>
    </w:pPr>
  </w:style>
  <w:style w:type="paragraph" w:styleId="NormalWeb">
    <w:name w:val="Normal (Web)"/>
    <w:basedOn w:val="Normal"/>
    <w:uiPriority w:val="99"/>
    <w:rsid w:val="00F3308B"/>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7A4017"/>
  </w:style>
  <w:style w:type="character" w:customStyle="1" w:styleId="FootnoteTextChar">
    <w:name w:val="Footnote Text Char"/>
    <w:basedOn w:val="DefaultParagraphFont"/>
    <w:link w:val="FootnoteText"/>
    <w:uiPriority w:val="99"/>
    <w:rsid w:val="007A4017"/>
  </w:style>
  <w:style w:type="character" w:styleId="FootnoteReference">
    <w:name w:val="footnote reference"/>
    <w:basedOn w:val="DefaultParagraphFont"/>
    <w:uiPriority w:val="99"/>
    <w:semiHidden/>
    <w:unhideWhenUsed/>
    <w:rsid w:val="007A4017"/>
    <w:rPr>
      <w:vertAlign w:val="superscript"/>
    </w:rPr>
  </w:style>
  <w:style w:type="paragraph" w:styleId="Header">
    <w:name w:val="header"/>
    <w:basedOn w:val="Normal"/>
    <w:link w:val="HeaderChar"/>
    <w:rsid w:val="006B12AE"/>
    <w:pPr>
      <w:tabs>
        <w:tab w:val="center" w:pos="4320"/>
        <w:tab w:val="right" w:pos="8640"/>
      </w:tabs>
    </w:pPr>
  </w:style>
  <w:style w:type="character" w:customStyle="1" w:styleId="HeaderChar">
    <w:name w:val="Header Char"/>
    <w:basedOn w:val="DefaultParagraphFont"/>
    <w:link w:val="Header"/>
    <w:rsid w:val="006B12AE"/>
  </w:style>
  <w:style w:type="paragraph" w:styleId="Footer">
    <w:name w:val="footer"/>
    <w:basedOn w:val="Normal"/>
    <w:link w:val="FooterChar"/>
    <w:uiPriority w:val="99"/>
    <w:rsid w:val="006B12AE"/>
    <w:pPr>
      <w:tabs>
        <w:tab w:val="center" w:pos="4320"/>
        <w:tab w:val="right" w:pos="8640"/>
      </w:tabs>
    </w:pPr>
  </w:style>
  <w:style w:type="character" w:customStyle="1" w:styleId="FooterChar">
    <w:name w:val="Footer Char"/>
    <w:basedOn w:val="DefaultParagraphFont"/>
    <w:link w:val="Footer"/>
    <w:uiPriority w:val="99"/>
    <w:rsid w:val="006B12AE"/>
  </w:style>
  <w:style w:type="character" w:styleId="Hyperlink">
    <w:name w:val="Hyperlink"/>
    <w:basedOn w:val="DefaultParagraphFont"/>
    <w:uiPriority w:val="99"/>
    <w:rsid w:val="00401113"/>
    <w:rPr>
      <w:color w:val="0000FF" w:themeColor="hyperlink"/>
      <w:u w:val="single"/>
    </w:rPr>
  </w:style>
  <w:style w:type="table" w:styleId="TableGrid">
    <w:name w:val="Table Grid"/>
    <w:basedOn w:val="TableNormal"/>
    <w:rsid w:val="001035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C356BD"/>
    <w:rPr>
      <w:sz w:val="16"/>
      <w:szCs w:val="16"/>
    </w:rPr>
  </w:style>
  <w:style w:type="paragraph" w:styleId="CommentText">
    <w:name w:val="annotation text"/>
    <w:basedOn w:val="Normal"/>
    <w:link w:val="CommentTextChar"/>
    <w:unhideWhenUsed/>
    <w:rsid w:val="00C356BD"/>
    <w:rPr>
      <w:sz w:val="20"/>
      <w:szCs w:val="20"/>
    </w:rPr>
  </w:style>
  <w:style w:type="character" w:customStyle="1" w:styleId="CommentTextChar">
    <w:name w:val="Comment Text Char"/>
    <w:basedOn w:val="DefaultParagraphFont"/>
    <w:link w:val="CommentText"/>
    <w:rsid w:val="00C356BD"/>
    <w:rPr>
      <w:sz w:val="20"/>
      <w:szCs w:val="20"/>
    </w:rPr>
  </w:style>
  <w:style w:type="paragraph" w:styleId="CommentSubject">
    <w:name w:val="annotation subject"/>
    <w:basedOn w:val="CommentText"/>
    <w:next w:val="CommentText"/>
    <w:link w:val="CommentSubjectChar"/>
    <w:semiHidden/>
    <w:unhideWhenUsed/>
    <w:rsid w:val="00C356BD"/>
    <w:rPr>
      <w:b/>
      <w:bCs/>
    </w:rPr>
  </w:style>
  <w:style w:type="character" w:customStyle="1" w:styleId="CommentSubjectChar">
    <w:name w:val="Comment Subject Char"/>
    <w:basedOn w:val="CommentTextChar"/>
    <w:link w:val="CommentSubject"/>
    <w:semiHidden/>
    <w:rsid w:val="00C356BD"/>
    <w:rPr>
      <w:b/>
      <w:bCs/>
      <w:sz w:val="20"/>
      <w:szCs w:val="20"/>
    </w:rPr>
  </w:style>
  <w:style w:type="paragraph" w:styleId="NoSpacing">
    <w:name w:val="No Spacing"/>
    <w:link w:val="NoSpacingChar"/>
    <w:uiPriority w:val="1"/>
    <w:qFormat/>
    <w:rsid w:val="00C338C1"/>
    <w:rPr>
      <w:sz w:val="22"/>
      <w:szCs w:val="22"/>
    </w:rPr>
  </w:style>
  <w:style w:type="character" w:customStyle="1" w:styleId="NoSpacingChar">
    <w:name w:val="No Spacing Char"/>
    <w:basedOn w:val="DefaultParagraphFont"/>
    <w:link w:val="NoSpacing"/>
    <w:uiPriority w:val="1"/>
    <w:rsid w:val="00C338C1"/>
    <w:rPr>
      <w:rFonts w:eastAsiaTheme="minorEastAsia"/>
      <w:sz w:val="22"/>
      <w:szCs w:val="22"/>
    </w:rPr>
  </w:style>
  <w:style w:type="character" w:styleId="BookTitle">
    <w:name w:val="Book Title"/>
    <w:basedOn w:val="DefaultParagraphFont"/>
    <w:rsid w:val="00C338C1"/>
    <w:rPr>
      <w:b/>
      <w:bCs/>
      <w:smallCaps/>
      <w:spacing w:val="5"/>
    </w:rPr>
  </w:style>
  <w:style w:type="character" w:customStyle="1" w:styleId="Heading1Char">
    <w:name w:val="Heading 1 Char"/>
    <w:basedOn w:val="DefaultParagraphFont"/>
    <w:link w:val="Heading1"/>
    <w:rsid w:val="00C338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38C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33D2C"/>
    <w:pPr>
      <w:spacing w:line="276" w:lineRule="auto"/>
      <w:outlineLvl w:val="9"/>
    </w:pPr>
  </w:style>
  <w:style w:type="paragraph" w:styleId="TOC1">
    <w:name w:val="toc 1"/>
    <w:basedOn w:val="Normal"/>
    <w:next w:val="Normal"/>
    <w:autoRedefine/>
    <w:uiPriority w:val="39"/>
    <w:unhideWhenUsed/>
    <w:rsid w:val="00133D2C"/>
    <w:pPr>
      <w:spacing w:after="100"/>
    </w:pPr>
  </w:style>
  <w:style w:type="paragraph" w:styleId="TOC2">
    <w:name w:val="toc 2"/>
    <w:basedOn w:val="Normal"/>
    <w:next w:val="Normal"/>
    <w:autoRedefine/>
    <w:uiPriority w:val="39"/>
    <w:unhideWhenUsed/>
    <w:rsid w:val="00133D2C"/>
    <w:pPr>
      <w:spacing w:after="100"/>
      <w:ind w:left="240"/>
    </w:pPr>
  </w:style>
  <w:style w:type="character" w:customStyle="1" w:styleId="st">
    <w:name w:val="st"/>
    <w:basedOn w:val="DefaultParagraphFont"/>
    <w:rsid w:val="00915BA5"/>
  </w:style>
  <w:style w:type="character" w:styleId="Emphasis">
    <w:name w:val="Emphasis"/>
    <w:basedOn w:val="DefaultParagraphFont"/>
    <w:uiPriority w:val="20"/>
    <w:qFormat/>
    <w:rsid w:val="004E40CF"/>
    <w:rPr>
      <w:i/>
      <w:iCs/>
    </w:rPr>
  </w:style>
  <w:style w:type="paragraph" w:customStyle="1" w:styleId="desc">
    <w:name w:val="desc"/>
    <w:basedOn w:val="Normal"/>
    <w:rsid w:val="0060049B"/>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semiHidden/>
    <w:unhideWhenUsed/>
    <w:rsid w:val="002F0593"/>
  </w:style>
  <w:style w:type="paragraph" w:customStyle="1" w:styleId="Default">
    <w:name w:val="Default"/>
    <w:rsid w:val="00D12E11"/>
    <w:pPr>
      <w:widowControl w:val="0"/>
      <w:autoSpaceDE w:val="0"/>
      <w:autoSpaceDN w:val="0"/>
      <w:adjustRightInd w:val="0"/>
    </w:pPr>
    <w:rPr>
      <w:rFonts w:ascii="Calibri" w:eastAsia="Times New Roman" w:hAnsi="Calibri" w:cs="Calibri"/>
      <w:color w:val="000000"/>
      <w:lang w:eastAsia="en-US"/>
    </w:rPr>
  </w:style>
  <w:style w:type="character" w:styleId="Strong">
    <w:name w:val="Strong"/>
    <w:basedOn w:val="DefaultParagraphFont"/>
    <w:uiPriority w:val="22"/>
    <w:qFormat/>
    <w:rsid w:val="00D12E11"/>
    <w:rPr>
      <w:b/>
      <w:bCs/>
    </w:rPr>
  </w:style>
  <w:style w:type="paragraph" w:styleId="HTMLPreformatted">
    <w:name w:val="HTML Preformatted"/>
    <w:basedOn w:val="Normal"/>
    <w:link w:val="HTMLPreformattedChar"/>
    <w:uiPriority w:val="99"/>
    <w:unhideWhenUsed/>
    <w:rsid w:val="00D1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US"/>
    </w:rPr>
  </w:style>
  <w:style w:type="character" w:customStyle="1" w:styleId="HTMLPreformattedChar">
    <w:name w:val="HTML Preformatted Char"/>
    <w:basedOn w:val="DefaultParagraphFont"/>
    <w:link w:val="HTMLPreformatted"/>
    <w:uiPriority w:val="99"/>
    <w:rsid w:val="00D12E11"/>
    <w:rPr>
      <w:rFonts w:ascii="Courier New" w:eastAsia="Times New Roman" w:hAnsi="Courier New" w:cs="Courier New"/>
      <w:sz w:val="20"/>
      <w:szCs w:val="20"/>
      <w:lang w:val="en-GB" w:eastAsia="en-US"/>
    </w:rPr>
  </w:style>
  <w:style w:type="character" w:customStyle="1" w:styleId="searchmatch">
    <w:name w:val="searchmatch"/>
    <w:basedOn w:val="DefaultParagraphFont"/>
    <w:rsid w:val="00D12E11"/>
  </w:style>
  <w:style w:type="character" w:styleId="FollowedHyperlink">
    <w:name w:val="FollowedHyperlink"/>
    <w:basedOn w:val="DefaultParagraphFont"/>
    <w:uiPriority w:val="99"/>
    <w:unhideWhenUsed/>
    <w:rsid w:val="00D12E11"/>
    <w:rPr>
      <w:color w:val="800080" w:themeColor="followedHyperlink"/>
      <w:u w:val="single"/>
    </w:rPr>
  </w:style>
  <w:style w:type="character" w:customStyle="1" w:styleId="Heading4Char">
    <w:name w:val="Heading 4 Char"/>
    <w:basedOn w:val="DefaultParagraphFont"/>
    <w:link w:val="Heading4"/>
    <w:rsid w:val="000910F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627">
      <w:bodyDiv w:val="1"/>
      <w:marLeft w:val="0"/>
      <w:marRight w:val="0"/>
      <w:marTop w:val="0"/>
      <w:marBottom w:val="0"/>
      <w:divBdr>
        <w:top w:val="none" w:sz="0" w:space="0" w:color="auto"/>
        <w:left w:val="none" w:sz="0" w:space="0" w:color="auto"/>
        <w:bottom w:val="none" w:sz="0" w:space="0" w:color="auto"/>
        <w:right w:val="none" w:sz="0" w:space="0" w:color="auto"/>
      </w:divBdr>
      <w:divsChild>
        <w:div w:id="1042482703">
          <w:marLeft w:val="0"/>
          <w:marRight w:val="0"/>
          <w:marTop w:val="0"/>
          <w:marBottom w:val="0"/>
          <w:divBdr>
            <w:top w:val="none" w:sz="0" w:space="0" w:color="auto"/>
            <w:left w:val="none" w:sz="0" w:space="0" w:color="auto"/>
            <w:bottom w:val="none" w:sz="0" w:space="0" w:color="auto"/>
            <w:right w:val="none" w:sz="0" w:space="0" w:color="auto"/>
          </w:divBdr>
          <w:divsChild>
            <w:div w:id="1941140129">
              <w:marLeft w:val="0"/>
              <w:marRight w:val="0"/>
              <w:marTop w:val="0"/>
              <w:marBottom w:val="0"/>
              <w:divBdr>
                <w:top w:val="none" w:sz="0" w:space="0" w:color="auto"/>
                <w:left w:val="none" w:sz="0" w:space="0" w:color="auto"/>
                <w:bottom w:val="none" w:sz="0" w:space="0" w:color="auto"/>
                <w:right w:val="none" w:sz="0" w:space="0" w:color="auto"/>
              </w:divBdr>
              <w:divsChild>
                <w:div w:id="422071131">
                  <w:marLeft w:val="0"/>
                  <w:marRight w:val="0"/>
                  <w:marTop w:val="0"/>
                  <w:marBottom w:val="0"/>
                  <w:divBdr>
                    <w:top w:val="none" w:sz="0" w:space="0" w:color="auto"/>
                    <w:left w:val="none" w:sz="0" w:space="0" w:color="auto"/>
                    <w:bottom w:val="none" w:sz="0" w:space="0" w:color="auto"/>
                    <w:right w:val="none" w:sz="0" w:space="0" w:color="auto"/>
                  </w:divBdr>
                  <w:divsChild>
                    <w:div w:id="16777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9376">
      <w:bodyDiv w:val="1"/>
      <w:marLeft w:val="0"/>
      <w:marRight w:val="0"/>
      <w:marTop w:val="0"/>
      <w:marBottom w:val="0"/>
      <w:divBdr>
        <w:top w:val="none" w:sz="0" w:space="0" w:color="auto"/>
        <w:left w:val="none" w:sz="0" w:space="0" w:color="auto"/>
        <w:bottom w:val="none" w:sz="0" w:space="0" w:color="auto"/>
        <w:right w:val="none" w:sz="0" w:space="0" w:color="auto"/>
      </w:divBdr>
      <w:divsChild>
        <w:div w:id="1665739465">
          <w:marLeft w:val="0"/>
          <w:marRight w:val="0"/>
          <w:marTop w:val="0"/>
          <w:marBottom w:val="0"/>
          <w:divBdr>
            <w:top w:val="none" w:sz="0" w:space="0" w:color="auto"/>
            <w:left w:val="none" w:sz="0" w:space="0" w:color="auto"/>
            <w:bottom w:val="none" w:sz="0" w:space="0" w:color="auto"/>
            <w:right w:val="none" w:sz="0" w:space="0" w:color="auto"/>
          </w:divBdr>
          <w:divsChild>
            <w:div w:id="779762985">
              <w:marLeft w:val="0"/>
              <w:marRight w:val="0"/>
              <w:marTop w:val="0"/>
              <w:marBottom w:val="0"/>
              <w:divBdr>
                <w:top w:val="none" w:sz="0" w:space="0" w:color="auto"/>
                <w:left w:val="none" w:sz="0" w:space="0" w:color="auto"/>
                <w:bottom w:val="none" w:sz="0" w:space="0" w:color="auto"/>
                <w:right w:val="none" w:sz="0" w:space="0" w:color="auto"/>
              </w:divBdr>
              <w:divsChild>
                <w:div w:id="736438419">
                  <w:marLeft w:val="0"/>
                  <w:marRight w:val="0"/>
                  <w:marTop w:val="0"/>
                  <w:marBottom w:val="0"/>
                  <w:divBdr>
                    <w:top w:val="none" w:sz="0" w:space="0" w:color="auto"/>
                    <w:left w:val="none" w:sz="0" w:space="0" w:color="auto"/>
                    <w:bottom w:val="none" w:sz="0" w:space="0" w:color="auto"/>
                    <w:right w:val="none" w:sz="0" w:space="0" w:color="auto"/>
                  </w:divBdr>
                  <w:divsChild>
                    <w:div w:id="17407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9769">
      <w:bodyDiv w:val="1"/>
      <w:marLeft w:val="0"/>
      <w:marRight w:val="0"/>
      <w:marTop w:val="0"/>
      <w:marBottom w:val="0"/>
      <w:divBdr>
        <w:top w:val="none" w:sz="0" w:space="0" w:color="auto"/>
        <w:left w:val="none" w:sz="0" w:space="0" w:color="auto"/>
        <w:bottom w:val="none" w:sz="0" w:space="0" w:color="auto"/>
        <w:right w:val="none" w:sz="0" w:space="0" w:color="auto"/>
      </w:divBdr>
      <w:divsChild>
        <w:div w:id="125129424">
          <w:marLeft w:val="0"/>
          <w:marRight w:val="0"/>
          <w:marTop w:val="0"/>
          <w:marBottom w:val="0"/>
          <w:divBdr>
            <w:top w:val="none" w:sz="0" w:space="0" w:color="auto"/>
            <w:left w:val="none" w:sz="0" w:space="0" w:color="auto"/>
            <w:bottom w:val="none" w:sz="0" w:space="0" w:color="auto"/>
            <w:right w:val="none" w:sz="0" w:space="0" w:color="auto"/>
          </w:divBdr>
          <w:divsChild>
            <w:div w:id="1931305537">
              <w:marLeft w:val="0"/>
              <w:marRight w:val="0"/>
              <w:marTop w:val="0"/>
              <w:marBottom w:val="0"/>
              <w:divBdr>
                <w:top w:val="none" w:sz="0" w:space="0" w:color="auto"/>
                <w:left w:val="none" w:sz="0" w:space="0" w:color="auto"/>
                <w:bottom w:val="none" w:sz="0" w:space="0" w:color="auto"/>
                <w:right w:val="none" w:sz="0" w:space="0" w:color="auto"/>
              </w:divBdr>
              <w:divsChild>
                <w:div w:id="5181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4295">
      <w:bodyDiv w:val="1"/>
      <w:marLeft w:val="0"/>
      <w:marRight w:val="0"/>
      <w:marTop w:val="0"/>
      <w:marBottom w:val="0"/>
      <w:divBdr>
        <w:top w:val="none" w:sz="0" w:space="0" w:color="auto"/>
        <w:left w:val="none" w:sz="0" w:space="0" w:color="auto"/>
        <w:bottom w:val="none" w:sz="0" w:space="0" w:color="auto"/>
        <w:right w:val="none" w:sz="0" w:space="0" w:color="auto"/>
      </w:divBdr>
      <w:divsChild>
        <w:div w:id="1981688849">
          <w:marLeft w:val="0"/>
          <w:marRight w:val="0"/>
          <w:marTop w:val="0"/>
          <w:marBottom w:val="0"/>
          <w:divBdr>
            <w:top w:val="none" w:sz="0" w:space="0" w:color="auto"/>
            <w:left w:val="none" w:sz="0" w:space="0" w:color="auto"/>
            <w:bottom w:val="none" w:sz="0" w:space="0" w:color="auto"/>
            <w:right w:val="none" w:sz="0" w:space="0" w:color="auto"/>
          </w:divBdr>
          <w:divsChild>
            <w:div w:id="2021853071">
              <w:marLeft w:val="0"/>
              <w:marRight w:val="0"/>
              <w:marTop w:val="0"/>
              <w:marBottom w:val="0"/>
              <w:divBdr>
                <w:top w:val="none" w:sz="0" w:space="0" w:color="auto"/>
                <w:left w:val="none" w:sz="0" w:space="0" w:color="auto"/>
                <w:bottom w:val="none" w:sz="0" w:space="0" w:color="auto"/>
                <w:right w:val="none" w:sz="0" w:space="0" w:color="auto"/>
              </w:divBdr>
              <w:divsChild>
                <w:div w:id="122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3273">
      <w:bodyDiv w:val="1"/>
      <w:marLeft w:val="0"/>
      <w:marRight w:val="0"/>
      <w:marTop w:val="0"/>
      <w:marBottom w:val="0"/>
      <w:divBdr>
        <w:top w:val="none" w:sz="0" w:space="0" w:color="auto"/>
        <w:left w:val="none" w:sz="0" w:space="0" w:color="auto"/>
        <w:bottom w:val="none" w:sz="0" w:space="0" w:color="auto"/>
        <w:right w:val="none" w:sz="0" w:space="0" w:color="auto"/>
      </w:divBdr>
      <w:divsChild>
        <w:div w:id="92631335">
          <w:marLeft w:val="0"/>
          <w:marRight w:val="0"/>
          <w:marTop w:val="0"/>
          <w:marBottom w:val="0"/>
          <w:divBdr>
            <w:top w:val="none" w:sz="0" w:space="0" w:color="auto"/>
            <w:left w:val="none" w:sz="0" w:space="0" w:color="auto"/>
            <w:bottom w:val="none" w:sz="0" w:space="0" w:color="auto"/>
            <w:right w:val="none" w:sz="0" w:space="0" w:color="auto"/>
          </w:divBdr>
          <w:divsChild>
            <w:div w:id="1524368247">
              <w:marLeft w:val="0"/>
              <w:marRight w:val="0"/>
              <w:marTop w:val="0"/>
              <w:marBottom w:val="0"/>
              <w:divBdr>
                <w:top w:val="none" w:sz="0" w:space="0" w:color="auto"/>
                <w:left w:val="none" w:sz="0" w:space="0" w:color="auto"/>
                <w:bottom w:val="none" w:sz="0" w:space="0" w:color="auto"/>
                <w:right w:val="none" w:sz="0" w:space="0" w:color="auto"/>
              </w:divBdr>
              <w:divsChild>
                <w:div w:id="1966814424">
                  <w:marLeft w:val="0"/>
                  <w:marRight w:val="0"/>
                  <w:marTop w:val="0"/>
                  <w:marBottom w:val="0"/>
                  <w:divBdr>
                    <w:top w:val="none" w:sz="0" w:space="0" w:color="auto"/>
                    <w:left w:val="none" w:sz="0" w:space="0" w:color="auto"/>
                    <w:bottom w:val="none" w:sz="0" w:space="0" w:color="auto"/>
                    <w:right w:val="none" w:sz="0" w:space="0" w:color="auto"/>
                  </w:divBdr>
                  <w:divsChild>
                    <w:div w:id="946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20124">
      <w:bodyDiv w:val="1"/>
      <w:marLeft w:val="0"/>
      <w:marRight w:val="0"/>
      <w:marTop w:val="0"/>
      <w:marBottom w:val="0"/>
      <w:divBdr>
        <w:top w:val="none" w:sz="0" w:space="0" w:color="auto"/>
        <w:left w:val="none" w:sz="0" w:space="0" w:color="auto"/>
        <w:bottom w:val="none" w:sz="0" w:space="0" w:color="auto"/>
        <w:right w:val="none" w:sz="0" w:space="0" w:color="auto"/>
      </w:divBdr>
      <w:divsChild>
        <w:div w:id="1213037707">
          <w:marLeft w:val="0"/>
          <w:marRight w:val="0"/>
          <w:marTop w:val="0"/>
          <w:marBottom w:val="0"/>
          <w:divBdr>
            <w:top w:val="none" w:sz="0" w:space="0" w:color="auto"/>
            <w:left w:val="none" w:sz="0" w:space="0" w:color="auto"/>
            <w:bottom w:val="none" w:sz="0" w:space="0" w:color="auto"/>
            <w:right w:val="none" w:sz="0" w:space="0" w:color="auto"/>
          </w:divBdr>
          <w:divsChild>
            <w:div w:id="1844275142">
              <w:marLeft w:val="0"/>
              <w:marRight w:val="0"/>
              <w:marTop w:val="0"/>
              <w:marBottom w:val="0"/>
              <w:divBdr>
                <w:top w:val="none" w:sz="0" w:space="0" w:color="auto"/>
                <w:left w:val="none" w:sz="0" w:space="0" w:color="auto"/>
                <w:bottom w:val="none" w:sz="0" w:space="0" w:color="auto"/>
                <w:right w:val="none" w:sz="0" w:space="0" w:color="auto"/>
              </w:divBdr>
              <w:divsChild>
                <w:div w:id="12797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91517">
      <w:bodyDiv w:val="1"/>
      <w:marLeft w:val="0"/>
      <w:marRight w:val="0"/>
      <w:marTop w:val="0"/>
      <w:marBottom w:val="0"/>
      <w:divBdr>
        <w:top w:val="none" w:sz="0" w:space="0" w:color="auto"/>
        <w:left w:val="none" w:sz="0" w:space="0" w:color="auto"/>
        <w:bottom w:val="none" w:sz="0" w:space="0" w:color="auto"/>
        <w:right w:val="none" w:sz="0" w:space="0" w:color="auto"/>
      </w:divBdr>
      <w:divsChild>
        <w:div w:id="861553282">
          <w:marLeft w:val="0"/>
          <w:marRight w:val="0"/>
          <w:marTop w:val="0"/>
          <w:marBottom w:val="0"/>
          <w:divBdr>
            <w:top w:val="none" w:sz="0" w:space="0" w:color="auto"/>
            <w:left w:val="none" w:sz="0" w:space="0" w:color="auto"/>
            <w:bottom w:val="none" w:sz="0" w:space="0" w:color="auto"/>
            <w:right w:val="none" w:sz="0" w:space="0" w:color="auto"/>
          </w:divBdr>
          <w:divsChild>
            <w:div w:id="1646622823">
              <w:marLeft w:val="0"/>
              <w:marRight w:val="0"/>
              <w:marTop w:val="0"/>
              <w:marBottom w:val="0"/>
              <w:divBdr>
                <w:top w:val="none" w:sz="0" w:space="0" w:color="auto"/>
                <w:left w:val="none" w:sz="0" w:space="0" w:color="auto"/>
                <w:bottom w:val="none" w:sz="0" w:space="0" w:color="auto"/>
                <w:right w:val="none" w:sz="0" w:space="0" w:color="auto"/>
              </w:divBdr>
              <w:divsChild>
                <w:div w:id="1345128991">
                  <w:marLeft w:val="0"/>
                  <w:marRight w:val="0"/>
                  <w:marTop w:val="0"/>
                  <w:marBottom w:val="0"/>
                  <w:divBdr>
                    <w:top w:val="none" w:sz="0" w:space="0" w:color="auto"/>
                    <w:left w:val="none" w:sz="0" w:space="0" w:color="auto"/>
                    <w:bottom w:val="none" w:sz="0" w:space="0" w:color="auto"/>
                    <w:right w:val="none" w:sz="0" w:space="0" w:color="auto"/>
                  </w:divBdr>
                  <w:divsChild>
                    <w:div w:id="6496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9642">
      <w:bodyDiv w:val="1"/>
      <w:marLeft w:val="0"/>
      <w:marRight w:val="0"/>
      <w:marTop w:val="0"/>
      <w:marBottom w:val="0"/>
      <w:divBdr>
        <w:top w:val="none" w:sz="0" w:space="0" w:color="auto"/>
        <w:left w:val="none" w:sz="0" w:space="0" w:color="auto"/>
        <w:bottom w:val="none" w:sz="0" w:space="0" w:color="auto"/>
        <w:right w:val="none" w:sz="0" w:space="0" w:color="auto"/>
      </w:divBdr>
      <w:divsChild>
        <w:div w:id="514078244">
          <w:marLeft w:val="0"/>
          <w:marRight w:val="0"/>
          <w:marTop w:val="0"/>
          <w:marBottom w:val="0"/>
          <w:divBdr>
            <w:top w:val="none" w:sz="0" w:space="0" w:color="auto"/>
            <w:left w:val="none" w:sz="0" w:space="0" w:color="auto"/>
            <w:bottom w:val="none" w:sz="0" w:space="0" w:color="auto"/>
            <w:right w:val="none" w:sz="0" w:space="0" w:color="auto"/>
          </w:divBdr>
          <w:divsChild>
            <w:div w:id="713432937">
              <w:marLeft w:val="0"/>
              <w:marRight w:val="0"/>
              <w:marTop w:val="0"/>
              <w:marBottom w:val="0"/>
              <w:divBdr>
                <w:top w:val="none" w:sz="0" w:space="0" w:color="auto"/>
                <w:left w:val="none" w:sz="0" w:space="0" w:color="auto"/>
                <w:bottom w:val="none" w:sz="0" w:space="0" w:color="auto"/>
                <w:right w:val="none" w:sz="0" w:space="0" w:color="auto"/>
              </w:divBdr>
              <w:divsChild>
                <w:div w:id="3228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5862">
      <w:bodyDiv w:val="1"/>
      <w:marLeft w:val="0"/>
      <w:marRight w:val="0"/>
      <w:marTop w:val="0"/>
      <w:marBottom w:val="0"/>
      <w:divBdr>
        <w:top w:val="none" w:sz="0" w:space="0" w:color="auto"/>
        <w:left w:val="none" w:sz="0" w:space="0" w:color="auto"/>
        <w:bottom w:val="none" w:sz="0" w:space="0" w:color="auto"/>
        <w:right w:val="none" w:sz="0" w:space="0" w:color="auto"/>
      </w:divBdr>
      <w:divsChild>
        <w:div w:id="1178928302">
          <w:marLeft w:val="0"/>
          <w:marRight w:val="0"/>
          <w:marTop w:val="0"/>
          <w:marBottom w:val="0"/>
          <w:divBdr>
            <w:top w:val="none" w:sz="0" w:space="0" w:color="auto"/>
            <w:left w:val="none" w:sz="0" w:space="0" w:color="auto"/>
            <w:bottom w:val="none" w:sz="0" w:space="0" w:color="auto"/>
            <w:right w:val="none" w:sz="0" w:space="0" w:color="auto"/>
          </w:divBdr>
          <w:divsChild>
            <w:div w:id="1905144857">
              <w:marLeft w:val="0"/>
              <w:marRight w:val="0"/>
              <w:marTop w:val="0"/>
              <w:marBottom w:val="0"/>
              <w:divBdr>
                <w:top w:val="none" w:sz="0" w:space="0" w:color="auto"/>
                <w:left w:val="none" w:sz="0" w:space="0" w:color="auto"/>
                <w:bottom w:val="none" w:sz="0" w:space="0" w:color="auto"/>
                <w:right w:val="none" w:sz="0" w:space="0" w:color="auto"/>
              </w:divBdr>
              <w:divsChild>
                <w:div w:id="950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2856">
      <w:bodyDiv w:val="1"/>
      <w:marLeft w:val="0"/>
      <w:marRight w:val="0"/>
      <w:marTop w:val="0"/>
      <w:marBottom w:val="0"/>
      <w:divBdr>
        <w:top w:val="none" w:sz="0" w:space="0" w:color="auto"/>
        <w:left w:val="none" w:sz="0" w:space="0" w:color="auto"/>
        <w:bottom w:val="none" w:sz="0" w:space="0" w:color="auto"/>
        <w:right w:val="none" w:sz="0" w:space="0" w:color="auto"/>
      </w:divBdr>
      <w:divsChild>
        <w:div w:id="542401036">
          <w:marLeft w:val="0"/>
          <w:marRight w:val="0"/>
          <w:marTop w:val="0"/>
          <w:marBottom w:val="0"/>
          <w:divBdr>
            <w:top w:val="none" w:sz="0" w:space="0" w:color="auto"/>
            <w:left w:val="none" w:sz="0" w:space="0" w:color="auto"/>
            <w:bottom w:val="none" w:sz="0" w:space="0" w:color="auto"/>
            <w:right w:val="none" w:sz="0" w:space="0" w:color="auto"/>
          </w:divBdr>
          <w:divsChild>
            <w:div w:id="1847596828">
              <w:marLeft w:val="0"/>
              <w:marRight w:val="0"/>
              <w:marTop w:val="0"/>
              <w:marBottom w:val="0"/>
              <w:divBdr>
                <w:top w:val="none" w:sz="0" w:space="0" w:color="auto"/>
                <w:left w:val="none" w:sz="0" w:space="0" w:color="auto"/>
                <w:bottom w:val="none" w:sz="0" w:space="0" w:color="auto"/>
                <w:right w:val="none" w:sz="0" w:space="0" w:color="auto"/>
              </w:divBdr>
              <w:divsChild>
                <w:div w:id="19063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6108">
      <w:bodyDiv w:val="1"/>
      <w:marLeft w:val="0"/>
      <w:marRight w:val="0"/>
      <w:marTop w:val="0"/>
      <w:marBottom w:val="0"/>
      <w:divBdr>
        <w:top w:val="none" w:sz="0" w:space="0" w:color="auto"/>
        <w:left w:val="none" w:sz="0" w:space="0" w:color="auto"/>
        <w:bottom w:val="none" w:sz="0" w:space="0" w:color="auto"/>
        <w:right w:val="none" w:sz="0" w:space="0" w:color="auto"/>
      </w:divBdr>
      <w:divsChild>
        <w:div w:id="1703282485">
          <w:marLeft w:val="0"/>
          <w:marRight w:val="0"/>
          <w:marTop w:val="0"/>
          <w:marBottom w:val="0"/>
          <w:divBdr>
            <w:top w:val="none" w:sz="0" w:space="0" w:color="auto"/>
            <w:left w:val="none" w:sz="0" w:space="0" w:color="auto"/>
            <w:bottom w:val="none" w:sz="0" w:space="0" w:color="auto"/>
            <w:right w:val="none" w:sz="0" w:space="0" w:color="auto"/>
          </w:divBdr>
          <w:divsChild>
            <w:div w:id="1603297336">
              <w:marLeft w:val="0"/>
              <w:marRight w:val="0"/>
              <w:marTop w:val="0"/>
              <w:marBottom w:val="0"/>
              <w:divBdr>
                <w:top w:val="none" w:sz="0" w:space="0" w:color="auto"/>
                <w:left w:val="none" w:sz="0" w:space="0" w:color="auto"/>
                <w:bottom w:val="none" w:sz="0" w:space="0" w:color="auto"/>
                <w:right w:val="none" w:sz="0" w:space="0" w:color="auto"/>
              </w:divBdr>
              <w:divsChild>
                <w:div w:id="18998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8910">
      <w:bodyDiv w:val="1"/>
      <w:marLeft w:val="0"/>
      <w:marRight w:val="0"/>
      <w:marTop w:val="0"/>
      <w:marBottom w:val="0"/>
      <w:divBdr>
        <w:top w:val="none" w:sz="0" w:space="0" w:color="auto"/>
        <w:left w:val="none" w:sz="0" w:space="0" w:color="auto"/>
        <w:bottom w:val="none" w:sz="0" w:space="0" w:color="auto"/>
        <w:right w:val="none" w:sz="0" w:space="0" w:color="auto"/>
      </w:divBdr>
      <w:divsChild>
        <w:div w:id="1633487486">
          <w:marLeft w:val="0"/>
          <w:marRight w:val="0"/>
          <w:marTop w:val="0"/>
          <w:marBottom w:val="0"/>
          <w:divBdr>
            <w:top w:val="none" w:sz="0" w:space="0" w:color="auto"/>
            <w:left w:val="none" w:sz="0" w:space="0" w:color="auto"/>
            <w:bottom w:val="none" w:sz="0" w:space="0" w:color="auto"/>
            <w:right w:val="none" w:sz="0" w:space="0" w:color="auto"/>
          </w:divBdr>
          <w:divsChild>
            <w:div w:id="58752448">
              <w:marLeft w:val="0"/>
              <w:marRight w:val="0"/>
              <w:marTop w:val="0"/>
              <w:marBottom w:val="0"/>
              <w:divBdr>
                <w:top w:val="none" w:sz="0" w:space="0" w:color="auto"/>
                <w:left w:val="none" w:sz="0" w:space="0" w:color="auto"/>
                <w:bottom w:val="none" w:sz="0" w:space="0" w:color="auto"/>
                <w:right w:val="none" w:sz="0" w:space="0" w:color="auto"/>
              </w:divBdr>
              <w:divsChild>
                <w:div w:id="502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3835">
      <w:bodyDiv w:val="1"/>
      <w:marLeft w:val="0"/>
      <w:marRight w:val="0"/>
      <w:marTop w:val="0"/>
      <w:marBottom w:val="0"/>
      <w:divBdr>
        <w:top w:val="none" w:sz="0" w:space="0" w:color="auto"/>
        <w:left w:val="none" w:sz="0" w:space="0" w:color="auto"/>
        <w:bottom w:val="none" w:sz="0" w:space="0" w:color="auto"/>
        <w:right w:val="none" w:sz="0" w:space="0" w:color="auto"/>
      </w:divBdr>
      <w:divsChild>
        <w:div w:id="223834204">
          <w:marLeft w:val="0"/>
          <w:marRight w:val="0"/>
          <w:marTop w:val="0"/>
          <w:marBottom w:val="0"/>
          <w:divBdr>
            <w:top w:val="none" w:sz="0" w:space="0" w:color="auto"/>
            <w:left w:val="none" w:sz="0" w:space="0" w:color="auto"/>
            <w:bottom w:val="none" w:sz="0" w:space="0" w:color="auto"/>
            <w:right w:val="none" w:sz="0" w:space="0" w:color="auto"/>
          </w:divBdr>
          <w:divsChild>
            <w:div w:id="577785972">
              <w:marLeft w:val="0"/>
              <w:marRight w:val="0"/>
              <w:marTop w:val="0"/>
              <w:marBottom w:val="0"/>
              <w:divBdr>
                <w:top w:val="none" w:sz="0" w:space="0" w:color="auto"/>
                <w:left w:val="none" w:sz="0" w:space="0" w:color="auto"/>
                <w:bottom w:val="none" w:sz="0" w:space="0" w:color="auto"/>
                <w:right w:val="none" w:sz="0" w:space="0" w:color="auto"/>
              </w:divBdr>
              <w:divsChild>
                <w:div w:id="13148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241">
          <w:marLeft w:val="0"/>
          <w:marRight w:val="0"/>
          <w:marTop w:val="0"/>
          <w:marBottom w:val="0"/>
          <w:divBdr>
            <w:top w:val="none" w:sz="0" w:space="0" w:color="auto"/>
            <w:left w:val="none" w:sz="0" w:space="0" w:color="auto"/>
            <w:bottom w:val="none" w:sz="0" w:space="0" w:color="auto"/>
            <w:right w:val="none" w:sz="0" w:space="0" w:color="auto"/>
          </w:divBdr>
          <w:divsChild>
            <w:div w:id="604965719">
              <w:marLeft w:val="0"/>
              <w:marRight w:val="0"/>
              <w:marTop w:val="0"/>
              <w:marBottom w:val="0"/>
              <w:divBdr>
                <w:top w:val="none" w:sz="0" w:space="0" w:color="auto"/>
                <w:left w:val="none" w:sz="0" w:space="0" w:color="auto"/>
                <w:bottom w:val="none" w:sz="0" w:space="0" w:color="auto"/>
                <w:right w:val="none" w:sz="0" w:space="0" w:color="auto"/>
              </w:divBdr>
              <w:divsChild>
                <w:div w:id="2146121509">
                  <w:marLeft w:val="0"/>
                  <w:marRight w:val="0"/>
                  <w:marTop w:val="0"/>
                  <w:marBottom w:val="0"/>
                  <w:divBdr>
                    <w:top w:val="none" w:sz="0" w:space="0" w:color="auto"/>
                    <w:left w:val="none" w:sz="0" w:space="0" w:color="auto"/>
                    <w:bottom w:val="none" w:sz="0" w:space="0" w:color="auto"/>
                    <w:right w:val="none" w:sz="0" w:space="0" w:color="auto"/>
                  </w:divBdr>
                </w:div>
              </w:divsChild>
            </w:div>
            <w:div w:id="1961564725">
              <w:marLeft w:val="0"/>
              <w:marRight w:val="0"/>
              <w:marTop w:val="0"/>
              <w:marBottom w:val="0"/>
              <w:divBdr>
                <w:top w:val="none" w:sz="0" w:space="0" w:color="auto"/>
                <w:left w:val="none" w:sz="0" w:space="0" w:color="auto"/>
                <w:bottom w:val="none" w:sz="0" w:space="0" w:color="auto"/>
                <w:right w:val="none" w:sz="0" w:space="0" w:color="auto"/>
              </w:divBdr>
              <w:divsChild>
                <w:div w:id="171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5754">
      <w:bodyDiv w:val="1"/>
      <w:marLeft w:val="0"/>
      <w:marRight w:val="0"/>
      <w:marTop w:val="0"/>
      <w:marBottom w:val="0"/>
      <w:divBdr>
        <w:top w:val="none" w:sz="0" w:space="0" w:color="auto"/>
        <w:left w:val="none" w:sz="0" w:space="0" w:color="auto"/>
        <w:bottom w:val="none" w:sz="0" w:space="0" w:color="auto"/>
        <w:right w:val="none" w:sz="0" w:space="0" w:color="auto"/>
      </w:divBdr>
      <w:divsChild>
        <w:div w:id="927276986">
          <w:marLeft w:val="0"/>
          <w:marRight w:val="0"/>
          <w:marTop w:val="0"/>
          <w:marBottom w:val="0"/>
          <w:divBdr>
            <w:top w:val="none" w:sz="0" w:space="0" w:color="auto"/>
            <w:left w:val="none" w:sz="0" w:space="0" w:color="auto"/>
            <w:bottom w:val="none" w:sz="0" w:space="0" w:color="auto"/>
            <w:right w:val="none" w:sz="0" w:space="0" w:color="auto"/>
          </w:divBdr>
          <w:divsChild>
            <w:div w:id="860700875">
              <w:marLeft w:val="0"/>
              <w:marRight w:val="0"/>
              <w:marTop w:val="0"/>
              <w:marBottom w:val="0"/>
              <w:divBdr>
                <w:top w:val="none" w:sz="0" w:space="0" w:color="auto"/>
                <w:left w:val="none" w:sz="0" w:space="0" w:color="auto"/>
                <w:bottom w:val="none" w:sz="0" w:space="0" w:color="auto"/>
                <w:right w:val="none" w:sz="0" w:space="0" w:color="auto"/>
              </w:divBdr>
              <w:divsChild>
                <w:div w:id="3317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9420">
      <w:bodyDiv w:val="1"/>
      <w:marLeft w:val="0"/>
      <w:marRight w:val="0"/>
      <w:marTop w:val="0"/>
      <w:marBottom w:val="0"/>
      <w:divBdr>
        <w:top w:val="none" w:sz="0" w:space="0" w:color="auto"/>
        <w:left w:val="none" w:sz="0" w:space="0" w:color="auto"/>
        <w:bottom w:val="none" w:sz="0" w:space="0" w:color="auto"/>
        <w:right w:val="none" w:sz="0" w:space="0" w:color="auto"/>
      </w:divBdr>
      <w:divsChild>
        <w:div w:id="569192335">
          <w:marLeft w:val="0"/>
          <w:marRight w:val="0"/>
          <w:marTop w:val="0"/>
          <w:marBottom w:val="0"/>
          <w:divBdr>
            <w:top w:val="none" w:sz="0" w:space="0" w:color="auto"/>
            <w:left w:val="none" w:sz="0" w:space="0" w:color="auto"/>
            <w:bottom w:val="none" w:sz="0" w:space="0" w:color="auto"/>
            <w:right w:val="none" w:sz="0" w:space="0" w:color="auto"/>
          </w:divBdr>
          <w:divsChild>
            <w:div w:id="905916307">
              <w:marLeft w:val="0"/>
              <w:marRight w:val="0"/>
              <w:marTop w:val="0"/>
              <w:marBottom w:val="0"/>
              <w:divBdr>
                <w:top w:val="none" w:sz="0" w:space="0" w:color="auto"/>
                <w:left w:val="none" w:sz="0" w:space="0" w:color="auto"/>
                <w:bottom w:val="none" w:sz="0" w:space="0" w:color="auto"/>
                <w:right w:val="none" w:sz="0" w:space="0" w:color="auto"/>
              </w:divBdr>
              <w:divsChild>
                <w:div w:id="1033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9952">
      <w:bodyDiv w:val="1"/>
      <w:marLeft w:val="0"/>
      <w:marRight w:val="0"/>
      <w:marTop w:val="0"/>
      <w:marBottom w:val="0"/>
      <w:divBdr>
        <w:top w:val="none" w:sz="0" w:space="0" w:color="auto"/>
        <w:left w:val="none" w:sz="0" w:space="0" w:color="auto"/>
        <w:bottom w:val="none" w:sz="0" w:space="0" w:color="auto"/>
        <w:right w:val="none" w:sz="0" w:space="0" w:color="auto"/>
      </w:divBdr>
      <w:divsChild>
        <w:div w:id="662512106">
          <w:marLeft w:val="0"/>
          <w:marRight w:val="0"/>
          <w:marTop w:val="0"/>
          <w:marBottom w:val="0"/>
          <w:divBdr>
            <w:top w:val="none" w:sz="0" w:space="0" w:color="auto"/>
            <w:left w:val="none" w:sz="0" w:space="0" w:color="auto"/>
            <w:bottom w:val="none" w:sz="0" w:space="0" w:color="auto"/>
            <w:right w:val="none" w:sz="0" w:space="0" w:color="auto"/>
          </w:divBdr>
          <w:divsChild>
            <w:div w:id="1431469036">
              <w:marLeft w:val="0"/>
              <w:marRight w:val="0"/>
              <w:marTop w:val="0"/>
              <w:marBottom w:val="0"/>
              <w:divBdr>
                <w:top w:val="none" w:sz="0" w:space="0" w:color="auto"/>
                <w:left w:val="none" w:sz="0" w:space="0" w:color="auto"/>
                <w:bottom w:val="none" w:sz="0" w:space="0" w:color="auto"/>
                <w:right w:val="none" w:sz="0" w:space="0" w:color="auto"/>
              </w:divBdr>
              <w:divsChild>
                <w:div w:id="18858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6091">
      <w:bodyDiv w:val="1"/>
      <w:marLeft w:val="0"/>
      <w:marRight w:val="0"/>
      <w:marTop w:val="0"/>
      <w:marBottom w:val="0"/>
      <w:divBdr>
        <w:top w:val="none" w:sz="0" w:space="0" w:color="auto"/>
        <w:left w:val="none" w:sz="0" w:space="0" w:color="auto"/>
        <w:bottom w:val="none" w:sz="0" w:space="0" w:color="auto"/>
        <w:right w:val="none" w:sz="0" w:space="0" w:color="auto"/>
      </w:divBdr>
      <w:divsChild>
        <w:div w:id="420295675">
          <w:marLeft w:val="0"/>
          <w:marRight w:val="0"/>
          <w:marTop w:val="0"/>
          <w:marBottom w:val="0"/>
          <w:divBdr>
            <w:top w:val="none" w:sz="0" w:space="0" w:color="auto"/>
            <w:left w:val="none" w:sz="0" w:space="0" w:color="auto"/>
            <w:bottom w:val="none" w:sz="0" w:space="0" w:color="auto"/>
            <w:right w:val="none" w:sz="0" w:space="0" w:color="auto"/>
          </w:divBdr>
          <w:divsChild>
            <w:div w:id="965817819">
              <w:marLeft w:val="0"/>
              <w:marRight w:val="0"/>
              <w:marTop w:val="0"/>
              <w:marBottom w:val="0"/>
              <w:divBdr>
                <w:top w:val="none" w:sz="0" w:space="0" w:color="auto"/>
                <w:left w:val="none" w:sz="0" w:space="0" w:color="auto"/>
                <w:bottom w:val="none" w:sz="0" w:space="0" w:color="auto"/>
                <w:right w:val="none" w:sz="0" w:space="0" w:color="auto"/>
              </w:divBdr>
              <w:divsChild>
                <w:div w:id="822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1978">
      <w:bodyDiv w:val="1"/>
      <w:marLeft w:val="0"/>
      <w:marRight w:val="0"/>
      <w:marTop w:val="0"/>
      <w:marBottom w:val="0"/>
      <w:divBdr>
        <w:top w:val="none" w:sz="0" w:space="0" w:color="auto"/>
        <w:left w:val="none" w:sz="0" w:space="0" w:color="auto"/>
        <w:bottom w:val="none" w:sz="0" w:space="0" w:color="auto"/>
        <w:right w:val="none" w:sz="0" w:space="0" w:color="auto"/>
      </w:divBdr>
      <w:divsChild>
        <w:div w:id="1733041726">
          <w:marLeft w:val="0"/>
          <w:marRight w:val="0"/>
          <w:marTop w:val="0"/>
          <w:marBottom w:val="0"/>
          <w:divBdr>
            <w:top w:val="none" w:sz="0" w:space="0" w:color="auto"/>
            <w:left w:val="none" w:sz="0" w:space="0" w:color="auto"/>
            <w:bottom w:val="none" w:sz="0" w:space="0" w:color="auto"/>
            <w:right w:val="none" w:sz="0" w:space="0" w:color="auto"/>
          </w:divBdr>
          <w:divsChild>
            <w:div w:id="669018075">
              <w:marLeft w:val="0"/>
              <w:marRight w:val="0"/>
              <w:marTop w:val="0"/>
              <w:marBottom w:val="0"/>
              <w:divBdr>
                <w:top w:val="none" w:sz="0" w:space="0" w:color="auto"/>
                <w:left w:val="none" w:sz="0" w:space="0" w:color="auto"/>
                <w:bottom w:val="none" w:sz="0" w:space="0" w:color="auto"/>
                <w:right w:val="none" w:sz="0" w:space="0" w:color="auto"/>
              </w:divBdr>
              <w:divsChild>
                <w:div w:id="7584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9156">
      <w:bodyDiv w:val="1"/>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sChild>
            <w:div w:id="858619422">
              <w:marLeft w:val="0"/>
              <w:marRight w:val="0"/>
              <w:marTop w:val="0"/>
              <w:marBottom w:val="0"/>
              <w:divBdr>
                <w:top w:val="none" w:sz="0" w:space="0" w:color="auto"/>
                <w:left w:val="none" w:sz="0" w:space="0" w:color="auto"/>
                <w:bottom w:val="none" w:sz="0" w:space="0" w:color="auto"/>
                <w:right w:val="none" w:sz="0" w:space="0" w:color="auto"/>
              </w:divBdr>
              <w:divsChild>
                <w:div w:id="18783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66670">
      <w:bodyDiv w:val="1"/>
      <w:marLeft w:val="0"/>
      <w:marRight w:val="0"/>
      <w:marTop w:val="0"/>
      <w:marBottom w:val="0"/>
      <w:divBdr>
        <w:top w:val="none" w:sz="0" w:space="0" w:color="auto"/>
        <w:left w:val="none" w:sz="0" w:space="0" w:color="auto"/>
        <w:bottom w:val="none" w:sz="0" w:space="0" w:color="auto"/>
        <w:right w:val="none" w:sz="0" w:space="0" w:color="auto"/>
      </w:divBdr>
      <w:divsChild>
        <w:div w:id="753933872">
          <w:marLeft w:val="0"/>
          <w:marRight w:val="0"/>
          <w:marTop w:val="0"/>
          <w:marBottom w:val="0"/>
          <w:divBdr>
            <w:top w:val="none" w:sz="0" w:space="0" w:color="auto"/>
            <w:left w:val="none" w:sz="0" w:space="0" w:color="auto"/>
            <w:bottom w:val="none" w:sz="0" w:space="0" w:color="auto"/>
            <w:right w:val="none" w:sz="0" w:space="0" w:color="auto"/>
          </w:divBdr>
          <w:divsChild>
            <w:div w:id="1075471868">
              <w:marLeft w:val="0"/>
              <w:marRight w:val="0"/>
              <w:marTop w:val="0"/>
              <w:marBottom w:val="0"/>
              <w:divBdr>
                <w:top w:val="none" w:sz="0" w:space="0" w:color="auto"/>
                <w:left w:val="none" w:sz="0" w:space="0" w:color="auto"/>
                <w:bottom w:val="none" w:sz="0" w:space="0" w:color="auto"/>
                <w:right w:val="none" w:sz="0" w:space="0" w:color="auto"/>
              </w:divBdr>
              <w:divsChild>
                <w:div w:id="13797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544">
      <w:bodyDiv w:val="1"/>
      <w:marLeft w:val="0"/>
      <w:marRight w:val="0"/>
      <w:marTop w:val="0"/>
      <w:marBottom w:val="0"/>
      <w:divBdr>
        <w:top w:val="none" w:sz="0" w:space="0" w:color="auto"/>
        <w:left w:val="none" w:sz="0" w:space="0" w:color="auto"/>
        <w:bottom w:val="none" w:sz="0" w:space="0" w:color="auto"/>
        <w:right w:val="none" w:sz="0" w:space="0" w:color="auto"/>
      </w:divBdr>
      <w:divsChild>
        <w:div w:id="69815856">
          <w:marLeft w:val="0"/>
          <w:marRight w:val="0"/>
          <w:marTop w:val="0"/>
          <w:marBottom w:val="0"/>
          <w:divBdr>
            <w:top w:val="none" w:sz="0" w:space="0" w:color="auto"/>
            <w:left w:val="none" w:sz="0" w:space="0" w:color="auto"/>
            <w:bottom w:val="none" w:sz="0" w:space="0" w:color="auto"/>
            <w:right w:val="none" w:sz="0" w:space="0" w:color="auto"/>
          </w:divBdr>
          <w:divsChild>
            <w:div w:id="1760055235">
              <w:marLeft w:val="0"/>
              <w:marRight w:val="0"/>
              <w:marTop w:val="0"/>
              <w:marBottom w:val="0"/>
              <w:divBdr>
                <w:top w:val="none" w:sz="0" w:space="0" w:color="auto"/>
                <w:left w:val="none" w:sz="0" w:space="0" w:color="auto"/>
                <w:bottom w:val="none" w:sz="0" w:space="0" w:color="auto"/>
                <w:right w:val="none" w:sz="0" w:space="0" w:color="auto"/>
              </w:divBdr>
              <w:divsChild>
                <w:div w:id="496113204">
                  <w:marLeft w:val="0"/>
                  <w:marRight w:val="0"/>
                  <w:marTop w:val="0"/>
                  <w:marBottom w:val="0"/>
                  <w:divBdr>
                    <w:top w:val="none" w:sz="0" w:space="0" w:color="auto"/>
                    <w:left w:val="none" w:sz="0" w:space="0" w:color="auto"/>
                    <w:bottom w:val="none" w:sz="0" w:space="0" w:color="auto"/>
                    <w:right w:val="none" w:sz="0" w:space="0" w:color="auto"/>
                  </w:divBdr>
                  <w:divsChild>
                    <w:div w:id="545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0818">
      <w:bodyDiv w:val="1"/>
      <w:marLeft w:val="0"/>
      <w:marRight w:val="0"/>
      <w:marTop w:val="0"/>
      <w:marBottom w:val="0"/>
      <w:divBdr>
        <w:top w:val="none" w:sz="0" w:space="0" w:color="auto"/>
        <w:left w:val="none" w:sz="0" w:space="0" w:color="auto"/>
        <w:bottom w:val="none" w:sz="0" w:space="0" w:color="auto"/>
        <w:right w:val="none" w:sz="0" w:space="0" w:color="auto"/>
      </w:divBdr>
      <w:divsChild>
        <w:div w:id="84232872">
          <w:marLeft w:val="0"/>
          <w:marRight w:val="0"/>
          <w:marTop w:val="0"/>
          <w:marBottom w:val="0"/>
          <w:divBdr>
            <w:top w:val="none" w:sz="0" w:space="0" w:color="auto"/>
            <w:left w:val="none" w:sz="0" w:space="0" w:color="auto"/>
            <w:bottom w:val="none" w:sz="0" w:space="0" w:color="auto"/>
            <w:right w:val="none" w:sz="0" w:space="0" w:color="auto"/>
          </w:divBdr>
          <w:divsChild>
            <w:div w:id="444273228">
              <w:marLeft w:val="0"/>
              <w:marRight w:val="0"/>
              <w:marTop w:val="0"/>
              <w:marBottom w:val="0"/>
              <w:divBdr>
                <w:top w:val="none" w:sz="0" w:space="0" w:color="auto"/>
                <w:left w:val="none" w:sz="0" w:space="0" w:color="auto"/>
                <w:bottom w:val="none" w:sz="0" w:space="0" w:color="auto"/>
                <w:right w:val="none" w:sz="0" w:space="0" w:color="auto"/>
              </w:divBdr>
              <w:divsChild>
                <w:div w:id="759715653">
                  <w:marLeft w:val="0"/>
                  <w:marRight w:val="0"/>
                  <w:marTop w:val="0"/>
                  <w:marBottom w:val="0"/>
                  <w:divBdr>
                    <w:top w:val="none" w:sz="0" w:space="0" w:color="auto"/>
                    <w:left w:val="none" w:sz="0" w:space="0" w:color="auto"/>
                    <w:bottom w:val="none" w:sz="0" w:space="0" w:color="auto"/>
                    <w:right w:val="none" w:sz="0" w:space="0" w:color="auto"/>
                  </w:divBdr>
                  <w:divsChild>
                    <w:div w:id="27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6326">
      <w:bodyDiv w:val="1"/>
      <w:marLeft w:val="0"/>
      <w:marRight w:val="0"/>
      <w:marTop w:val="0"/>
      <w:marBottom w:val="0"/>
      <w:divBdr>
        <w:top w:val="none" w:sz="0" w:space="0" w:color="auto"/>
        <w:left w:val="none" w:sz="0" w:space="0" w:color="auto"/>
        <w:bottom w:val="none" w:sz="0" w:space="0" w:color="auto"/>
        <w:right w:val="none" w:sz="0" w:space="0" w:color="auto"/>
      </w:divBdr>
      <w:divsChild>
        <w:div w:id="229275664">
          <w:marLeft w:val="0"/>
          <w:marRight w:val="0"/>
          <w:marTop w:val="0"/>
          <w:marBottom w:val="0"/>
          <w:divBdr>
            <w:top w:val="none" w:sz="0" w:space="0" w:color="auto"/>
            <w:left w:val="none" w:sz="0" w:space="0" w:color="auto"/>
            <w:bottom w:val="none" w:sz="0" w:space="0" w:color="auto"/>
            <w:right w:val="none" w:sz="0" w:space="0" w:color="auto"/>
          </w:divBdr>
          <w:divsChild>
            <w:div w:id="1703703907">
              <w:marLeft w:val="0"/>
              <w:marRight w:val="0"/>
              <w:marTop w:val="0"/>
              <w:marBottom w:val="0"/>
              <w:divBdr>
                <w:top w:val="none" w:sz="0" w:space="0" w:color="auto"/>
                <w:left w:val="none" w:sz="0" w:space="0" w:color="auto"/>
                <w:bottom w:val="none" w:sz="0" w:space="0" w:color="auto"/>
                <w:right w:val="none" w:sz="0" w:space="0" w:color="auto"/>
              </w:divBdr>
              <w:divsChild>
                <w:div w:id="18953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4198">
      <w:bodyDiv w:val="1"/>
      <w:marLeft w:val="0"/>
      <w:marRight w:val="0"/>
      <w:marTop w:val="0"/>
      <w:marBottom w:val="0"/>
      <w:divBdr>
        <w:top w:val="none" w:sz="0" w:space="0" w:color="auto"/>
        <w:left w:val="none" w:sz="0" w:space="0" w:color="auto"/>
        <w:bottom w:val="none" w:sz="0" w:space="0" w:color="auto"/>
        <w:right w:val="none" w:sz="0" w:space="0" w:color="auto"/>
      </w:divBdr>
    </w:div>
    <w:div w:id="1071198216">
      <w:bodyDiv w:val="1"/>
      <w:marLeft w:val="0"/>
      <w:marRight w:val="0"/>
      <w:marTop w:val="0"/>
      <w:marBottom w:val="0"/>
      <w:divBdr>
        <w:top w:val="none" w:sz="0" w:space="0" w:color="auto"/>
        <w:left w:val="none" w:sz="0" w:space="0" w:color="auto"/>
        <w:bottom w:val="none" w:sz="0" w:space="0" w:color="auto"/>
        <w:right w:val="none" w:sz="0" w:space="0" w:color="auto"/>
      </w:divBdr>
      <w:divsChild>
        <w:div w:id="41175417">
          <w:marLeft w:val="0"/>
          <w:marRight w:val="0"/>
          <w:marTop w:val="0"/>
          <w:marBottom w:val="0"/>
          <w:divBdr>
            <w:top w:val="none" w:sz="0" w:space="0" w:color="auto"/>
            <w:left w:val="none" w:sz="0" w:space="0" w:color="auto"/>
            <w:bottom w:val="none" w:sz="0" w:space="0" w:color="auto"/>
            <w:right w:val="none" w:sz="0" w:space="0" w:color="auto"/>
          </w:divBdr>
          <w:divsChild>
            <w:div w:id="965622024">
              <w:marLeft w:val="0"/>
              <w:marRight w:val="0"/>
              <w:marTop w:val="0"/>
              <w:marBottom w:val="0"/>
              <w:divBdr>
                <w:top w:val="none" w:sz="0" w:space="0" w:color="auto"/>
                <w:left w:val="none" w:sz="0" w:space="0" w:color="auto"/>
                <w:bottom w:val="none" w:sz="0" w:space="0" w:color="auto"/>
                <w:right w:val="none" w:sz="0" w:space="0" w:color="auto"/>
              </w:divBdr>
              <w:divsChild>
                <w:div w:id="15365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6633">
      <w:bodyDiv w:val="1"/>
      <w:marLeft w:val="0"/>
      <w:marRight w:val="0"/>
      <w:marTop w:val="0"/>
      <w:marBottom w:val="0"/>
      <w:divBdr>
        <w:top w:val="none" w:sz="0" w:space="0" w:color="auto"/>
        <w:left w:val="none" w:sz="0" w:space="0" w:color="auto"/>
        <w:bottom w:val="none" w:sz="0" w:space="0" w:color="auto"/>
        <w:right w:val="none" w:sz="0" w:space="0" w:color="auto"/>
      </w:divBdr>
      <w:divsChild>
        <w:div w:id="498272578">
          <w:marLeft w:val="0"/>
          <w:marRight w:val="0"/>
          <w:marTop w:val="0"/>
          <w:marBottom w:val="0"/>
          <w:divBdr>
            <w:top w:val="none" w:sz="0" w:space="0" w:color="auto"/>
            <w:left w:val="none" w:sz="0" w:space="0" w:color="auto"/>
            <w:bottom w:val="none" w:sz="0" w:space="0" w:color="auto"/>
            <w:right w:val="none" w:sz="0" w:space="0" w:color="auto"/>
          </w:divBdr>
          <w:divsChild>
            <w:div w:id="612903122">
              <w:marLeft w:val="0"/>
              <w:marRight w:val="0"/>
              <w:marTop w:val="0"/>
              <w:marBottom w:val="0"/>
              <w:divBdr>
                <w:top w:val="none" w:sz="0" w:space="0" w:color="auto"/>
                <w:left w:val="none" w:sz="0" w:space="0" w:color="auto"/>
                <w:bottom w:val="none" w:sz="0" w:space="0" w:color="auto"/>
                <w:right w:val="none" w:sz="0" w:space="0" w:color="auto"/>
              </w:divBdr>
              <w:divsChild>
                <w:div w:id="443774034">
                  <w:marLeft w:val="0"/>
                  <w:marRight w:val="0"/>
                  <w:marTop w:val="0"/>
                  <w:marBottom w:val="0"/>
                  <w:divBdr>
                    <w:top w:val="none" w:sz="0" w:space="0" w:color="auto"/>
                    <w:left w:val="none" w:sz="0" w:space="0" w:color="auto"/>
                    <w:bottom w:val="none" w:sz="0" w:space="0" w:color="auto"/>
                    <w:right w:val="none" w:sz="0" w:space="0" w:color="auto"/>
                  </w:divBdr>
                  <w:divsChild>
                    <w:div w:id="1581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84904">
      <w:bodyDiv w:val="1"/>
      <w:marLeft w:val="0"/>
      <w:marRight w:val="0"/>
      <w:marTop w:val="0"/>
      <w:marBottom w:val="0"/>
      <w:divBdr>
        <w:top w:val="none" w:sz="0" w:space="0" w:color="auto"/>
        <w:left w:val="none" w:sz="0" w:space="0" w:color="auto"/>
        <w:bottom w:val="none" w:sz="0" w:space="0" w:color="auto"/>
        <w:right w:val="none" w:sz="0" w:space="0" w:color="auto"/>
      </w:divBdr>
      <w:divsChild>
        <w:div w:id="1431124017">
          <w:marLeft w:val="0"/>
          <w:marRight w:val="0"/>
          <w:marTop w:val="0"/>
          <w:marBottom w:val="0"/>
          <w:divBdr>
            <w:top w:val="none" w:sz="0" w:space="0" w:color="auto"/>
            <w:left w:val="none" w:sz="0" w:space="0" w:color="auto"/>
            <w:bottom w:val="none" w:sz="0" w:space="0" w:color="auto"/>
            <w:right w:val="none" w:sz="0" w:space="0" w:color="auto"/>
          </w:divBdr>
          <w:divsChild>
            <w:div w:id="187255872">
              <w:marLeft w:val="0"/>
              <w:marRight w:val="0"/>
              <w:marTop w:val="0"/>
              <w:marBottom w:val="0"/>
              <w:divBdr>
                <w:top w:val="none" w:sz="0" w:space="0" w:color="auto"/>
                <w:left w:val="none" w:sz="0" w:space="0" w:color="auto"/>
                <w:bottom w:val="none" w:sz="0" w:space="0" w:color="auto"/>
                <w:right w:val="none" w:sz="0" w:space="0" w:color="auto"/>
              </w:divBdr>
              <w:divsChild>
                <w:div w:id="7249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5695">
      <w:bodyDiv w:val="1"/>
      <w:marLeft w:val="0"/>
      <w:marRight w:val="0"/>
      <w:marTop w:val="0"/>
      <w:marBottom w:val="0"/>
      <w:divBdr>
        <w:top w:val="none" w:sz="0" w:space="0" w:color="auto"/>
        <w:left w:val="none" w:sz="0" w:space="0" w:color="auto"/>
        <w:bottom w:val="none" w:sz="0" w:space="0" w:color="auto"/>
        <w:right w:val="none" w:sz="0" w:space="0" w:color="auto"/>
      </w:divBdr>
      <w:divsChild>
        <w:div w:id="2059666470">
          <w:marLeft w:val="0"/>
          <w:marRight w:val="0"/>
          <w:marTop w:val="0"/>
          <w:marBottom w:val="0"/>
          <w:divBdr>
            <w:top w:val="none" w:sz="0" w:space="0" w:color="auto"/>
            <w:left w:val="none" w:sz="0" w:space="0" w:color="auto"/>
            <w:bottom w:val="none" w:sz="0" w:space="0" w:color="auto"/>
            <w:right w:val="none" w:sz="0" w:space="0" w:color="auto"/>
          </w:divBdr>
          <w:divsChild>
            <w:div w:id="1950038827">
              <w:marLeft w:val="0"/>
              <w:marRight w:val="0"/>
              <w:marTop w:val="0"/>
              <w:marBottom w:val="0"/>
              <w:divBdr>
                <w:top w:val="none" w:sz="0" w:space="0" w:color="auto"/>
                <w:left w:val="none" w:sz="0" w:space="0" w:color="auto"/>
                <w:bottom w:val="none" w:sz="0" w:space="0" w:color="auto"/>
                <w:right w:val="none" w:sz="0" w:space="0" w:color="auto"/>
              </w:divBdr>
              <w:divsChild>
                <w:div w:id="18088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6348">
      <w:bodyDiv w:val="1"/>
      <w:marLeft w:val="0"/>
      <w:marRight w:val="0"/>
      <w:marTop w:val="0"/>
      <w:marBottom w:val="0"/>
      <w:divBdr>
        <w:top w:val="none" w:sz="0" w:space="0" w:color="auto"/>
        <w:left w:val="none" w:sz="0" w:space="0" w:color="auto"/>
        <w:bottom w:val="none" w:sz="0" w:space="0" w:color="auto"/>
        <w:right w:val="none" w:sz="0" w:space="0" w:color="auto"/>
      </w:divBdr>
      <w:divsChild>
        <w:div w:id="1676568335">
          <w:marLeft w:val="0"/>
          <w:marRight w:val="0"/>
          <w:marTop w:val="0"/>
          <w:marBottom w:val="0"/>
          <w:divBdr>
            <w:top w:val="none" w:sz="0" w:space="0" w:color="auto"/>
            <w:left w:val="none" w:sz="0" w:space="0" w:color="auto"/>
            <w:bottom w:val="none" w:sz="0" w:space="0" w:color="auto"/>
            <w:right w:val="none" w:sz="0" w:space="0" w:color="auto"/>
          </w:divBdr>
          <w:divsChild>
            <w:div w:id="117992428">
              <w:marLeft w:val="0"/>
              <w:marRight w:val="0"/>
              <w:marTop w:val="0"/>
              <w:marBottom w:val="0"/>
              <w:divBdr>
                <w:top w:val="none" w:sz="0" w:space="0" w:color="auto"/>
                <w:left w:val="none" w:sz="0" w:space="0" w:color="auto"/>
                <w:bottom w:val="none" w:sz="0" w:space="0" w:color="auto"/>
                <w:right w:val="none" w:sz="0" w:space="0" w:color="auto"/>
              </w:divBdr>
              <w:divsChild>
                <w:div w:id="178083002">
                  <w:marLeft w:val="0"/>
                  <w:marRight w:val="0"/>
                  <w:marTop w:val="0"/>
                  <w:marBottom w:val="0"/>
                  <w:divBdr>
                    <w:top w:val="none" w:sz="0" w:space="0" w:color="auto"/>
                    <w:left w:val="none" w:sz="0" w:space="0" w:color="auto"/>
                    <w:bottom w:val="none" w:sz="0" w:space="0" w:color="auto"/>
                    <w:right w:val="none" w:sz="0" w:space="0" w:color="auto"/>
                  </w:divBdr>
                  <w:divsChild>
                    <w:div w:id="17795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6583">
      <w:bodyDiv w:val="1"/>
      <w:marLeft w:val="0"/>
      <w:marRight w:val="0"/>
      <w:marTop w:val="0"/>
      <w:marBottom w:val="0"/>
      <w:divBdr>
        <w:top w:val="none" w:sz="0" w:space="0" w:color="auto"/>
        <w:left w:val="none" w:sz="0" w:space="0" w:color="auto"/>
        <w:bottom w:val="none" w:sz="0" w:space="0" w:color="auto"/>
        <w:right w:val="none" w:sz="0" w:space="0" w:color="auto"/>
      </w:divBdr>
      <w:divsChild>
        <w:div w:id="4746726">
          <w:marLeft w:val="0"/>
          <w:marRight w:val="0"/>
          <w:marTop w:val="0"/>
          <w:marBottom w:val="0"/>
          <w:divBdr>
            <w:top w:val="none" w:sz="0" w:space="0" w:color="auto"/>
            <w:left w:val="none" w:sz="0" w:space="0" w:color="auto"/>
            <w:bottom w:val="none" w:sz="0" w:space="0" w:color="auto"/>
            <w:right w:val="none" w:sz="0" w:space="0" w:color="auto"/>
          </w:divBdr>
          <w:divsChild>
            <w:div w:id="1765149436">
              <w:marLeft w:val="0"/>
              <w:marRight w:val="0"/>
              <w:marTop w:val="0"/>
              <w:marBottom w:val="0"/>
              <w:divBdr>
                <w:top w:val="none" w:sz="0" w:space="0" w:color="auto"/>
                <w:left w:val="none" w:sz="0" w:space="0" w:color="auto"/>
                <w:bottom w:val="none" w:sz="0" w:space="0" w:color="auto"/>
                <w:right w:val="none" w:sz="0" w:space="0" w:color="auto"/>
              </w:divBdr>
              <w:divsChild>
                <w:div w:id="1087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6210">
      <w:bodyDiv w:val="1"/>
      <w:marLeft w:val="0"/>
      <w:marRight w:val="0"/>
      <w:marTop w:val="0"/>
      <w:marBottom w:val="0"/>
      <w:divBdr>
        <w:top w:val="none" w:sz="0" w:space="0" w:color="auto"/>
        <w:left w:val="none" w:sz="0" w:space="0" w:color="auto"/>
        <w:bottom w:val="none" w:sz="0" w:space="0" w:color="auto"/>
        <w:right w:val="none" w:sz="0" w:space="0" w:color="auto"/>
      </w:divBdr>
    </w:div>
    <w:div w:id="1177036430">
      <w:bodyDiv w:val="1"/>
      <w:marLeft w:val="0"/>
      <w:marRight w:val="0"/>
      <w:marTop w:val="0"/>
      <w:marBottom w:val="0"/>
      <w:divBdr>
        <w:top w:val="none" w:sz="0" w:space="0" w:color="auto"/>
        <w:left w:val="none" w:sz="0" w:space="0" w:color="auto"/>
        <w:bottom w:val="none" w:sz="0" w:space="0" w:color="auto"/>
        <w:right w:val="none" w:sz="0" w:space="0" w:color="auto"/>
      </w:divBdr>
      <w:divsChild>
        <w:div w:id="665670453">
          <w:marLeft w:val="0"/>
          <w:marRight w:val="0"/>
          <w:marTop w:val="0"/>
          <w:marBottom w:val="0"/>
          <w:divBdr>
            <w:top w:val="none" w:sz="0" w:space="0" w:color="auto"/>
            <w:left w:val="none" w:sz="0" w:space="0" w:color="auto"/>
            <w:bottom w:val="none" w:sz="0" w:space="0" w:color="auto"/>
            <w:right w:val="none" w:sz="0" w:space="0" w:color="auto"/>
          </w:divBdr>
          <w:divsChild>
            <w:div w:id="1093622091">
              <w:marLeft w:val="0"/>
              <w:marRight w:val="0"/>
              <w:marTop w:val="0"/>
              <w:marBottom w:val="0"/>
              <w:divBdr>
                <w:top w:val="none" w:sz="0" w:space="0" w:color="auto"/>
                <w:left w:val="none" w:sz="0" w:space="0" w:color="auto"/>
                <w:bottom w:val="none" w:sz="0" w:space="0" w:color="auto"/>
                <w:right w:val="none" w:sz="0" w:space="0" w:color="auto"/>
              </w:divBdr>
              <w:divsChild>
                <w:div w:id="790442306">
                  <w:marLeft w:val="0"/>
                  <w:marRight w:val="0"/>
                  <w:marTop w:val="0"/>
                  <w:marBottom w:val="0"/>
                  <w:divBdr>
                    <w:top w:val="none" w:sz="0" w:space="0" w:color="auto"/>
                    <w:left w:val="none" w:sz="0" w:space="0" w:color="auto"/>
                    <w:bottom w:val="none" w:sz="0" w:space="0" w:color="auto"/>
                    <w:right w:val="none" w:sz="0" w:space="0" w:color="auto"/>
                  </w:divBdr>
                  <w:divsChild>
                    <w:div w:id="7715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6831">
      <w:bodyDiv w:val="1"/>
      <w:marLeft w:val="0"/>
      <w:marRight w:val="0"/>
      <w:marTop w:val="0"/>
      <w:marBottom w:val="0"/>
      <w:divBdr>
        <w:top w:val="none" w:sz="0" w:space="0" w:color="auto"/>
        <w:left w:val="none" w:sz="0" w:space="0" w:color="auto"/>
        <w:bottom w:val="none" w:sz="0" w:space="0" w:color="auto"/>
        <w:right w:val="none" w:sz="0" w:space="0" w:color="auto"/>
      </w:divBdr>
      <w:divsChild>
        <w:div w:id="1846357527">
          <w:marLeft w:val="0"/>
          <w:marRight w:val="0"/>
          <w:marTop w:val="0"/>
          <w:marBottom w:val="0"/>
          <w:divBdr>
            <w:top w:val="none" w:sz="0" w:space="0" w:color="auto"/>
            <w:left w:val="none" w:sz="0" w:space="0" w:color="auto"/>
            <w:bottom w:val="none" w:sz="0" w:space="0" w:color="auto"/>
            <w:right w:val="none" w:sz="0" w:space="0" w:color="auto"/>
          </w:divBdr>
          <w:divsChild>
            <w:div w:id="42296590">
              <w:marLeft w:val="0"/>
              <w:marRight w:val="0"/>
              <w:marTop w:val="0"/>
              <w:marBottom w:val="0"/>
              <w:divBdr>
                <w:top w:val="none" w:sz="0" w:space="0" w:color="auto"/>
                <w:left w:val="none" w:sz="0" w:space="0" w:color="auto"/>
                <w:bottom w:val="none" w:sz="0" w:space="0" w:color="auto"/>
                <w:right w:val="none" w:sz="0" w:space="0" w:color="auto"/>
              </w:divBdr>
              <w:divsChild>
                <w:div w:id="846597625">
                  <w:marLeft w:val="0"/>
                  <w:marRight w:val="0"/>
                  <w:marTop w:val="0"/>
                  <w:marBottom w:val="0"/>
                  <w:divBdr>
                    <w:top w:val="none" w:sz="0" w:space="0" w:color="auto"/>
                    <w:left w:val="none" w:sz="0" w:space="0" w:color="auto"/>
                    <w:bottom w:val="none" w:sz="0" w:space="0" w:color="auto"/>
                    <w:right w:val="none" w:sz="0" w:space="0" w:color="auto"/>
                  </w:divBdr>
                  <w:divsChild>
                    <w:div w:id="12468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5658">
      <w:bodyDiv w:val="1"/>
      <w:marLeft w:val="0"/>
      <w:marRight w:val="0"/>
      <w:marTop w:val="0"/>
      <w:marBottom w:val="0"/>
      <w:divBdr>
        <w:top w:val="none" w:sz="0" w:space="0" w:color="auto"/>
        <w:left w:val="none" w:sz="0" w:space="0" w:color="auto"/>
        <w:bottom w:val="none" w:sz="0" w:space="0" w:color="auto"/>
        <w:right w:val="none" w:sz="0" w:space="0" w:color="auto"/>
      </w:divBdr>
      <w:divsChild>
        <w:div w:id="1995061127">
          <w:marLeft w:val="0"/>
          <w:marRight w:val="0"/>
          <w:marTop w:val="0"/>
          <w:marBottom w:val="0"/>
          <w:divBdr>
            <w:top w:val="none" w:sz="0" w:space="0" w:color="auto"/>
            <w:left w:val="none" w:sz="0" w:space="0" w:color="auto"/>
            <w:bottom w:val="none" w:sz="0" w:space="0" w:color="auto"/>
            <w:right w:val="none" w:sz="0" w:space="0" w:color="auto"/>
          </w:divBdr>
          <w:divsChild>
            <w:div w:id="1538808284">
              <w:marLeft w:val="0"/>
              <w:marRight w:val="0"/>
              <w:marTop w:val="0"/>
              <w:marBottom w:val="0"/>
              <w:divBdr>
                <w:top w:val="none" w:sz="0" w:space="0" w:color="auto"/>
                <w:left w:val="none" w:sz="0" w:space="0" w:color="auto"/>
                <w:bottom w:val="none" w:sz="0" w:space="0" w:color="auto"/>
                <w:right w:val="none" w:sz="0" w:space="0" w:color="auto"/>
              </w:divBdr>
              <w:divsChild>
                <w:div w:id="78063958">
                  <w:marLeft w:val="0"/>
                  <w:marRight w:val="0"/>
                  <w:marTop w:val="0"/>
                  <w:marBottom w:val="0"/>
                  <w:divBdr>
                    <w:top w:val="none" w:sz="0" w:space="0" w:color="auto"/>
                    <w:left w:val="none" w:sz="0" w:space="0" w:color="auto"/>
                    <w:bottom w:val="none" w:sz="0" w:space="0" w:color="auto"/>
                    <w:right w:val="none" w:sz="0" w:space="0" w:color="auto"/>
                  </w:divBdr>
                  <w:divsChild>
                    <w:div w:id="2413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30243">
      <w:bodyDiv w:val="1"/>
      <w:marLeft w:val="0"/>
      <w:marRight w:val="0"/>
      <w:marTop w:val="0"/>
      <w:marBottom w:val="0"/>
      <w:divBdr>
        <w:top w:val="none" w:sz="0" w:space="0" w:color="auto"/>
        <w:left w:val="none" w:sz="0" w:space="0" w:color="auto"/>
        <w:bottom w:val="none" w:sz="0" w:space="0" w:color="auto"/>
        <w:right w:val="none" w:sz="0" w:space="0" w:color="auto"/>
      </w:divBdr>
      <w:divsChild>
        <w:div w:id="586769864">
          <w:marLeft w:val="0"/>
          <w:marRight w:val="0"/>
          <w:marTop w:val="0"/>
          <w:marBottom w:val="0"/>
          <w:divBdr>
            <w:top w:val="none" w:sz="0" w:space="0" w:color="auto"/>
            <w:left w:val="none" w:sz="0" w:space="0" w:color="auto"/>
            <w:bottom w:val="none" w:sz="0" w:space="0" w:color="auto"/>
            <w:right w:val="none" w:sz="0" w:space="0" w:color="auto"/>
          </w:divBdr>
          <w:divsChild>
            <w:div w:id="548610138">
              <w:marLeft w:val="0"/>
              <w:marRight w:val="0"/>
              <w:marTop w:val="0"/>
              <w:marBottom w:val="0"/>
              <w:divBdr>
                <w:top w:val="none" w:sz="0" w:space="0" w:color="auto"/>
                <w:left w:val="none" w:sz="0" w:space="0" w:color="auto"/>
                <w:bottom w:val="none" w:sz="0" w:space="0" w:color="auto"/>
                <w:right w:val="none" w:sz="0" w:space="0" w:color="auto"/>
              </w:divBdr>
              <w:divsChild>
                <w:div w:id="727727673">
                  <w:marLeft w:val="0"/>
                  <w:marRight w:val="0"/>
                  <w:marTop w:val="0"/>
                  <w:marBottom w:val="0"/>
                  <w:divBdr>
                    <w:top w:val="none" w:sz="0" w:space="0" w:color="auto"/>
                    <w:left w:val="none" w:sz="0" w:space="0" w:color="auto"/>
                    <w:bottom w:val="none" w:sz="0" w:space="0" w:color="auto"/>
                    <w:right w:val="none" w:sz="0" w:space="0" w:color="auto"/>
                  </w:divBdr>
                  <w:divsChild>
                    <w:div w:id="12473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sChild>
        <w:div w:id="965551172">
          <w:marLeft w:val="0"/>
          <w:marRight w:val="0"/>
          <w:marTop w:val="0"/>
          <w:marBottom w:val="0"/>
          <w:divBdr>
            <w:top w:val="none" w:sz="0" w:space="0" w:color="auto"/>
            <w:left w:val="none" w:sz="0" w:space="0" w:color="auto"/>
            <w:bottom w:val="none" w:sz="0" w:space="0" w:color="auto"/>
            <w:right w:val="none" w:sz="0" w:space="0" w:color="auto"/>
          </w:divBdr>
          <w:divsChild>
            <w:div w:id="9306484">
              <w:marLeft w:val="0"/>
              <w:marRight w:val="0"/>
              <w:marTop w:val="0"/>
              <w:marBottom w:val="0"/>
              <w:divBdr>
                <w:top w:val="none" w:sz="0" w:space="0" w:color="auto"/>
                <w:left w:val="none" w:sz="0" w:space="0" w:color="auto"/>
                <w:bottom w:val="none" w:sz="0" w:space="0" w:color="auto"/>
                <w:right w:val="none" w:sz="0" w:space="0" w:color="auto"/>
              </w:divBdr>
              <w:divsChild>
                <w:div w:id="10141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5787">
      <w:bodyDiv w:val="1"/>
      <w:marLeft w:val="0"/>
      <w:marRight w:val="0"/>
      <w:marTop w:val="0"/>
      <w:marBottom w:val="0"/>
      <w:divBdr>
        <w:top w:val="none" w:sz="0" w:space="0" w:color="auto"/>
        <w:left w:val="none" w:sz="0" w:space="0" w:color="auto"/>
        <w:bottom w:val="none" w:sz="0" w:space="0" w:color="auto"/>
        <w:right w:val="none" w:sz="0" w:space="0" w:color="auto"/>
      </w:divBdr>
      <w:divsChild>
        <w:div w:id="1166627824">
          <w:marLeft w:val="0"/>
          <w:marRight w:val="0"/>
          <w:marTop w:val="0"/>
          <w:marBottom w:val="0"/>
          <w:divBdr>
            <w:top w:val="none" w:sz="0" w:space="0" w:color="auto"/>
            <w:left w:val="none" w:sz="0" w:space="0" w:color="auto"/>
            <w:bottom w:val="none" w:sz="0" w:space="0" w:color="auto"/>
            <w:right w:val="none" w:sz="0" w:space="0" w:color="auto"/>
          </w:divBdr>
          <w:divsChild>
            <w:div w:id="732579176">
              <w:marLeft w:val="0"/>
              <w:marRight w:val="0"/>
              <w:marTop w:val="0"/>
              <w:marBottom w:val="0"/>
              <w:divBdr>
                <w:top w:val="none" w:sz="0" w:space="0" w:color="auto"/>
                <w:left w:val="none" w:sz="0" w:space="0" w:color="auto"/>
                <w:bottom w:val="none" w:sz="0" w:space="0" w:color="auto"/>
                <w:right w:val="none" w:sz="0" w:space="0" w:color="auto"/>
              </w:divBdr>
              <w:divsChild>
                <w:div w:id="16005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8685">
      <w:bodyDiv w:val="1"/>
      <w:marLeft w:val="0"/>
      <w:marRight w:val="0"/>
      <w:marTop w:val="0"/>
      <w:marBottom w:val="0"/>
      <w:divBdr>
        <w:top w:val="none" w:sz="0" w:space="0" w:color="auto"/>
        <w:left w:val="none" w:sz="0" w:space="0" w:color="auto"/>
        <w:bottom w:val="none" w:sz="0" w:space="0" w:color="auto"/>
        <w:right w:val="none" w:sz="0" w:space="0" w:color="auto"/>
      </w:divBdr>
      <w:divsChild>
        <w:div w:id="1126318193">
          <w:marLeft w:val="0"/>
          <w:marRight w:val="0"/>
          <w:marTop w:val="0"/>
          <w:marBottom w:val="0"/>
          <w:divBdr>
            <w:top w:val="none" w:sz="0" w:space="0" w:color="auto"/>
            <w:left w:val="none" w:sz="0" w:space="0" w:color="auto"/>
            <w:bottom w:val="none" w:sz="0" w:space="0" w:color="auto"/>
            <w:right w:val="none" w:sz="0" w:space="0" w:color="auto"/>
          </w:divBdr>
          <w:divsChild>
            <w:div w:id="1760327363">
              <w:marLeft w:val="0"/>
              <w:marRight w:val="0"/>
              <w:marTop w:val="0"/>
              <w:marBottom w:val="0"/>
              <w:divBdr>
                <w:top w:val="none" w:sz="0" w:space="0" w:color="auto"/>
                <w:left w:val="none" w:sz="0" w:space="0" w:color="auto"/>
                <w:bottom w:val="none" w:sz="0" w:space="0" w:color="auto"/>
                <w:right w:val="none" w:sz="0" w:space="0" w:color="auto"/>
              </w:divBdr>
              <w:divsChild>
                <w:div w:id="1624002388">
                  <w:marLeft w:val="0"/>
                  <w:marRight w:val="0"/>
                  <w:marTop w:val="0"/>
                  <w:marBottom w:val="0"/>
                  <w:divBdr>
                    <w:top w:val="none" w:sz="0" w:space="0" w:color="auto"/>
                    <w:left w:val="none" w:sz="0" w:space="0" w:color="auto"/>
                    <w:bottom w:val="none" w:sz="0" w:space="0" w:color="auto"/>
                    <w:right w:val="none" w:sz="0" w:space="0" w:color="auto"/>
                  </w:divBdr>
                  <w:divsChild>
                    <w:div w:id="18832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634">
      <w:bodyDiv w:val="1"/>
      <w:marLeft w:val="0"/>
      <w:marRight w:val="0"/>
      <w:marTop w:val="0"/>
      <w:marBottom w:val="0"/>
      <w:divBdr>
        <w:top w:val="none" w:sz="0" w:space="0" w:color="auto"/>
        <w:left w:val="none" w:sz="0" w:space="0" w:color="auto"/>
        <w:bottom w:val="none" w:sz="0" w:space="0" w:color="auto"/>
        <w:right w:val="none" w:sz="0" w:space="0" w:color="auto"/>
      </w:divBdr>
      <w:divsChild>
        <w:div w:id="758018208">
          <w:marLeft w:val="0"/>
          <w:marRight w:val="0"/>
          <w:marTop w:val="0"/>
          <w:marBottom w:val="0"/>
          <w:divBdr>
            <w:top w:val="none" w:sz="0" w:space="0" w:color="auto"/>
            <w:left w:val="none" w:sz="0" w:space="0" w:color="auto"/>
            <w:bottom w:val="none" w:sz="0" w:space="0" w:color="auto"/>
            <w:right w:val="none" w:sz="0" w:space="0" w:color="auto"/>
          </w:divBdr>
          <w:divsChild>
            <w:div w:id="295961875">
              <w:marLeft w:val="0"/>
              <w:marRight w:val="0"/>
              <w:marTop w:val="0"/>
              <w:marBottom w:val="0"/>
              <w:divBdr>
                <w:top w:val="none" w:sz="0" w:space="0" w:color="auto"/>
                <w:left w:val="none" w:sz="0" w:space="0" w:color="auto"/>
                <w:bottom w:val="none" w:sz="0" w:space="0" w:color="auto"/>
                <w:right w:val="none" w:sz="0" w:space="0" w:color="auto"/>
              </w:divBdr>
              <w:divsChild>
                <w:div w:id="731342906">
                  <w:marLeft w:val="0"/>
                  <w:marRight w:val="0"/>
                  <w:marTop w:val="0"/>
                  <w:marBottom w:val="0"/>
                  <w:divBdr>
                    <w:top w:val="none" w:sz="0" w:space="0" w:color="auto"/>
                    <w:left w:val="none" w:sz="0" w:space="0" w:color="auto"/>
                    <w:bottom w:val="none" w:sz="0" w:space="0" w:color="auto"/>
                    <w:right w:val="none" w:sz="0" w:space="0" w:color="auto"/>
                  </w:divBdr>
                  <w:divsChild>
                    <w:div w:id="14931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83976">
      <w:bodyDiv w:val="1"/>
      <w:marLeft w:val="0"/>
      <w:marRight w:val="0"/>
      <w:marTop w:val="0"/>
      <w:marBottom w:val="0"/>
      <w:divBdr>
        <w:top w:val="none" w:sz="0" w:space="0" w:color="auto"/>
        <w:left w:val="none" w:sz="0" w:space="0" w:color="auto"/>
        <w:bottom w:val="none" w:sz="0" w:space="0" w:color="auto"/>
        <w:right w:val="none" w:sz="0" w:space="0" w:color="auto"/>
      </w:divBdr>
      <w:divsChild>
        <w:div w:id="2113627422">
          <w:marLeft w:val="0"/>
          <w:marRight w:val="0"/>
          <w:marTop w:val="0"/>
          <w:marBottom w:val="0"/>
          <w:divBdr>
            <w:top w:val="none" w:sz="0" w:space="0" w:color="auto"/>
            <w:left w:val="none" w:sz="0" w:space="0" w:color="auto"/>
            <w:bottom w:val="none" w:sz="0" w:space="0" w:color="auto"/>
            <w:right w:val="none" w:sz="0" w:space="0" w:color="auto"/>
          </w:divBdr>
          <w:divsChild>
            <w:div w:id="1431730528">
              <w:marLeft w:val="0"/>
              <w:marRight w:val="0"/>
              <w:marTop w:val="0"/>
              <w:marBottom w:val="0"/>
              <w:divBdr>
                <w:top w:val="none" w:sz="0" w:space="0" w:color="auto"/>
                <w:left w:val="none" w:sz="0" w:space="0" w:color="auto"/>
                <w:bottom w:val="none" w:sz="0" w:space="0" w:color="auto"/>
                <w:right w:val="none" w:sz="0" w:space="0" w:color="auto"/>
              </w:divBdr>
              <w:divsChild>
                <w:div w:id="1925260283">
                  <w:marLeft w:val="0"/>
                  <w:marRight w:val="0"/>
                  <w:marTop w:val="0"/>
                  <w:marBottom w:val="0"/>
                  <w:divBdr>
                    <w:top w:val="none" w:sz="0" w:space="0" w:color="auto"/>
                    <w:left w:val="none" w:sz="0" w:space="0" w:color="auto"/>
                    <w:bottom w:val="none" w:sz="0" w:space="0" w:color="auto"/>
                    <w:right w:val="none" w:sz="0" w:space="0" w:color="auto"/>
                  </w:divBdr>
                  <w:divsChild>
                    <w:div w:id="14751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5127">
      <w:bodyDiv w:val="1"/>
      <w:marLeft w:val="0"/>
      <w:marRight w:val="0"/>
      <w:marTop w:val="0"/>
      <w:marBottom w:val="0"/>
      <w:divBdr>
        <w:top w:val="none" w:sz="0" w:space="0" w:color="auto"/>
        <w:left w:val="none" w:sz="0" w:space="0" w:color="auto"/>
        <w:bottom w:val="none" w:sz="0" w:space="0" w:color="auto"/>
        <w:right w:val="none" w:sz="0" w:space="0" w:color="auto"/>
      </w:divBdr>
    </w:div>
    <w:div w:id="1453013211">
      <w:bodyDiv w:val="1"/>
      <w:marLeft w:val="0"/>
      <w:marRight w:val="0"/>
      <w:marTop w:val="0"/>
      <w:marBottom w:val="0"/>
      <w:divBdr>
        <w:top w:val="none" w:sz="0" w:space="0" w:color="auto"/>
        <w:left w:val="none" w:sz="0" w:space="0" w:color="auto"/>
        <w:bottom w:val="none" w:sz="0" w:space="0" w:color="auto"/>
        <w:right w:val="none" w:sz="0" w:space="0" w:color="auto"/>
      </w:divBdr>
      <w:divsChild>
        <w:div w:id="1507792546">
          <w:marLeft w:val="0"/>
          <w:marRight w:val="0"/>
          <w:marTop w:val="0"/>
          <w:marBottom w:val="0"/>
          <w:divBdr>
            <w:top w:val="none" w:sz="0" w:space="0" w:color="auto"/>
            <w:left w:val="none" w:sz="0" w:space="0" w:color="auto"/>
            <w:bottom w:val="none" w:sz="0" w:space="0" w:color="auto"/>
            <w:right w:val="none" w:sz="0" w:space="0" w:color="auto"/>
          </w:divBdr>
          <w:divsChild>
            <w:div w:id="1115252325">
              <w:marLeft w:val="0"/>
              <w:marRight w:val="0"/>
              <w:marTop w:val="0"/>
              <w:marBottom w:val="0"/>
              <w:divBdr>
                <w:top w:val="none" w:sz="0" w:space="0" w:color="auto"/>
                <w:left w:val="none" w:sz="0" w:space="0" w:color="auto"/>
                <w:bottom w:val="none" w:sz="0" w:space="0" w:color="auto"/>
                <w:right w:val="none" w:sz="0" w:space="0" w:color="auto"/>
              </w:divBdr>
              <w:divsChild>
                <w:div w:id="2664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8029">
      <w:bodyDiv w:val="1"/>
      <w:marLeft w:val="0"/>
      <w:marRight w:val="0"/>
      <w:marTop w:val="0"/>
      <w:marBottom w:val="0"/>
      <w:divBdr>
        <w:top w:val="none" w:sz="0" w:space="0" w:color="auto"/>
        <w:left w:val="none" w:sz="0" w:space="0" w:color="auto"/>
        <w:bottom w:val="none" w:sz="0" w:space="0" w:color="auto"/>
        <w:right w:val="none" w:sz="0" w:space="0" w:color="auto"/>
      </w:divBdr>
      <w:divsChild>
        <w:div w:id="1497264432">
          <w:marLeft w:val="0"/>
          <w:marRight w:val="0"/>
          <w:marTop w:val="0"/>
          <w:marBottom w:val="0"/>
          <w:divBdr>
            <w:top w:val="none" w:sz="0" w:space="0" w:color="auto"/>
            <w:left w:val="none" w:sz="0" w:space="0" w:color="auto"/>
            <w:bottom w:val="none" w:sz="0" w:space="0" w:color="auto"/>
            <w:right w:val="none" w:sz="0" w:space="0" w:color="auto"/>
          </w:divBdr>
          <w:divsChild>
            <w:div w:id="1902446785">
              <w:marLeft w:val="0"/>
              <w:marRight w:val="0"/>
              <w:marTop w:val="0"/>
              <w:marBottom w:val="0"/>
              <w:divBdr>
                <w:top w:val="none" w:sz="0" w:space="0" w:color="auto"/>
                <w:left w:val="none" w:sz="0" w:space="0" w:color="auto"/>
                <w:bottom w:val="none" w:sz="0" w:space="0" w:color="auto"/>
                <w:right w:val="none" w:sz="0" w:space="0" w:color="auto"/>
              </w:divBdr>
              <w:divsChild>
                <w:div w:id="16468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3242">
      <w:bodyDiv w:val="1"/>
      <w:marLeft w:val="0"/>
      <w:marRight w:val="0"/>
      <w:marTop w:val="0"/>
      <w:marBottom w:val="0"/>
      <w:divBdr>
        <w:top w:val="none" w:sz="0" w:space="0" w:color="auto"/>
        <w:left w:val="none" w:sz="0" w:space="0" w:color="auto"/>
        <w:bottom w:val="none" w:sz="0" w:space="0" w:color="auto"/>
        <w:right w:val="none" w:sz="0" w:space="0" w:color="auto"/>
      </w:divBdr>
      <w:divsChild>
        <w:div w:id="164246030">
          <w:marLeft w:val="0"/>
          <w:marRight w:val="0"/>
          <w:marTop w:val="0"/>
          <w:marBottom w:val="0"/>
          <w:divBdr>
            <w:top w:val="none" w:sz="0" w:space="0" w:color="auto"/>
            <w:left w:val="none" w:sz="0" w:space="0" w:color="auto"/>
            <w:bottom w:val="none" w:sz="0" w:space="0" w:color="auto"/>
            <w:right w:val="none" w:sz="0" w:space="0" w:color="auto"/>
          </w:divBdr>
          <w:divsChild>
            <w:div w:id="482504208">
              <w:marLeft w:val="0"/>
              <w:marRight w:val="0"/>
              <w:marTop w:val="0"/>
              <w:marBottom w:val="0"/>
              <w:divBdr>
                <w:top w:val="none" w:sz="0" w:space="0" w:color="auto"/>
                <w:left w:val="none" w:sz="0" w:space="0" w:color="auto"/>
                <w:bottom w:val="none" w:sz="0" w:space="0" w:color="auto"/>
                <w:right w:val="none" w:sz="0" w:space="0" w:color="auto"/>
              </w:divBdr>
              <w:divsChild>
                <w:div w:id="3360740">
                  <w:marLeft w:val="0"/>
                  <w:marRight w:val="0"/>
                  <w:marTop w:val="0"/>
                  <w:marBottom w:val="0"/>
                  <w:divBdr>
                    <w:top w:val="none" w:sz="0" w:space="0" w:color="auto"/>
                    <w:left w:val="none" w:sz="0" w:space="0" w:color="auto"/>
                    <w:bottom w:val="none" w:sz="0" w:space="0" w:color="auto"/>
                    <w:right w:val="none" w:sz="0" w:space="0" w:color="auto"/>
                  </w:divBdr>
                  <w:divsChild>
                    <w:div w:id="1660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384">
      <w:bodyDiv w:val="1"/>
      <w:marLeft w:val="0"/>
      <w:marRight w:val="0"/>
      <w:marTop w:val="0"/>
      <w:marBottom w:val="0"/>
      <w:divBdr>
        <w:top w:val="none" w:sz="0" w:space="0" w:color="auto"/>
        <w:left w:val="none" w:sz="0" w:space="0" w:color="auto"/>
        <w:bottom w:val="none" w:sz="0" w:space="0" w:color="auto"/>
        <w:right w:val="none" w:sz="0" w:space="0" w:color="auto"/>
      </w:divBdr>
      <w:divsChild>
        <w:div w:id="492647640">
          <w:marLeft w:val="0"/>
          <w:marRight w:val="0"/>
          <w:marTop w:val="0"/>
          <w:marBottom w:val="0"/>
          <w:divBdr>
            <w:top w:val="none" w:sz="0" w:space="0" w:color="auto"/>
            <w:left w:val="none" w:sz="0" w:space="0" w:color="auto"/>
            <w:bottom w:val="none" w:sz="0" w:space="0" w:color="auto"/>
            <w:right w:val="none" w:sz="0" w:space="0" w:color="auto"/>
          </w:divBdr>
          <w:divsChild>
            <w:div w:id="1259144316">
              <w:marLeft w:val="0"/>
              <w:marRight w:val="0"/>
              <w:marTop w:val="0"/>
              <w:marBottom w:val="0"/>
              <w:divBdr>
                <w:top w:val="none" w:sz="0" w:space="0" w:color="auto"/>
                <w:left w:val="none" w:sz="0" w:space="0" w:color="auto"/>
                <w:bottom w:val="none" w:sz="0" w:space="0" w:color="auto"/>
                <w:right w:val="none" w:sz="0" w:space="0" w:color="auto"/>
              </w:divBdr>
              <w:divsChild>
                <w:div w:id="324207174">
                  <w:marLeft w:val="0"/>
                  <w:marRight w:val="0"/>
                  <w:marTop w:val="0"/>
                  <w:marBottom w:val="0"/>
                  <w:divBdr>
                    <w:top w:val="none" w:sz="0" w:space="0" w:color="auto"/>
                    <w:left w:val="none" w:sz="0" w:space="0" w:color="auto"/>
                    <w:bottom w:val="none" w:sz="0" w:space="0" w:color="auto"/>
                    <w:right w:val="none" w:sz="0" w:space="0" w:color="auto"/>
                  </w:divBdr>
                  <w:divsChild>
                    <w:div w:id="7924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1297">
      <w:bodyDiv w:val="1"/>
      <w:marLeft w:val="0"/>
      <w:marRight w:val="0"/>
      <w:marTop w:val="0"/>
      <w:marBottom w:val="0"/>
      <w:divBdr>
        <w:top w:val="none" w:sz="0" w:space="0" w:color="auto"/>
        <w:left w:val="none" w:sz="0" w:space="0" w:color="auto"/>
        <w:bottom w:val="none" w:sz="0" w:space="0" w:color="auto"/>
        <w:right w:val="none" w:sz="0" w:space="0" w:color="auto"/>
      </w:divBdr>
      <w:divsChild>
        <w:div w:id="417873804">
          <w:marLeft w:val="0"/>
          <w:marRight w:val="0"/>
          <w:marTop w:val="0"/>
          <w:marBottom w:val="0"/>
          <w:divBdr>
            <w:top w:val="none" w:sz="0" w:space="0" w:color="auto"/>
            <w:left w:val="none" w:sz="0" w:space="0" w:color="auto"/>
            <w:bottom w:val="none" w:sz="0" w:space="0" w:color="auto"/>
            <w:right w:val="none" w:sz="0" w:space="0" w:color="auto"/>
          </w:divBdr>
          <w:divsChild>
            <w:div w:id="1279527524">
              <w:marLeft w:val="0"/>
              <w:marRight w:val="0"/>
              <w:marTop w:val="0"/>
              <w:marBottom w:val="0"/>
              <w:divBdr>
                <w:top w:val="none" w:sz="0" w:space="0" w:color="auto"/>
                <w:left w:val="none" w:sz="0" w:space="0" w:color="auto"/>
                <w:bottom w:val="none" w:sz="0" w:space="0" w:color="auto"/>
                <w:right w:val="none" w:sz="0" w:space="0" w:color="auto"/>
              </w:divBdr>
              <w:divsChild>
                <w:div w:id="326834246">
                  <w:marLeft w:val="0"/>
                  <w:marRight w:val="0"/>
                  <w:marTop w:val="0"/>
                  <w:marBottom w:val="0"/>
                  <w:divBdr>
                    <w:top w:val="none" w:sz="0" w:space="0" w:color="auto"/>
                    <w:left w:val="none" w:sz="0" w:space="0" w:color="auto"/>
                    <w:bottom w:val="none" w:sz="0" w:space="0" w:color="auto"/>
                    <w:right w:val="none" w:sz="0" w:space="0" w:color="auto"/>
                  </w:divBdr>
                  <w:divsChild>
                    <w:div w:id="695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04300">
      <w:bodyDiv w:val="1"/>
      <w:marLeft w:val="0"/>
      <w:marRight w:val="0"/>
      <w:marTop w:val="0"/>
      <w:marBottom w:val="0"/>
      <w:divBdr>
        <w:top w:val="none" w:sz="0" w:space="0" w:color="auto"/>
        <w:left w:val="none" w:sz="0" w:space="0" w:color="auto"/>
        <w:bottom w:val="none" w:sz="0" w:space="0" w:color="auto"/>
        <w:right w:val="none" w:sz="0" w:space="0" w:color="auto"/>
      </w:divBdr>
      <w:divsChild>
        <w:div w:id="146476075">
          <w:marLeft w:val="0"/>
          <w:marRight w:val="0"/>
          <w:marTop w:val="0"/>
          <w:marBottom w:val="0"/>
          <w:divBdr>
            <w:top w:val="none" w:sz="0" w:space="0" w:color="auto"/>
            <w:left w:val="none" w:sz="0" w:space="0" w:color="auto"/>
            <w:bottom w:val="none" w:sz="0" w:space="0" w:color="auto"/>
            <w:right w:val="none" w:sz="0" w:space="0" w:color="auto"/>
          </w:divBdr>
          <w:divsChild>
            <w:div w:id="738941164">
              <w:marLeft w:val="0"/>
              <w:marRight w:val="0"/>
              <w:marTop w:val="0"/>
              <w:marBottom w:val="0"/>
              <w:divBdr>
                <w:top w:val="none" w:sz="0" w:space="0" w:color="auto"/>
                <w:left w:val="none" w:sz="0" w:space="0" w:color="auto"/>
                <w:bottom w:val="none" w:sz="0" w:space="0" w:color="auto"/>
                <w:right w:val="none" w:sz="0" w:space="0" w:color="auto"/>
              </w:divBdr>
              <w:divsChild>
                <w:div w:id="1702633135">
                  <w:marLeft w:val="0"/>
                  <w:marRight w:val="0"/>
                  <w:marTop w:val="0"/>
                  <w:marBottom w:val="0"/>
                  <w:divBdr>
                    <w:top w:val="none" w:sz="0" w:space="0" w:color="auto"/>
                    <w:left w:val="none" w:sz="0" w:space="0" w:color="auto"/>
                    <w:bottom w:val="none" w:sz="0" w:space="0" w:color="auto"/>
                    <w:right w:val="none" w:sz="0" w:space="0" w:color="auto"/>
                  </w:divBdr>
                  <w:divsChild>
                    <w:div w:id="1375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71690">
      <w:bodyDiv w:val="1"/>
      <w:marLeft w:val="0"/>
      <w:marRight w:val="0"/>
      <w:marTop w:val="0"/>
      <w:marBottom w:val="0"/>
      <w:divBdr>
        <w:top w:val="none" w:sz="0" w:space="0" w:color="auto"/>
        <w:left w:val="none" w:sz="0" w:space="0" w:color="auto"/>
        <w:bottom w:val="none" w:sz="0" w:space="0" w:color="auto"/>
        <w:right w:val="none" w:sz="0" w:space="0" w:color="auto"/>
      </w:divBdr>
      <w:divsChild>
        <w:div w:id="322661076">
          <w:marLeft w:val="0"/>
          <w:marRight w:val="0"/>
          <w:marTop w:val="0"/>
          <w:marBottom w:val="0"/>
          <w:divBdr>
            <w:top w:val="none" w:sz="0" w:space="0" w:color="auto"/>
            <w:left w:val="none" w:sz="0" w:space="0" w:color="auto"/>
            <w:bottom w:val="none" w:sz="0" w:space="0" w:color="auto"/>
            <w:right w:val="none" w:sz="0" w:space="0" w:color="auto"/>
          </w:divBdr>
          <w:divsChild>
            <w:div w:id="1180117903">
              <w:marLeft w:val="0"/>
              <w:marRight w:val="0"/>
              <w:marTop w:val="0"/>
              <w:marBottom w:val="0"/>
              <w:divBdr>
                <w:top w:val="none" w:sz="0" w:space="0" w:color="auto"/>
                <w:left w:val="none" w:sz="0" w:space="0" w:color="auto"/>
                <w:bottom w:val="none" w:sz="0" w:space="0" w:color="auto"/>
                <w:right w:val="none" w:sz="0" w:space="0" w:color="auto"/>
              </w:divBdr>
              <w:divsChild>
                <w:div w:id="14952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27263">
      <w:bodyDiv w:val="1"/>
      <w:marLeft w:val="0"/>
      <w:marRight w:val="0"/>
      <w:marTop w:val="0"/>
      <w:marBottom w:val="0"/>
      <w:divBdr>
        <w:top w:val="none" w:sz="0" w:space="0" w:color="auto"/>
        <w:left w:val="none" w:sz="0" w:space="0" w:color="auto"/>
        <w:bottom w:val="none" w:sz="0" w:space="0" w:color="auto"/>
        <w:right w:val="none" w:sz="0" w:space="0" w:color="auto"/>
      </w:divBdr>
    </w:div>
    <w:div w:id="1932621423">
      <w:bodyDiv w:val="1"/>
      <w:marLeft w:val="0"/>
      <w:marRight w:val="0"/>
      <w:marTop w:val="0"/>
      <w:marBottom w:val="0"/>
      <w:divBdr>
        <w:top w:val="none" w:sz="0" w:space="0" w:color="auto"/>
        <w:left w:val="none" w:sz="0" w:space="0" w:color="auto"/>
        <w:bottom w:val="none" w:sz="0" w:space="0" w:color="auto"/>
        <w:right w:val="none" w:sz="0" w:space="0" w:color="auto"/>
      </w:divBdr>
      <w:divsChild>
        <w:div w:id="1727147247">
          <w:marLeft w:val="0"/>
          <w:marRight w:val="0"/>
          <w:marTop w:val="0"/>
          <w:marBottom w:val="0"/>
          <w:divBdr>
            <w:top w:val="none" w:sz="0" w:space="0" w:color="auto"/>
            <w:left w:val="none" w:sz="0" w:space="0" w:color="auto"/>
            <w:bottom w:val="none" w:sz="0" w:space="0" w:color="auto"/>
            <w:right w:val="none" w:sz="0" w:space="0" w:color="auto"/>
          </w:divBdr>
          <w:divsChild>
            <w:div w:id="757212282">
              <w:marLeft w:val="0"/>
              <w:marRight w:val="0"/>
              <w:marTop w:val="0"/>
              <w:marBottom w:val="0"/>
              <w:divBdr>
                <w:top w:val="none" w:sz="0" w:space="0" w:color="auto"/>
                <w:left w:val="none" w:sz="0" w:space="0" w:color="auto"/>
                <w:bottom w:val="none" w:sz="0" w:space="0" w:color="auto"/>
                <w:right w:val="none" w:sz="0" w:space="0" w:color="auto"/>
              </w:divBdr>
              <w:divsChild>
                <w:div w:id="499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8967">
      <w:bodyDiv w:val="1"/>
      <w:marLeft w:val="0"/>
      <w:marRight w:val="0"/>
      <w:marTop w:val="0"/>
      <w:marBottom w:val="0"/>
      <w:divBdr>
        <w:top w:val="none" w:sz="0" w:space="0" w:color="auto"/>
        <w:left w:val="none" w:sz="0" w:space="0" w:color="auto"/>
        <w:bottom w:val="none" w:sz="0" w:space="0" w:color="auto"/>
        <w:right w:val="none" w:sz="0" w:space="0" w:color="auto"/>
      </w:divBdr>
      <w:divsChild>
        <w:div w:id="1993174734">
          <w:marLeft w:val="0"/>
          <w:marRight w:val="0"/>
          <w:marTop w:val="0"/>
          <w:marBottom w:val="0"/>
          <w:divBdr>
            <w:top w:val="none" w:sz="0" w:space="0" w:color="auto"/>
            <w:left w:val="none" w:sz="0" w:space="0" w:color="auto"/>
            <w:bottom w:val="none" w:sz="0" w:space="0" w:color="auto"/>
            <w:right w:val="none" w:sz="0" w:space="0" w:color="auto"/>
          </w:divBdr>
          <w:divsChild>
            <w:div w:id="292292715">
              <w:marLeft w:val="0"/>
              <w:marRight w:val="0"/>
              <w:marTop w:val="0"/>
              <w:marBottom w:val="0"/>
              <w:divBdr>
                <w:top w:val="none" w:sz="0" w:space="0" w:color="auto"/>
                <w:left w:val="none" w:sz="0" w:space="0" w:color="auto"/>
                <w:bottom w:val="none" w:sz="0" w:space="0" w:color="auto"/>
                <w:right w:val="none" w:sz="0" w:space="0" w:color="auto"/>
              </w:divBdr>
              <w:divsChild>
                <w:div w:id="1827891948">
                  <w:marLeft w:val="0"/>
                  <w:marRight w:val="0"/>
                  <w:marTop w:val="0"/>
                  <w:marBottom w:val="0"/>
                  <w:divBdr>
                    <w:top w:val="none" w:sz="0" w:space="0" w:color="auto"/>
                    <w:left w:val="none" w:sz="0" w:space="0" w:color="auto"/>
                    <w:bottom w:val="none" w:sz="0" w:space="0" w:color="auto"/>
                    <w:right w:val="none" w:sz="0" w:space="0" w:color="auto"/>
                  </w:divBdr>
                  <w:divsChild>
                    <w:div w:id="7901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11587">
      <w:bodyDiv w:val="1"/>
      <w:marLeft w:val="0"/>
      <w:marRight w:val="0"/>
      <w:marTop w:val="0"/>
      <w:marBottom w:val="0"/>
      <w:divBdr>
        <w:top w:val="none" w:sz="0" w:space="0" w:color="auto"/>
        <w:left w:val="none" w:sz="0" w:space="0" w:color="auto"/>
        <w:bottom w:val="none" w:sz="0" w:space="0" w:color="auto"/>
        <w:right w:val="none" w:sz="0" w:space="0" w:color="auto"/>
      </w:divBdr>
      <w:divsChild>
        <w:div w:id="851531585">
          <w:marLeft w:val="0"/>
          <w:marRight w:val="0"/>
          <w:marTop w:val="0"/>
          <w:marBottom w:val="0"/>
          <w:divBdr>
            <w:top w:val="none" w:sz="0" w:space="0" w:color="auto"/>
            <w:left w:val="none" w:sz="0" w:space="0" w:color="auto"/>
            <w:bottom w:val="none" w:sz="0" w:space="0" w:color="auto"/>
            <w:right w:val="none" w:sz="0" w:space="0" w:color="auto"/>
          </w:divBdr>
          <w:divsChild>
            <w:div w:id="812450914">
              <w:marLeft w:val="0"/>
              <w:marRight w:val="0"/>
              <w:marTop w:val="0"/>
              <w:marBottom w:val="0"/>
              <w:divBdr>
                <w:top w:val="none" w:sz="0" w:space="0" w:color="auto"/>
                <w:left w:val="none" w:sz="0" w:space="0" w:color="auto"/>
                <w:bottom w:val="none" w:sz="0" w:space="0" w:color="auto"/>
                <w:right w:val="none" w:sz="0" w:space="0" w:color="auto"/>
              </w:divBdr>
              <w:divsChild>
                <w:div w:id="985745818">
                  <w:marLeft w:val="0"/>
                  <w:marRight w:val="0"/>
                  <w:marTop w:val="0"/>
                  <w:marBottom w:val="0"/>
                  <w:divBdr>
                    <w:top w:val="none" w:sz="0" w:space="0" w:color="auto"/>
                    <w:left w:val="none" w:sz="0" w:space="0" w:color="auto"/>
                    <w:bottom w:val="none" w:sz="0" w:space="0" w:color="auto"/>
                    <w:right w:val="none" w:sz="0" w:space="0" w:color="auto"/>
                  </w:divBdr>
                  <w:divsChild>
                    <w:div w:id="4117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96688">
      <w:bodyDiv w:val="1"/>
      <w:marLeft w:val="0"/>
      <w:marRight w:val="0"/>
      <w:marTop w:val="0"/>
      <w:marBottom w:val="0"/>
      <w:divBdr>
        <w:top w:val="none" w:sz="0" w:space="0" w:color="auto"/>
        <w:left w:val="none" w:sz="0" w:space="0" w:color="auto"/>
        <w:bottom w:val="none" w:sz="0" w:space="0" w:color="auto"/>
        <w:right w:val="none" w:sz="0" w:space="0" w:color="auto"/>
      </w:divBdr>
      <w:divsChild>
        <w:div w:id="1399864998">
          <w:marLeft w:val="0"/>
          <w:marRight w:val="0"/>
          <w:marTop w:val="0"/>
          <w:marBottom w:val="0"/>
          <w:divBdr>
            <w:top w:val="none" w:sz="0" w:space="0" w:color="auto"/>
            <w:left w:val="none" w:sz="0" w:space="0" w:color="auto"/>
            <w:bottom w:val="none" w:sz="0" w:space="0" w:color="auto"/>
            <w:right w:val="none" w:sz="0" w:space="0" w:color="auto"/>
          </w:divBdr>
          <w:divsChild>
            <w:div w:id="830684343">
              <w:marLeft w:val="0"/>
              <w:marRight w:val="0"/>
              <w:marTop w:val="0"/>
              <w:marBottom w:val="0"/>
              <w:divBdr>
                <w:top w:val="none" w:sz="0" w:space="0" w:color="auto"/>
                <w:left w:val="none" w:sz="0" w:space="0" w:color="auto"/>
                <w:bottom w:val="none" w:sz="0" w:space="0" w:color="auto"/>
                <w:right w:val="none" w:sz="0" w:space="0" w:color="auto"/>
              </w:divBdr>
              <w:divsChild>
                <w:div w:id="2941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atarinastanic76:Dropbox:Indikatori:tekst:ARR%20vs%20MR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Data!$B$10</c:f>
              <c:strCache>
                <c:ptCount val="1"/>
                <c:pt idx="0">
                  <c:v>ARR</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invertIfNegative val="0"/>
          <c:cat>
            <c:strRef>
              <c:f>Data!$A$11:$A$44</c:f>
              <c:strCache>
                <c:ptCount val="34"/>
                <c:pt idx="0">
                  <c:v>European Union (28 countries)</c:v>
                </c:pt>
                <c:pt idx="1">
                  <c:v>Belgium</c:v>
                </c:pt>
                <c:pt idx="2">
                  <c:v>Bulgaria</c:v>
                </c:pt>
                <c:pt idx="3">
                  <c:v>Czech Republic</c:v>
                </c:pt>
                <c:pt idx="4">
                  <c:v>Denmark</c:v>
                </c:pt>
                <c:pt idx="5">
                  <c:v>Germany (until 1990 former territory of the FRG)</c:v>
                </c:pt>
                <c:pt idx="6">
                  <c:v>Estonia</c:v>
                </c:pt>
                <c:pt idx="7">
                  <c:v>Ireland</c:v>
                </c:pt>
                <c:pt idx="8">
                  <c:v>Greece</c:v>
                </c:pt>
                <c:pt idx="9">
                  <c:v>Spain</c:v>
                </c:pt>
                <c:pt idx="10">
                  <c:v>France</c:v>
                </c:pt>
                <c:pt idx="11">
                  <c:v>Croatia</c:v>
                </c:pt>
                <c:pt idx="12">
                  <c:v>Italy</c:v>
                </c:pt>
                <c:pt idx="13">
                  <c:v>Cyprus</c:v>
                </c:pt>
                <c:pt idx="14">
                  <c:v>Latvia</c:v>
                </c:pt>
                <c:pt idx="15">
                  <c:v>Lithuania</c:v>
                </c:pt>
                <c:pt idx="16">
                  <c:v>Luxembourg</c:v>
                </c:pt>
                <c:pt idx="17">
                  <c:v>Hungary</c:v>
                </c:pt>
                <c:pt idx="18">
                  <c:v>Malta</c:v>
                </c:pt>
                <c:pt idx="19">
                  <c:v>Netherlands</c:v>
                </c:pt>
                <c:pt idx="20">
                  <c:v>Austria</c:v>
                </c:pt>
                <c:pt idx="21">
                  <c:v>Poland</c:v>
                </c:pt>
                <c:pt idx="22">
                  <c:v>Portugal</c:v>
                </c:pt>
                <c:pt idx="23">
                  <c:v>Romania</c:v>
                </c:pt>
                <c:pt idx="24">
                  <c:v>Slovenia</c:v>
                </c:pt>
                <c:pt idx="25">
                  <c:v>Slovakia</c:v>
                </c:pt>
                <c:pt idx="26">
                  <c:v>Finland</c:v>
                </c:pt>
                <c:pt idx="27">
                  <c:v>Sweden</c:v>
                </c:pt>
                <c:pt idx="28">
                  <c:v>United Kingdom</c:v>
                </c:pt>
                <c:pt idx="29">
                  <c:v>Iceland</c:v>
                </c:pt>
                <c:pt idx="30">
                  <c:v>Norway</c:v>
                </c:pt>
                <c:pt idx="31">
                  <c:v>Switzerland</c:v>
                </c:pt>
                <c:pt idx="32">
                  <c:v>Former Yugoslav Republic of Macedonia, the</c:v>
                </c:pt>
                <c:pt idx="33">
                  <c:v>Serbia</c:v>
                </c:pt>
              </c:strCache>
            </c:strRef>
          </c:cat>
          <c:val>
            <c:numRef>
              <c:f>Data!$B$11:$B$44</c:f>
              <c:numCache>
                <c:formatCode>#,##0.00</c:formatCode>
                <c:ptCount val="34"/>
                <c:pt idx="0">
                  <c:v>0.56000000000000005</c:v>
                </c:pt>
                <c:pt idx="1">
                  <c:v>0.47</c:v>
                </c:pt>
                <c:pt idx="2">
                  <c:v>0.44</c:v>
                </c:pt>
                <c:pt idx="3">
                  <c:v>0.55000000000000004</c:v>
                </c:pt>
                <c:pt idx="4">
                  <c:v>0.45</c:v>
                </c:pt>
                <c:pt idx="5">
                  <c:v>0.45</c:v>
                </c:pt>
                <c:pt idx="6">
                  <c:v>0.47</c:v>
                </c:pt>
                <c:pt idx="7">
                  <c:v>0.38</c:v>
                </c:pt>
                <c:pt idx="8">
                  <c:v>0.60000000000000198</c:v>
                </c:pt>
                <c:pt idx="9">
                  <c:v>0.60000000000000198</c:v>
                </c:pt>
                <c:pt idx="10">
                  <c:v>0.69000000000000195</c:v>
                </c:pt>
                <c:pt idx="11">
                  <c:v>0.4</c:v>
                </c:pt>
                <c:pt idx="12">
                  <c:v>0.64000000000000201</c:v>
                </c:pt>
                <c:pt idx="13">
                  <c:v>0.39</c:v>
                </c:pt>
                <c:pt idx="14">
                  <c:v>0.44</c:v>
                </c:pt>
                <c:pt idx="15">
                  <c:v>0.45</c:v>
                </c:pt>
                <c:pt idx="16">
                  <c:v>0.85000000000000198</c:v>
                </c:pt>
                <c:pt idx="17">
                  <c:v>0.62000000000000199</c:v>
                </c:pt>
                <c:pt idx="18">
                  <c:v>0.56000000000000005</c:v>
                </c:pt>
                <c:pt idx="19">
                  <c:v>0.5</c:v>
                </c:pt>
                <c:pt idx="20">
                  <c:v>0.60000000000000198</c:v>
                </c:pt>
                <c:pt idx="21">
                  <c:v>0.630000000000002</c:v>
                </c:pt>
                <c:pt idx="22">
                  <c:v>0.630000000000002</c:v>
                </c:pt>
                <c:pt idx="23">
                  <c:v>0.65000000000000202</c:v>
                </c:pt>
                <c:pt idx="24">
                  <c:v>0.45</c:v>
                </c:pt>
                <c:pt idx="25">
                  <c:v>0.62000000000000199</c:v>
                </c:pt>
                <c:pt idx="26">
                  <c:v>0.51</c:v>
                </c:pt>
                <c:pt idx="27">
                  <c:v>0.60000000000000198</c:v>
                </c:pt>
                <c:pt idx="28">
                  <c:v>0.51</c:v>
                </c:pt>
                <c:pt idx="29">
                  <c:v>0.49</c:v>
                </c:pt>
                <c:pt idx="30">
                  <c:v>0.59</c:v>
                </c:pt>
                <c:pt idx="31">
                  <c:v>0.44</c:v>
                </c:pt>
                <c:pt idx="32">
                  <c:v>0.65000000000000202</c:v>
                </c:pt>
                <c:pt idx="33">
                  <c:v>0.47</c:v>
                </c:pt>
              </c:numCache>
            </c:numRef>
          </c:val>
          <c:extLst xmlns:c16r2="http://schemas.microsoft.com/office/drawing/2015/06/chart">
            <c:ext xmlns:c16="http://schemas.microsoft.com/office/drawing/2014/chart" uri="{C3380CC4-5D6E-409C-BE32-E72D297353CC}">
              <c16:uniqueId val="{00000000-229E-4D5D-9599-75362A24E9D3}"/>
            </c:ext>
          </c:extLst>
        </c:ser>
        <c:ser>
          <c:idx val="1"/>
          <c:order val="1"/>
          <c:tx>
            <c:strRef>
              <c:f>Data!$C$10</c:f>
              <c:strCache>
                <c:ptCount val="1"/>
                <c:pt idx="0">
                  <c:v>RMI (65+)</c:v>
                </c:pt>
              </c:strCache>
            </c:strRef>
          </c:tx>
          <c:spPr>
            <a:gradFill rotWithShape="0">
              <a:gsLst>
                <a:gs pos="0">
                  <a:srgbClr val="FF9A99"/>
                </a:gs>
                <a:gs pos="100000">
                  <a:srgbClr val="D1403C"/>
                </a:gs>
              </a:gsLst>
              <a:lin ang="5400000"/>
            </a:gradFill>
            <a:ln w="25400">
              <a:noFill/>
            </a:ln>
            <a:effectLst/>
          </c:spPr>
          <c:invertIfNegative val="0"/>
          <c:cat>
            <c:strRef>
              <c:f>Data!$A$11:$A$44</c:f>
              <c:strCache>
                <c:ptCount val="34"/>
                <c:pt idx="0">
                  <c:v>European Union (28 countries)</c:v>
                </c:pt>
                <c:pt idx="1">
                  <c:v>Belgium</c:v>
                </c:pt>
                <c:pt idx="2">
                  <c:v>Bulgaria</c:v>
                </c:pt>
                <c:pt idx="3">
                  <c:v>Czech Republic</c:v>
                </c:pt>
                <c:pt idx="4">
                  <c:v>Denmark</c:v>
                </c:pt>
                <c:pt idx="5">
                  <c:v>Germany (until 1990 former territory of the FRG)</c:v>
                </c:pt>
                <c:pt idx="6">
                  <c:v>Estonia</c:v>
                </c:pt>
                <c:pt idx="7">
                  <c:v>Ireland</c:v>
                </c:pt>
                <c:pt idx="8">
                  <c:v>Greece</c:v>
                </c:pt>
                <c:pt idx="9">
                  <c:v>Spain</c:v>
                </c:pt>
                <c:pt idx="10">
                  <c:v>France</c:v>
                </c:pt>
                <c:pt idx="11">
                  <c:v>Croatia</c:v>
                </c:pt>
                <c:pt idx="12">
                  <c:v>Italy</c:v>
                </c:pt>
                <c:pt idx="13">
                  <c:v>Cyprus</c:v>
                </c:pt>
                <c:pt idx="14">
                  <c:v>Latvia</c:v>
                </c:pt>
                <c:pt idx="15">
                  <c:v>Lithuania</c:v>
                </c:pt>
                <c:pt idx="16">
                  <c:v>Luxembourg</c:v>
                </c:pt>
                <c:pt idx="17">
                  <c:v>Hungary</c:v>
                </c:pt>
                <c:pt idx="18">
                  <c:v>Malta</c:v>
                </c:pt>
                <c:pt idx="19">
                  <c:v>Netherlands</c:v>
                </c:pt>
                <c:pt idx="20">
                  <c:v>Austria</c:v>
                </c:pt>
                <c:pt idx="21">
                  <c:v>Poland</c:v>
                </c:pt>
                <c:pt idx="22">
                  <c:v>Portugal</c:v>
                </c:pt>
                <c:pt idx="23">
                  <c:v>Romania</c:v>
                </c:pt>
                <c:pt idx="24">
                  <c:v>Slovenia</c:v>
                </c:pt>
                <c:pt idx="25">
                  <c:v>Slovakia</c:v>
                </c:pt>
                <c:pt idx="26">
                  <c:v>Finland</c:v>
                </c:pt>
                <c:pt idx="27">
                  <c:v>Sweden</c:v>
                </c:pt>
                <c:pt idx="28">
                  <c:v>United Kingdom</c:v>
                </c:pt>
                <c:pt idx="29">
                  <c:v>Iceland</c:v>
                </c:pt>
                <c:pt idx="30">
                  <c:v>Norway</c:v>
                </c:pt>
                <c:pt idx="31">
                  <c:v>Switzerland</c:v>
                </c:pt>
                <c:pt idx="32">
                  <c:v>Former Yugoslav Republic of Macedonia, the</c:v>
                </c:pt>
                <c:pt idx="33">
                  <c:v>Serbia</c:v>
                </c:pt>
              </c:strCache>
            </c:strRef>
          </c:cat>
          <c:val>
            <c:numRef>
              <c:f>Data!$C$11:$C$44</c:f>
              <c:numCache>
                <c:formatCode>#,##0.00</c:formatCode>
                <c:ptCount val="34"/>
                <c:pt idx="0">
                  <c:v>0.94000000000000195</c:v>
                </c:pt>
                <c:pt idx="1">
                  <c:v>0.77</c:v>
                </c:pt>
                <c:pt idx="2">
                  <c:v>0.82000000000000195</c:v>
                </c:pt>
                <c:pt idx="3">
                  <c:v>0.84000000000000197</c:v>
                </c:pt>
                <c:pt idx="4">
                  <c:v>0.78</c:v>
                </c:pt>
                <c:pt idx="5">
                  <c:v>0.9</c:v>
                </c:pt>
                <c:pt idx="6">
                  <c:v>0.630000000000002</c:v>
                </c:pt>
                <c:pt idx="7">
                  <c:v>0.91</c:v>
                </c:pt>
                <c:pt idx="8">
                  <c:v>1</c:v>
                </c:pt>
                <c:pt idx="9">
                  <c:v>1.03</c:v>
                </c:pt>
                <c:pt idx="10">
                  <c:v>1.02</c:v>
                </c:pt>
                <c:pt idx="11">
                  <c:v>0.88</c:v>
                </c:pt>
                <c:pt idx="12">
                  <c:v>0.99</c:v>
                </c:pt>
                <c:pt idx="13">
                  <c:v>0.750000000000002</c:v>
                </c:pt>
                <c:pt idx="14">
                  <c:v>0.71000000000000196</c:v>
                </c:pt>
                <c:pt idx="15">
                  <c:v>0.77</c:v>
                </c:pt>
                <c:pt idx="16">
                  <c:v>1.1100000000000001</c:v>
                </c:pt>
                <c:pt idx="17">
                  <c:v>1.05</c:v>
                </c:pt>
                <c:pt idx="18">
                  <c:v>0.78</c:v>
                </c:pt>
                <c:pt idx="19">
                  <c:v>0.89</c:v>
                </c:pt>
                <c:pt idx="20">
                  <c:v>0.95000000000000195</c:v>
                </c:pt>
                <c:pt idx="21">
                  <c:v>0.99</c:v>
                </c:pt>
                <c:pt idx="22">
                  <c:v>0.94000000000000195</c:v>
                </c:pt>
                <c:pt idx="23">
                  <c:v>1.04</c:v>
                </c:pt>
                <c:pt idx="24">
                  <c:v>0.91</c:v>
                </c:pt>
                <c:pt idx="25">
                  <c:v>0.91</c:v>
                </c:pt>
                <c:pt idx="26">
                  <c:v>0.79</c:v>
                </c:pt>
                <c:pt idx="27">
                  <c:v>0.83000000000000196</c:v>
                </c:pt>
                <c:pt idx="28">
                  <c:v>0.87000000000000199</c:v>
                </c:pt>
                <c:pt idx="29">
                  <c:v>0.9</c:v>
                </c:pt>
                <c:pt idx="30">
                  <c:v>0.92</c:v>
                </c:pt>
                <c:pt idx="31">
                  <c:v>0.82000000000000195</c:v>
                </c:pt>
                <c:pt idx="32">
                  <c:v>1.1000000000000001</c:v>
                </c:pt>
                <c:pt idx="33">
                  <c:v>1.07</c:v>
                </c:pt>
              </c:numCache>
            </c:numRef>
          </c:val>
          <c:extLst xmlns:c16r2="http://schemas.microsoft.com/office/drawing/2015/06/chart">
            <c:ext xmlns:c16="http://schemas.microsoft.com/office/drawing/2014/chart" uri="{C3380CC4-5D6E-409C-BE32-E72D297353CC}">
              <c16:uniqueId val="{00000001-229E-4D5D-9599-75362A24E9D3}"/>
            </c:ext>
          </c:extLst>
        </c:ser>
        <c:dLbls>
          <c:showLegendKey val="0"/>
          <c:showVal val="0"/>
          <c:showCatName val="0"/>
          <c:showSerName val="0"/>
          <c:showPercent val="0"/>
          <c:showBubbleSize val="0"/>
        </c:dLbls>
        <c:gapWidth val="150"/>
        <c:axId val="-607601776"/>
        <c:axId val="-607611024"/>
      </c:barChart>
      <c:catAx>
        <c:axId val="-607601776"/>
        <c:scaling>
          <c:orientation val="minMax"/>
        </c:scaling>
        <c:delete val="0"/>
        <c:axPos val="b"/>
        <c:numFmt formatCode="General" sourceLinked="1"/>
        <c:majorTickMark val="out"/>
        <c:minorTickMark val="none"/>
        <c:tickLblPos val="nextTo"/>
        <c:spPr>
          <a:ln w="3175">
            <a:solidFill>
              <a:srgbClr val="808080"/>
            </a:solidFill>
            <a:prstDash val="solid"/>
          </a:ln>
        </c:spPr>
        <c:txPr>
          <a:bodyPr rot="-5400000" vert="horz" anchor="ctr" anchorCtr="1"/>
          <a:lstStyle/>
          <a:p>
            <a:pPr>
              <a:defRPr sz="800">
                <a:latin typeface="Arial"/>
                <a:cs typeface="Arial"/>
              </a:defRPr>
            </a:pPr>
            <a:endParaRPr lang="en-US"/>
          </a:p>
        </c:txPr>
        <c:crossAx val="-607611024"/>
        <c:crosses val="autoZero"/>
        <c:auto val="1"/>
        <c:lblAlgn val="ctr"/>
        <c:lblOffset val="100"/>
        <c:noMultiLvlLbl val="0"/>
      </c:catAx>
      <c:valAx>
        <c:axId val="-607611024"/>
        <c:scaling>
          <c:orientation val="minMax"/>
        </c:scaling>
        <c:delete val="0"/>
        <c:axPos val="l"/>
        <c:majorGridlines>
          <c:spPr>
            <a:ln w="3175">
              <a:solidFill>
                <a:srgbClr val="808080"/>
              </a:solidFill>
              <a:prstDash val="solid"/>
            </a:ln>
          </c:spPr>
        </c:majorGridlines>
        <c:numFmt formatCode="#,##0.00" sourceLinked="1"/>
        <c:majorTickMark val="out"/>
        <c:minorTickMark val="none"/>
        <c:tickLblPos val="nextTo"/>
        <c:spPr>
          <a:ln w="3175">
            <a:solidFill>
              <a:srgbClr val="808080"/>
            </a:solidFill>
            <a:prstDash val="solid"/>
          </a:ln>
        </c:spPr>
        <c:txPr>
          <a:bodyPr/>
          <a:lstStyle/>
          <a:p>
            <a:pPr>
              <a:defRPr sz="800">
                <a:latin typeface="Arial"/>
                <a:cs typeface="Arial"/>
              </a:defRPr>
            </a:pPr>
            <a:endParaRPr lang="en-US"/>
          </a:p>
        </c:txPr>
        <c:crossAx val="-607601776"/>
        <c:crosses val="autoZero"/>
        <c:crossBetween val="between"/>
      </c:valAx>
      <c:spPr>
        <a:solidFill>
          <a:srgbClr val="FFFFFF"/>
        </a:solidFill>
        <a:ln w="25400">
          <a:noFill/>
        </a:ln>
      </c:spPr>
    </c:plotArea>
    <c:legend>
      <c:legendPos val="b"/>
      <c:layout>
        <c:manualLayout>
          <c:xMode val="edge"/>
          <c:yMode val="edge"/>
          <c:x val="0.33903026278341702"/>
          <c:y val="0.76655754527717901"/>
          <c:w val="0.34844549852955098"/>
          <c:h val="7.9189805221715703E-2"/>
        </c:manualLayout>
      </c:layout>
      <c:overlay val="0"/>
      <c:spPr>
        <a:noFill/>
        <a:ln w="25400">
          <a:noFill/>
        </a:ln>
      </c:spPr>
      <c:txPr>
        <a:bodyPr/>
        <a:lstStyle/>
        <a:p>
          <a:pPr>
            <a:defRPr sz="800"/>
          </a:pPr>
          <a:endParaRPr lang="en-US"/>
        </a:p>
      </c:txPr>
    </c:legend>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81FEC-36AC-4492-BB69-0885D438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14102</Words>
  <Characters>80383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Monitoring Social Inclusion in the Republic of Serbia – Indicators in the field of pensions</vt:lpstr>
    </vt:vector>
  </TitlesOfParts>
  <Company/>
  <LinksUpToDate>false</LinksUpToDate>
  <CharactersWithSpaces>94297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Social Inclusion in the Republic of Serbia – Indicators in the field of pensions</dc:title>
  <dc:creator>Admin</dc:creator>
  <cp:lastModifiedBy>jovan.vojinovic</cp:lastModifiedBy>
  <cp:revision>2</cp:revision>
  <dcterms:created xsi:type="dcterms:W3CDTF">2017-10-11T10:23:00Z</dcterms:created>
  <dcterms:modified xsi:type="dcterms:W3CDTF">2017-10-11T10:23:00Z</dcterms:modified>
</cp:coreProperties>
</file>