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0666" w14:textId="77777777" w:rsidR="000F2264" w:rsidRPr="00E74111" w:rsidRDefault="000F2264" w:rsidP="000F2264">
      <w:pPr>
        <w:tabs>
          <w:tab w:val="left" w:pos="0"/>
          <w:tab w:val="left" w:pos="720"/>
          <w:tab w:val="left" w:pos="1080"/>
        </w:tabs>
        <w:spacing w:before="120" w:after="120"/>
        <w:jc w:val="center"/>
        <w:rPr>
          <w:b/>
          <w:u w:val="single"/>
        </w:rPr>
      </w:pPr>
      <w:r w:rsidRPr="00E74111">
        <w:rPr>
          <w:b/>
        </w:rPr>
        <w:t>Terms of Reference and Scope of Services</w:t>
      </w:r>
    </w:p>
    <w:p w14:paraId="6CE95A42" w14:textId="77777777" w:rsidR="000F2264" w:rsidRPr="00E74111" w:rsidRDefault="000F2264" w:rsidP="000F2264">
      <w:pPr>
        <w:tabs>
          <w:tab w:val="left" w:pos="0"/>
          <w:tab w:val="left" w:pos="720"/>
          <w:tab w:val="left" w:pos="1080"/>
        </w:tabs>
        <w:jc w:val="center"/>
        <w:outlineLvl w:val="0"/>
        <w:rPr>
          <w:b/>
          <w:bCs/>
          <w:color w:val="000000" w:themeColor="text1"/>
        </w:rPr>
      </w:pPr>
      <w:r w:rsidRPr="00E74111">
        <w:rPr>
          <w:b/>
          <w:bCs/>
          <w:color w:val="000000" w:themeColor="text1"/>
        </w:rPr>
        <w:t xml:space="preserve">Support to the Ministry of Labor, Employment, Veteran and Social Affairs for the preparation of the Employment Strategy of the Republic of Serbia for the period 2021-2026: </w:t>
      </w:r>
    </w:p>
    <w:p w14:paraId="4F3882B2" w14:textId="77777777" w:rsidR="000F2264" w:rsidRPr="00E74111" w:rsidRDefault="000F2264" w:rsidP="000F2264">
      <w:pPr>
        <w:tabs>
          <w:tab w:val="left" w:pos="0"/>
          <w:tab w:val="left" w:pos="720"/>
          <w:tab w:val="left" w:pos="1080"/>
        </w:tabs>
        <w:jc w:val="center"/>
        <w:outlineLvl w:val="0"/>
        <w:rPr>
          <w:b/>
        </w:rPr>
      </w:pPr>
      <w:r w:rsidRPr="00BF183E">
        <w:rPr>
          <w:b/>
          <w:bCs/>
          <w:color w:val="000000" w:themeColor="text1"/>
        </w:rPr>
        <w:t xml:space="preserve">Preparation of the Proposal of the Strategy </w:t>
      </w:r>
    </w:p>
    <w:p w14:paraId="45FAD615" w14:textId="77777777" w:rsidR="000F2264" w:rsidRPr="00E74111" w:rsidRDefault="000F2264" w:rsidP="000F2264">
      <w:pPr>
        <w:tabs>
          <w:tab w:val="left" w:pos="0"/>
          <w:tab w:val="left" w:pos="720"/>
          <w:tab w:val="left" w:pos="1080"/>
        </w:tabs>
        <w:jc w:val="center"/>
        <w:outlineLvl w:val="0"/>
        <w:rPr>
          <w:b/>
        </w:rPr>
      </w:pPr>
    </w:p>
    <w:p w14:paraId="42F3C14A" w14:textId="77777777" w:rsidR="000F2264" w:rsidRPr="00E74111" w:rsidRDefault="000F2264" w:rsidP="000F2264">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color w:val="000000"/>
          <w:sz w:val="24"/>
          <w:szCs w:val="24"/>
          <w:lang w:val="en-GB"/>
        </w:rPr>
      </w:pPr>
      <w:r w:rsidRPr="00E74111">
        <w:rPr>
          <w:rFonts w:ascii="Times New Roman" w:hAnsi="Times New Roman" w:cs="Times New Roman"/>
          <w:b/>
          <w:color w:val="000000" w:themeColor="text1"/>
          <w:sz w:val="24"/>
          <w:szCs w:val="24"/>
        </w:rPr>
        <w:t>Position:</w:t>
      </w:r>
      <w:r w:rsidRPr="00E74111">
        <w:rPr>
          <w:rFonts w:ascii="Times New Roman" w:hAnsi="Times New Roman" w:cs="Times New Roman"/>
          <w:b/>
          <w:color w:val="000000" w:themeColor="text1"/>
          <w:sz w:val="24"/>
          <w:szCs w:val="24"/>
        </w:rPr>
        <w:tab/>
      </w:r>
      <w:r>
        <w:rPr>
          <w:rFonts w:ascii="Times New Roman" w:hAnsi="Times New Roman" w:cs="Times New Roman"/>
          <w:color w:val="000000"/>
          <w:sz w:val="24"/>
          <w:szCs w:val="24"/>
          <w:lang w:val="en-GB"/>
        </w:rPr>
        <w:t>Consultant</w:t>
      </w:r>
    </w:p>
    <w:p w14:paraId="1C4B0FAC" w14:textId="77777777" w:rsidR="000F2264" w:rsidRDefault="000F2264" w:rsidP="000F2264">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E74111">
        <w:rPr>
          <w:rFonts w:ascii="Times New Roman" w:hAnsi="Times New Roman" w:cs="Times New Roman"/>
          <w:b/>
          <w:color w:val="000000" w:themeColor="text1"/>
          <w:sz w:val="24"/>
          <w:szCs w:val="24"/>
        </w:rPr>
        <w:t>Duration:</w:t>
      </w:r>
      <w:r w:rsidRPr="00E74111">
        <w:rPr>
          <w:rFonts w:ascii="Times New Roman" w:hAnsi="Times New Roman" w:cs="Times New Roman"/>
          <w:color w:val="000000" w:themeColor="text1"/>
          <w:sz w:val="24"/>
          <w:szCs w:val="24"/>
        </w:rPr>
        <w:t xml:space="preserve"> </w:t>
      </w:r>
      <w:r w:rsidRPr="00E74111">
        <w:rPr>
          <w:rFonts w:ascii="Times New Roman" w:hAnsi="Times New Roman" w:cs="Times New Roman"/>
          <w:color w:val="000000" w:themeColor="text1"/>
          <w:sz w:val="24"/>
          <w:szCs w:val="24"/>
        </w:rPr>
        <w:tab/>
        <w:t xml:space="preserve"> </w:t>
      </w:r>
      <w:r w:rsidRPr="00241CB7">
        <w:rPr>
          <w:rFonts w:ascii="Times New Roman" w:hAnsi="Times New Roman" w:cs="Times New Roman"/>
          <w:color w:val="000000" w:themeColor="text1"/>
          <w:sz w:val="24"/>
          <w:szCs w:val="24"/>
        </w:rPr>
        <w:t>August 2020 – February 2021</w:t>
      </w:r>
    </w:p>
    <w:p w14:paraId="06A50085" w14:textId="77777777" w:rsidR="000F2264" w:rsidRPr="00E74111" w:rsidRDefault="000F2264" w:rsidP="000F2264">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Resources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Up to 25 days</w:t>
      </w:r>
    </w:p>
    <w:p w14:paraId="0311A94A" w14:textId="77777777" w:rsidR="000F2264" w:rsidRPr="00E74111" w:rsidRDefault="000F2264" w:rsidP="000F2264">
      <w:pPr>
        <w:tabs>
          <w:tab w:val="left" w:pos="0"/>
          <w:tab w:val="left" w:pos="720"/>
          <w:tab w:val="left" w:pos="1080"/>
        </w:tabs>
        <w:spacing w:before="120" w:after="120"/>
        <w:outlineLvl w:val="0"/>
        <w:rPr>
          <w:b/>
        </w:rPr>
      </w:pPr>
    </w:p>
    <w:p w14:paraId="57982D7C" w14:textId="77777777" w:rsidR="000F2264" w:rsidRPr="00E74111" w:rsidRDefault="000F2264" w:rsidP="000F2264">
      <w:pPr>
        <w:pStyle w:val="Heading1"/>
        <w:numPr>
          <w:ilvl w:val="0"/>
          <w:numId w:val="3"/>
        </w:numPr>
        <w:spacing w:after="120"/>
        <w:jc w:val="both"/>
        <w:rPr>
          <w:u w:val="single"/>
        </w:rPr>
      </w:pPr>
      <w:r w:rsidRPr="00E74111">
        <w:rPr>
          <w:u w:val="single"/>
        </w:rPr>
        <w:t>Background</w:t>
      </w:r>
    </w:p>
    <w:p w14:paraId="0415D155" w14:textId="77777777" w:rsidR="000F2264" w:rsidRPr="00E74111" w:rsidRDefault="000F2264" w:rsidP="000F2264">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540C67D8" w14:textId="77777777" w:rsidR="000F2264" w:rsidRPr="00E74111" w:rsidRDefault="000F2264" w:rsidP="000F2264">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In the previous period, the Instrument for Pre-Accession Assistance (IPA) funds were unsuitable for developing and testing ideas for policy reforms before the wider implementation. The Government of Serbia (</w:t>
      </w:r>
      <w:proofErr w:type="spellStart"/>
      <w:r w:rsidRPr="00E74111">
        <w:rPr>
          <w:rFonts w:ascii="Times New Roman" w:hAnsi="Times New Roman" w:cs="Times New Roman"/>
          <w:sz w:val="24"/>
          <w:szCs w:val="24"/>
        </w:rPr>
        <w:t>GoS</w:t>
      </w:r>
      <w:proofErr w:type="spellEnd"/>
      <w:r w:rsidRPr="00E74111">
        <w:rPr>
          <w:rFonts w:ascii="Times New Roman" w:hAnsi="Times New Roman" w:cs="Times New Roman"/>
          <w:sz w:val="24"/>
          <w:szCs w:val="24"/>
        </w:rPr>
        <w:t xml:space="preserve">) has invited Switzerland to support the ESRP process within the E2E main phase, as the Swiss support to the </w:t>
      </w:r>
      <w:proofErr w:type="spellStart"/>
      <w:r w:rsidRPr="00E74111">
        <w:rPr>
          <w:rFonts w:ascii="Times New Roman" w:hAnsi="Times New Roman" w:cs="Times New Roman"/>
          <w:sz w:val="24"/>
          <w:szCs w:val="24"/>
        </w:rPr>
        <w:t>GoS</w:t>
      </w:r>
      <w:proofErr w:type="spellEnd"/>
      <w:r w:rsidRPr="00E74111">
        <w:rPr>
          <w:rFonts w:ascii="Times New Roman" w:hAnsi="Times New Roman" w:cs="Times New Roman"/>
          <w:sz w:val="24"/>
          <w:szCs w:val="24"/>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7AF8AB9F" w14:textId="77777777" w:rsidR="000F2264" w:rsidRPr="00E74111" w:rsidRDefault="000F2264" w:rsidP="000F2264">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 xml:space="preserve">The education system still fails to develop skills relevant for the Serbian </w:t>
      </w:r>
      <w:proofErr w:type="spellStart"/>
      <w:r w:rsidRPr="00E74111">
        <w:rPr>
          <w:rFonts w:ascii="Times New Roman" w:hAnsi="Times New Roman" w:cs="Times New Roman"/>
          <w:sz w:val="24"/>
          <w:szCs w:val="24"/>
        </w:rPr>
        <w:t>labour</w:t>
      </w:r>
      <w:proofErr w:type="spellEnd"/>
      <w:r w:rsidRPr="00E74111">
        <w:rPr>
          <w:rFonts w:ascii="Times New Roman" w:hAnsi="Times New Roman" w:cs="Times New Roman"/>
          <w:sz w:val="24"/>
          <w:szCs w:val="24"/>
        </w:rPr>
        <w:t xml:space="preserve"> market. This mismatch between skills supply and demand on the </w:t>
      </w:r>
      <w:proofErr w:type="spellStart"/>
      <w:r w:rsidRPr="00E74111">
        <w:rPr>
          <w:rFonts w:ascii="Times New Roman" w:hAnsi="Times New Roman" w:cs="Times New Roman"/>
          <w:sz w:val="24"/>
          <w:szCs w:val="24"/>
        </w:rPr>
        <w:t>labour</w:t>
      </w:r>
      <w:proofErr w:type="spellEnd"/>
      <w:r w:rsidRPr="00E74111">
        <w:rPr>
          <w:rFonts w:ascii="Times New Roman" w:hAnsi="Times New Roman" w:cs="Times New Roman"/>
          <w:sz w:val="24"/>
          <w:szCs w:val="24"/>
        </w:rPr>
        <w:t xml:space="preserve">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30DCF104" w14:textId="77777777" w:rsidR="000F2264" w:rsidRPr="00E74111" w:rsidRDefault="000F2264" w:rsidP="000F2264">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The Project “From Education to Employment – E2</w:t>
      </w:r>
      <w:proofErr w:type="gramStart"/>
      <w:r w:rsidRPr="00E74111">
        <w:rPr>
          <w:rFonts w:ascii="Times New Roman" w:hAnsi="Times New Roman" w:cs="Times New Roman"/>
          <w:sz w:val="24"/>
          <w:szCs w:val="24"/>
        </w:rPr>
        <w:t>E“ is</w:t>
      </w:r>
      <w:proofErr w:type="gramEnd"/>
      <w:r w:rsidRPr="00E74111">
        <w:rPr>
          <w:rFonts w:ascii="Times New Roman" w:hAnsi="Times New Roman" w:cs="Times New Roman"/>
          <w:sz w:val="24"/>
          <w:szCs w:val="24"/>
        </w:rPr>
        <w:t xml:space="preserve"> part of the larger E2E program launched by the Swiss Agency for Development and Cooperation (SDC) in 2015 with the overall goal to increase decent youth employability in Serbia in a socially inclusive and sustainable way. E2E improves the position of youth on the Serbian </w:t>
      </w:r>
      <w:proofErr w:type="spellStart"/>
      <w:r w:rsidRPr="00E74111">
        <w:rPr>
          <w:rFonts w:ascii="Times New Roman" w:hAnsi="Times New Roman" w:cs="Times New Roman"/>
          <w:sz w:val="24"/>
          <w:szCs w:val="24"/>
        </w:rPr>
        <w:t>labour</w:t>
      </w:r>
      <w:proofErr w:type="spellEnd"/>
      <w:r w:rsidRPr="00E74111">
        <w:rPr>
          <w:rFonts w:ascii="Times New Roman" w:hAnsi="Times New Roman" w:cs="Times New Roman"/>
          <w:sz w:val="24"/>
          <w:szCs w:val="24"/>
        </w:rPr>
        <w:t xml:space="preserve"> market through modernization of youth employment policies and the development of young skilled </w:t>
      </w:r>
      <w:proofErr w:type="spellStart"/>
      <w:r w:rsidRPr="00E74111">
        <w:rPr>
          <w:rFonts w:ascii="Times New Roman" w:hAnsi="Times New Roman" w:cs="Times New Roman"/>
          <w:sz w:val="24"/>
          <w:szCs w:val="24"/>
        </w:rPr>
        <w:t>labour</w:t>
      </w:r>
      <w:proofErr w:type="spellEnd"/>
      <w:r w:rsidRPr="00E74111">
        <w:rPr>
          <w:rFonts w:ascii="Times New Roman" w:hAnsi="Times New Roman" w:cs="Times New Roman"/>
          <w:sz w:val="24"/>
          <w:szCs w:val="24"/>
        </w:rPr>
        <w:t xml:space="preserve"> demanded by the private sector. </w:t>
      </w:r>
    </w:p>
    <w:p w14:paraId="271702D7" w14:textId="77777777" w:rsidR="000F2264" w:rsidRPr="00E74111" w:rsidRDefault="000F2264" w:rsidP="000F2264">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 xml:space="preserve">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w:t>
      </w:r>
      <w:r w:rsidRPr="00E74111">
        <w:rPr>
          <w:rFonts w:ascii="Times New Roman" w:hAnsi="Times New Roman" w:cs="Times New Roman"/>
          <w:sz w:val="24"/>
          <w:szCs w:val="24"/>
        </w:rPr>
        <w:lastRenderedPageBreak/>
        <w:t>Education, Science and Technological Development (</w:t>
      </w:r>
      <w:proofErr w:type="spellStart"/>
      <w:r w:rsidRPr="00E74111">
        <w:rPr>
          <w:rFonts w:ascii="Times New Roman" w:hAnsi="Times New Roman" w:cs="Times New Roman"/>
          <w:sz w:val="24"/>
          <w:szCs w:val="24"/>
        </w:rPr>
        <w:t>MoESTD</w:t>
      </w:r>
      <w:proofErr w:type="spellEnd"/>
      <w:r w:rsidRPr="00E74111">
        <w:rPr>
          <w:rFonts w:ascii="Times New Roman" w:hAnsi="Times New Roman" w:cs="Times New Roman"/>
          <w:sz w:val="24"/>
          <w:szCs w:val="24"/>
        </w:rPr>
        <w:t>). Line ministries were actively involved in the design and implementation of the main phase and the 2nd phase is continuation of the joint efforts for youth employment up to 2021.</w:t>
      </w:r>
    </w:p>
    <w:p w14:paraId="38D4CA86" w14:textId="77777777" w:rsidR="000F2264" w:rsidRPr="00E74111" w:rsidRDefault="000F2264" w:rsidP="000F2264">
      <w:pPr>
        <w:pStyle w:val="PlainText"/>
        <w:spacing w:after="120"/>
        <w:jc w:val="both"/>
        <w:rPr>
          <w:rFonts w:ascii="Times New Roman" w:hAnsi="Times New Roman" w:cs="Times New Roman"/>
          <w:b/>
          <w:sz w:val="24"/>
          <w:szCs w:val="24"/>
          <w:u w:val="single"/>
        </w:rPr>
      </w:pPr>
    </w:p>
    <w:p w14:paraId="566A370B" w14:textId="77777777" w:rsidR="000F2264" w:rsidRPr="00E74111" w:rsidRDefault="000F2264" w:rsidP="000F2264">
      <w:pPr>
        <w:pStyle w:val="Heading1"/>
        <w:numPr>
          <w:ilvl w:val="0"/>
          <w:numId w:val="3"/>
        </w:numPr>
        <w:spacing w:after="120"/>
        <w:jc w:val="both"/>
        <w:rPr>
          <w:u w:val="single"/>
        </w:rPr>
      </w:pPr>
      <w:r w:rsidRPr="00E74111">
        <w:rPr>
          <w:u w:val="single"/>
        </w:rPr>
        <w:t>Introduction</w:t>
      </w:r>
    </w:p>
    <w:p w14:paraId="43CE7BF6" w14:textId="77777777" w:rsidR="000F2264" w:rsidRPr="00E74111" w:rsidRDefault="000F2264" w:rsidP="000F2264">
      <w:pPr>
        <w:jc w:val="both"/>
      </w:pPr>
      <w:r w:rsidRPr="00E74111">
        <w:t>The overall goal of the E2E program is to increase decent youth employment in Serbia in a socially inclusive and sustainable way. The project has two outcomes:</w:t>
      </w:r>
    </w:p>
    <w:p w14:paraId="63765379" w14:textId="77777777" w:rsidR="000F2264" w:rsidRPr="00E74111" w:rsidRDefault="000F2264" w:rsidP="000F2264">
      <w:pPr>
        <w:ind w:firstLine="720"/>
        <w:jc w:val="both"/>
      </w:pPr>
      <w:r w:rsidRPr="00E74111">
        <w:t xml:space="preserve">Outcome 1: Relevant national and local key stakeholders apply effective and evidence-based policies on youth employment and employability through increased performance capacities and diversified funding portfolio. </w:t>
      </w:r>
    </w:p>
    <w:p w14:paraId="4D6D3142" w14:textId="77777777" w:rsidR="000F2264" w:rsidRPr="00E74111" w:rsidRDefault="000F2264" w:rsidP="000F2264">
      <w:pPr>
        <w:spacing w:after="120"/>
        <w:ind w:firstLine="720"/>
        <w:jc w:val="both"/>
      </w:pPr>
      <w:r w:rsidRPr="00E74111">
        <w:t xml:space="preserve">Outcome 2: Young jobseekers are better able to position themselves on the </w:t>
      </w:r>
      <w:proofErr w:type="spellStart"/>
      <w:r w:rsidRPr="00E74111">
        <w:t>labour</w:t>
      </w:r>
      <w:proofErr w:type="spellEnd"/>
      <w:r w:rsidRPr="00E74111">
        <w:t xml:space="preserve"> market through employment promotion measures and non-formal training offers required by the private sector in selected regions of Serbia. </w:t>
      </w:r>
    </w:p>
    <w:p w14:paraId="710784D2" w14:textId="77777777" w:rsidR="000F2264" w:rsidRPr="00E74111" w:rsidRDefault="000F2264" w:rsidP="000F2264">
      <w:pPr>
        <w:jc w:val="both"/>
      </w:pPr>
      <w:r w:rsidRPr="00E74111">
        <w:t>As per Outcome 1 the following key Outputs are envisaged as the employment policy prioritization:</w:t>
      </w:r>
    </w:p>
    <w:p w14:paraId="487F4FF2" w14:textId="77777777" w:rsidR="000F2264" w:rsidRPr="00E74111" w:rsidRDefault="000F2264" w:rsidP="000F2264">
      <w:pPr>
        <w:pStyle w:val="ListParagraph"/>
        <w:numPr>
          <w:ilvl w:val="0"/>
          <w:numId w:val="2"/>
        </w:numPr>
        <w:jc w:val="both"/>
      </w:pPr>
      <w:r w:rsidRPr="00E74111">
        <w:t xml:space="preserve">Within the legal framework: 1) the amendments to the Law on Employment and Unemployment Insurance in order to align with the Law on Planning System including institutional framework for NSCO will be revised; 2) the amendments to the Labour Law, and with an particular focus on improving the quality framework for traineeships and youth employability (Action Plan for Chapter 19). </w:t>
      </w:r>
    </w:p>
    <w:p w14:paraId="572AC0DE" w14:textId="77777777" w:rsidR="000F2264" w:rsidRPr="00E74111" w:rsidRDefault="000F2264" w:rsidP="000F2264">
      <w:pPr>
        <w:pStyle w:val="ListParagraph"/>
        <w:numPr>
          <w:ilvl w:val="0"/>
          <w:numId w:val="2"/>
        </w:numPr>
        <w:jc w:val="both"/>
      </w:pPr>
      <w:r w:rsidRPr="00E74111">
        <w:t>Within the strategic framework: 1) Employment Strategy for the period 2021</w:t>
      </w:r>
      <w:r>
        <w:t>-2026</w:t>
      </w:r>
      <w:r w:rsidRPr="00E74111">
        <w:t>; 2) National employment action plan (NEAP</w:t>
      </w:r>
      <w:r>
        <w:t>) for the period 2021-2023</w:t>
      </w:r>
      <w:r w:rsidRPr="00E74111">
        <w:t xml:space="preserve">; 3) National Standard Classification of Occupations (NSCO). </w:t>
      </w:r>
    </w:p>
    <w:p w14:paraId="1E35E934" w14:textId="77777777" w:rsidR="000F2264" w:rsidRPr="00E74111" w:rsidRDefault="000F2264" w:rsidP="000F2264">
      <w:pPr>
        <w:pStyle w:val="ListParagraph"/>
        <w:numPr>
          <w:ilvl w:val="0"/>
          <w:numId w:val="2"/>
        </w:numPr>
        <w:spacing w:after="120"/>
        <w:jc w:val="both"/>
      </w:pPr>
      <w:r w:rsidRPr="00E74111">
        <w:t xml:space="preserve">In line with the Law on Planning System, evaluation of the National Employment Strategy 2011-2020 will be conducted in addition to regular NEAP reports adopted by the </w:t>
      </w:r>
      <w:proofErr w:type="spellStart"/>
      <w:r w:rsidRPr="00E74111">
        <w:t>GoS</w:t>
      </w:r>
      <w:proofErr w:type="spellEnd"/>
      <w:r w:rsidRPr="00E74111">
        <w:t>.</w:t>
      </w:r>
    </w:p>
    <w:p w14:paraId="15404097" w14:textId="437476F8" w:rsidR="000F2264" w:rsidRPr="00E74111" w:rsidRDefault="000F2264" w:rsidP="000F2264">
      <w:pPr>
        <w:spacing w:after="120"/>
        <w:jc w:val="both"/>
      </w:pPr>
      <w:r w:rsidRPr="00E74111">
        <w:t>This specific Terms of Reference is related to achievement of Outcome 1 and support to the MoLEVSA as an institutional focal point for the E2E, in updating of the policy framework for employment and employability. At the moment, the main strategic document of the employment policy in the Republic of Serbia, the National Employment Strategy for the period 2011-2020</w:t>
      </w:r>
      <w:r w:rsidRPr="00E74111">
        <w:rPr>
          <w:rStyle w:val="FootnoteReference"/>
        </w:rPr>
        <w:footnoteReference w:id="1"/>
      </w:r>
      <w:r w:rsidRPr="00E74111">
        <w:t xml:space="preserve"> is in the last year of implementation and the MoLEVSA is in the process of preparing a new strategic framework. The new Employment Strategy for the period 2021 - 2026 will be defined within the Employment Strategy Working G</w:t>
      </w:r>
      <w:r>
        <w:t>roup that is</w:t>
      </w:r>
      <w:r w:rsidRPr="00E74111">
        <w:t xml:space="preserve"> established</w:t>
      </w:r>
      <w:r>
        <w:t xml:space="preserve"> by the MoLEVSA and</w:t>
      </w:r>
      <w:r w:rsidRPr="00E74111">
        <w:t xml:space="preserve"> consisting of representatives of the relevant ministries and public institutions (</w:t>
      </w:r>
      <w:proofErr w:type="spellStart"/>
      <w:r w:rsidRPr="00E74111">
        <w:t>MoESTED</w:t>
      </w:r>
      <w:proofErr w:type="spellEnd"/>
      <w:r w:rsidRPr="00E74111">
        <w:t>, Ministry of youth and sports, Ministry of economy, Ministry of finance, National Employment Service</w:t>
      </w:r>
      <w:r w:rsidR="002231F4">
        <w:t xml:space="preserve"> - NES</w:t>
      </w:r>
      <w:r w:rsidRPr="00E74111">
        <w:t xml:space="preserve">, Statistical Office of the Republic of Serbia, </w:t>
      </w:r>
      <w:r>
        <w:t xml:space="preserve">Serbian </w:t>
      </w:r>
      <w:r w:rsidRPr="00E74111">
        <w:t xml:space="preserve">Chamber of Commerce and others), social partners and NGOs.    </w:t>
      </w:r>
    </w:p>
    <w:p w14:paraId="5CFAAC62" w14:textId="34313A57" w:rsidR="000F2264" w:rsidRDefault="000F2264" w:rsidP="000F2264">
      <w:pPr>
        <w:spacing w:after="120"/>
        <w:jc w:val="both"/>
      </w:pPr>
      <w:r w:rsidRPr="00E74111">
        <w:t>In 2018 the National Assembly of the Republic of Serbia  has adopted the Law on the Planning System of the Republic of Serbia</w:t>
      </w:r>
      <w:r w:rsidRPr="00E74111">
        <w:rPr>
          <w:rStyle w:val="FootnoteReference"/>
        </w:rPr>
        <w:footnoteReference w:id="2"/>
      </w:r>
      <w:r w:rsidRPr="00E74111">
        <w:t xml:space="preserve">, which regulates the planning system of the Republic of Serbia, as well as the management of the system of public policies and the type and </w:t>
      </w:r>
      <w:r w:rsidR="002231F4">
        <w:t xml:space="preserve">the </w:t>
      </w:r>
      <w:r w:rsidRPr="00E74111">
        <w:t xml:space="preserve">content of the planning documents. Therefore, it is necessary to harmonize public policy documents in the field of employment with this law. According the Law on the Planning System, public policy documents are produced in accordance with the results of an ex-ante and ex-post analysis of the effects of valid public policy documents and regulations in that area. In 2019, with the support of the SIPRU through E2E for the preparation of the NEAP 2020, the </w:t>
      </w:r>
      <w:r>
        <w:t>Ex-post a</w:t>
      </w:r>
      <w:r w:rsidRPr="00E74111">
        <w:t xml:space="preserve">nalysis of the effects of the NEAP for 2017 and the NEAP for 2018, and the </w:t>
      </w:r>
      <w:r>
        <w:t>E</w:t>
      </w:r>
      <w:r w:rsidRPr="00E74111">
        <w:t xml:space="preserve">x-ante </w:t>
      </w:r>
      <w:r>
        <w:t>a</w:t>
      </w:r>
      <w:r w:rsidRPr="00E74111">
        <w:t>nalysis of the effects for the NEAP for 2020 were prepared.</w:t>
      </w:r>
      <w:r>
        <w:t xml:space="preserve"> Currently</w:t>
      </w:r>
      <w:r w:rsidRPr="00E74111">
        <w:t>, the preparation of the Ex-</w:t>
      </w:r>
      <w:r>
        <w:t>p</w:t>
      </w:r>
      <w:r w:rsidRPr="00E74111">
        <w:t>ost</w:t>
      </w:r>
      <w:r>
        <w:t xml:space="preserve"> a</w:t>
      </w:r>
      <w:r w:rsidRPr="00E74111">
        <w:t>nalysis of the National Employment Strategy for the period 2011-2020</w:t>
      </w:r>
      <w:r>
        <w:t xml:space="preserve"> and Ex-ante analysis of the </w:t>
      </w:r>
      <w:r w:rsidRPr="00EC409D">
        <w:t xml:space="preserve">Employment Strategy for the period 2021 - 2026 </w:t>
      </w:r>
      <w:r w:rsidRPr="00E74111">
        <w:t>is ongoing, with the support of the SIPRU/E2E.</w:t>
      </w:r>
    </w:p>
    <w:p w14:paraId="17B4090A" w14:textId="77777777" w:rsidR="000F2264" w:rsidRPr="00AB7A52" w:rsidRDefault="000F2264" w:rsidP="000F2264">
      <w:pPr>
        <w:jc w:val="both"/>
      </w:pPr>
      <w:r>
        <w:lastRenderedPageBreak/>
        <w:t xml:space="preserve">Besides that, a number of other analyzes are being prepared at the request of the </w:t>
      </w:r>
      <w:proofErr w:type="spellStart"/>
      <w:r>
        <w:t>MoLEVSa</w:t>
      </w:r>
      <w:proofErr w:type="spellEnd"/>
      <w:r>
        <w:t xml:space="preserve"> and</w:t>
      </w:r>
      <w:r w:rsidRPr="00177781">
        <w:t xml:space="preserve"> with donor support, </w:t>
      </w:r>
      <w:r>
        <w:t xml:space="preserve">whose findings will be </w:t>
      </w:r>
      <w:r w:rsidRPr="00177781">
        <w:t xml:space="preserve">used in the development of the new </w:t>
      </w:r>
      <w:r>
        <w:t>Employment S</w:t>
      </w:r>
      <w:r w:rsidRPr="00177781">
        <w:t>trategy</w:t>
      </w:r>
      <w:r>
        <w:t>: SIPRU/E2E support the preparation of the A</w:t>
      </w:r>
      <w:r w:rsidRPr="00B35DBD">
        <w:t xml:space="preserve">nalysis of professional practice programme implemented with the employers in the private and in the public sector </w:t>
      </w:r>
      <w:r>
        <w:t xml:space="preserve">and the International Labour Organization (ILO) support </w:t>
      </w:r>
      <w:r w:rsidRPr="00AB7A52">
        <w:t>the preparation of the</w:t>
      </w:r>
      <w:r>
        <w:t xml:space="preserve"> Functional analysis of the National Employment Service and two organizational units in the MoLEVSA in charge of employment policy and the </w:t>
      </w:r>
      <w:r w:rsidRPr="00AB7A52">
        <w:t>Analysis of preconditions with recommendations for the implementation of the Youth Guarantee program in Serbia.</w:t>
      </w:r>
    </w:p>
    <w:p w14:paraId="70CB8B83" w14:textId="77777777" w:rsidR="000F2264" w:rsidRPr="00E74111" w:rsidRDefault="000F2264" w:rsidP="000F2264">
      <w:pPr>
        <w:spacing w:after="120"/>
        <w:jc w:val="both"/>
      </w:pPr>
    </w:p>
    <w:p w14:paraId="4BB41A59" w14:textId="77777777" w:rsidR="000F2264" w:rsidRPr="00E74111" w:rsidRDefault="000F2264" w:rsidP="000F2264">
      <w:pPr>
        <w:pStyle w:val="ListParagraph"/>
        <w:numPr>
          <w:ilvl w:val="0"/>
          <w:numId w:val="3"/>
        </w:numPr>
        <w:spacing w:after="120"/>
        <w:jc w:val="both"/>
        <w:rPr>
          <w:b/>
          <w:u w:val="single"/>
        </w:rPr>
      </w:pPr>
      <w:r w:rsidRPr="00E74111">
        <w:rPr>
          <w:b/>
          <w:u w:val="single"/>
        </w:rPr>
        <w:t>Objective of the Assignment</w:t>
      </w:r>
    </w:p>
    <w:p w14:paraId="5763A89D" w14:textId="622D762F" w:rsidR="000F2264" w:rsidRPr="00E74111" w:rsidRDefault="000F2264" w:rsidP="000F2264">
      <w:pPr>
        <w:spacing w:after="120"/>
        <w:jc w:val="both"/>
      </w:pPr>
      <w:r w:rsidRPr="00BF183E">
        <w:t>Drafting</w:t>
      </w:r>
      <w:r w:rsidRPr="00E74111">
        <w:t xml:space="preserve"> </w:t>
      </w:r>
      <w:r>
        <w:t xml:space="preserve">the proposal of the Employment Strategy </w:t>
      </w:r>
      <w:r w:rsidRPr="00867930">
        <w:t>of the Republic of Serbia for the period 2021-2026</w:t>
      </w:r>
      <w:r>
        <w:t xml:space="preserve">, </w:t>
      </w:r>
      <w:r w:rsidRPr="00F3059E">
        <w:t xml:space="preserve">based on findings of the </w:t>
      </w:r>
      <w:r>
        <w:t xml:space="preserve">ex post </w:t>
      </w:r>
      <w:r w:rsidR="00D24A86">
        <w:t xml:space="preserve">impact </w:t>
      </w:r>
      <w:r>
        <w:t xml:space="preserve">analysis of National Employment Strategy for period 2011-2020, ex ante </w:t>
      </w:r>
      <w:r w:rsidR="00D24A86">
        <w:t xml:space="preserve">impact </w:t>
      </w:r>
      <w:r>
        <w:t>analysis for Employment Strategy 2021-2026,</w:t>
      </w:r>
      <w:r w:rsidRPr="00F3059E">
        <w:t xml:space="preserve"> </w:t>
      </w:r>
      <w:r>
        <w:t>respecting the obligations of</w:t>
      </w:r>
      <w:r w:rsidRPr="00E74111">
        <w:t xml:space="preserve"> </w:t>
      </w:r>
      <w:r w:rsidRPr="00F3059E">
        <w:t xml:space="preserve">the Law on the Planning System </w:t>
      </w:r>
      <w:r>
        <w:t xml:space="preserve">and </w:t>
      </w:r>
      <w:r w:rsidRPr="00E74111">
        <w:t>Regulation on the methodology of public policy management, impact analysis of public policies and regulations, and the content of individual public policy documents</w:t>
      </w:r>
      <w:r w:rsidRPr="00E74111">
        <w:rPr>
          <w:rStyle w:val="FootnoteReference"/>
        </w:rPr>
        <w:footnoteReference w:id="3"/>
      </w:r>
      <w:r w:rsidRPr="00E74111">
        <w:t xml:space="preserve"> (hereinafter: Regulation</w:t>
      </w:r>
      <w:r>
        <w:t>).</w:t>
      </w:r>
    </w:p>
    <w:p w14:paraId="25487889" w14:textId="77777777" w:rsidR="000F2264" w:rsidRPr="00E74111" w:rsidRDefault="000F2264" w:rsidP="000F2264">
      <w:pPr>
        <w:jc w:val="both"/>
      </w:pPr>
    </w:p>
    <w:p w14:paraId="6844F004" w14:textId="77777777" w:rsidR="000F2264" w:rsidRDefault="000F2264" w:rsidP="000F2264">
      <w:pPr>
        <w:pStyle w:val="Memoheading"/>
        <w:numPr>
          <w:ilvl w:val="0"/>
          <w:numId w:val="3"/>
        </w:numPr>
        <w:spacing w:after="120"/>
        <w:jc w:val="both"/>
        <w:rPr>
          <w:b/>
          <w:noProof w:val="0"/>
          <w:sz w:val="24"/>
          <w:szCs w:val="24"/>
          <w:u w:val="single"/>
        </w:rPr>
      </w:pPr>
      <w:r w:rsidRPr="00E74111">
        <w:rPr>
          <w:b/>
          <w:noProof w:val="0"/>
          <w:sz w:val="24"/>
          <w:szCs w:val="24"/>
          <w:u w:val="single"/>
        </w:rPr>
        <w:t>Scope of Work and Tasks</w:t>
      </w:r>
    </w:p>
    <w:p w14:paraId="37B8B7E6" w14:textId="77777777" w:rsidR="000F2264" w:rsidRPr="00125009" w:rsidRDefault="000F2264" w:rsidP="000F2264">
      <w:pPr>
        <w:pStyle w:val="Memoheading"/>
        <w:spacing w:after="120"/>
        <w:jc w:val="both"/>
        <w:rPr>
          <w:noProof w:val="0"/>
          <w:sz w:val="24"/>
          <w:szCs w:val="24"/>
        </w:rPr>
      </w:pPr>
      <w:r w:rsidRPr="00125009">
        <w:rPr>
          <w:noProof w:val="0"/>
          <w:sz w:val="24"/>
          <w:szCs w:val="24"/>
        </w:rPr>
        <w:t>The Employment Strategy proposal need to be based on the findings of the following analyzes:</w:t>
      </w:r>
    </w:p>
    <w:p w14:paraId="4473C25A" w14:textId="4322BCEA" w:rsidR="000F2264" w:rsidRPr="00125009" w:rsidRDefault="000F2264" w:rsidP="000F2264">
      <w:pPr>
        <w:pStyle w:val="Memoheading"/>
        <w:numPr>
          <w:ilvl w:val="0"/>
          <w:numId w:val="7"/>
        </w:numPr>
        <w:jc w:val="both"/>
        <w:rPr>
          <w:noProof w:val="0"/>
          <w:sz w:val="24"/>
          <w:szCs w:val="24"/>
        </w:rPr>
      </w:pPr>
      <w:r w:rsidRPr="00125009">
        <w:rPr>
          <w:noProof w:val="0"/>
          <w:sz w:val="24"/>
          <w:szCs w:val="24"/>
        </w:rPr>
        <w:t xml:space="preserve">Ex-post </w:t>
      </w:r>
      <w:r w:rsidR="002231F4">
        <w:rPr>
          <w:noProof w:val="0"/>
          <w:sz w:val="24"/>
          <w:szCs w:val="24"/>
        </w:rPr>
        <w:t xml:space="preserve">impact </w:t>
      </w:r>
      <w:r w:rsidRPr="00125009">
        <w:rPr>
          <w:noProof w:val="0"/>
          <w:sz w:val="24"/>
          <w:szCs w:val="24"/>
        </w:rPr>
        <w:t>analysis of the National Employment Strategy for the period 2011-2020;</w:t>
      </w:r>
    </w:p>
    <w:p w14:paraId="27F3E1B2" w14:textId="77777777" w:rsidR="000F2264" w:rsidRPr="00125009" w:rsidRDefault="000F2264" w:rsidP="000F2264">
      <w:pPr>
        <w:pStyle w:val="Memoheading"/>
        <w:numPr>
          <w:ilvl w:val="0"/>
          <w:numId w:val="7"/>
        </w:numPr>
        <w:jc w:val="both"/>
        <w:rPr>
          <w:noProof w:val="0"/>
          <w:sz w:val="24"/>
          <w:szCs w:val="24"/>
        </w:rPr>
      </w:pPr>
      <w:r w:rsidRPr="00125009">
        <w:rPr>
          <w:noProof w:val="0"/>
          <w:sz w:val="24"/>
          <w:szCs w:val="24"/>
        </w:rPr>
        <w:t>Ex-ante impact analysis of the Employment Strategy of the Republic of Serbia for the period 2021-2026;</w:t>
      </w:r>
    </w:p>
    <w:p w14:paraId="52262BD3" w14:textId="77777777" w:rsidR="000F2264" w:rsidRPr="00125009" w:rsidRDefault="000F2264" w:rsidP="000F2264">
      <w:pPr>
        <w:pStyle w:val="Memoheading"/>
        <w:numPr>
          <w:ilvl w:val="0"/>
          <w:numId w:val="7"/>
        </w:numPr>
        <w:jc w:val="both"/>
        <w:rPr>
          <w:noProof w:val="0"/>
          <w:sz w:val="24"/>
          <w:szCs w:val="24"/>
        </w:rPr>
      </w:pPr>
      <w:r w:rsidRPr="00125009">
        <w:rPr>
          <w:noProof w:val="0"/>
          <w:sz w:val="24"/>
          <w:szCs w:val="24"/>
        </w:rPr>
        <w:t>Analysis of professional practice programme implemented</w:t>
      </w:r>
      <w:r>
        <w:rPr>
          <w:noProof w:val="0"/>
          <w:sz w:val="24"/>
          <w:szCs w:val="24"/>
        </w:rPr>
        <w:t xml:space="preserve"> by National Employment Service</w:t>
      </w:r>
      <w:r w:rsidRPr="00125009">
        <w:rPr>
          <w:noProof w:val="0"/>
          <w:sz w:val="24"/>
          <w:szCs w:val="24"/>
        </w:rPr>
        <w:t xml:space="preserve"> with the employers in the private and in the public sector</w:t>
      </w:r>
      <w:r>
        <w:rPr>
          <w:noProof w:val="0"/>
          <w:sz w:val="24"/>
          <w:szCs w:val="24"/>
        </w:rPr>
        <w:t xml:space="preserve"> in 2017-2018</w:t>
      </w:r>
      <w:r w:rsidRPr="00125009">
        <w:rPr>
          <w:noProof w:val="0"/>
          <w:sz w:val="24"/>
          <w:szCs w:val="24"/>
        </w:rPr>
        <w:t>;</w:t>
      </w:r>
    </w:p>
    <w:p w14:paraId="1D6C2668" w14:textId="77777777" w:rsidR="000F2264" w:rsidRPr="00125009" w:rsidRDefault="000F2264" w:rsidP="000F2264">
      <w:pPr>
        <w:pStyle w:val="Memoheading"/>
        <w:numPr>
          <w:ilvl w:val="0"/>
          <w:numId w:val="7"/>
        </w:numPr>
        <w:jc w:val="both"/>
        <w:rPr>
          <w:noProof w:val="0"/>
          <w:sz w:val="24"/>
          <w:szCs w:val="24"/>
        </w:rPr>
      </w:pPr>
      <w:r w:rsidRPr="00125009">
        <w:rPr>
          <w:noProof w:val="0"/>
          <w:sz w:val="24"/>
          <w:szCs w:val="24"/>
        </w:rPr>
        <w:t xml:space="preserve">Functional analysis of the National Employment Service and two organizational units in the MoLEVSA </w:t>
      </w:r>
      <w:r>
        <w:rPr>
          <w:noProof w:val="0"/>
          <w:sz w:val="24"/>
          <w:szCs w:val="24"/>
        </w:rPr>
        <w:t>accountable for</w:t>
      </w:r>
      <w:r w:rsidRPr="00125009">
        <w:rPr>
          <w:noProof w:val="0"/>
          <w:sz w:val="24"/>
          <w:szCs w:val="24"/>
        </w:rPr>
        <w:t xml:space="preserve"> e</w:t>
      </w:r>
      <w:r>
        <w:rPr>
          <w:noProof w:val="0"/>
          <w:sz w:val="24"/>
          <w:szCs w:val="24"/>
        </w:rPr>
        <w:t>mployment policy;</w:t>
      </w:r>
    </w:p>
    <w:p w14:paraId="590A14B5" w14:textId="77777777" w:rsidR="000F2264" w:rsidRDefault="000F2264" w:rsidP="000F2264">
      <w:pPr>
        <w:pStyle w:val="Memoheading"/>
        <w:numPr>
          <w:ilvl w:val="0"/>
          <w:numId w:val="7"/>
        </w:numPr>
        <w:spacing w:after="120"/>
        <w:jc w:val="both"/>
        <w:rPr>
          <w:noProof w:val="0"/>
          <w:sz w:val="24"/>
          <w:szCs w:val="24"/>
        </w:rPr>
      </w:pPr>
      <w:r w:rsidRPr="00125009">
        <w:rPr>
          <w:noProof w:val="0"/>
          <w:sz w:val="24"/>
          <w:szCs w:val="24"/>
        </w:rPr>
        <w:t>Analysis of preconditions with recommendations for the implementation of the Youth Guarantee program in Serbia</w:t>
      </w:r>
      <w:r>
        <w:rPr>
          <w:noProof w:val="0"/>
          <w:sz w:val="24"/>
          <w:szCs w:val="24"/>
        </w:rPr>
        <w:t>.</w:t>
      </w:r>
    </w:p>
    <w:p w14:paraId="72C9550B" w14:textId="77777777" w:rsidR="000F2264" w:rsidRPr="00125009" w:rsidRDefault="000F2264" w:rsidP="000F2264">
      <w:pPr>
        <w:pStyle w:val="Memoheading"/>
        <w:spacing w:after="120"/>
        <w:jc w:val="both"/>
        <w:rPr>
          <w:noProof w:val="0"/>
          <w:sz w:val="24"/>
          <w:szCs w:val="24"/>
        </w:rPr>
      </w:pPr>
      <w:r w:rsidRPr="00125009">
        <w:rPr>
          <w:noProof w:val="0"/>
          <w:sz w:val="24"/>
          <w:szCs w:val="24"/>
        </w:rPr>
        <w:t xml:space="preserve">Also, within the implementation of the Task, the Consultant should take into account other relevant documents, such as: </w:t>
      </w:r>
    </w:p>
    <w:p w14:paraId="30D0796A" w14:textId="77777777" w:rsidR="000F2264" w:rsidRDefault="000F2264" w:rsidP="000F2264">
      <w:pPr>
        <w:pStyle w:val="Memoheading"/>
        <w:numPr>
          <w:ilvl w:val="0"/>
          <w:numId w:val="8"/>
        </w:numPr>
        <w:jc w:val="both"/>
        <w:rPr>
          <w:noProof w:val="0"/>
          <w:sz w:val="24"/>
          <w:szCs w:val="24"/>
        </w:rPr>
      </w:pPr>
      <w:r>
        <w:rPr>
          <w:noProof w:val="0"/>
          <w:sz w:val="24"/>
          <w:szCs w:val="24"/>
        </w:rPr>
        <w:t xml:space="preserve">Strategy for </w:t>
      </w:r>
      <w:r w:rsidRPr="00125009">
        <w:rPr>
          <w:noProof w:val="0"/>
          <w:sz w:val="24"/>
          <w:szCs w:val="24"/>
        </w:rPr>
        <w:t xml:space="preserve">Industrial Policy </w:t>
      </w:r>
      <w:r>
        <w:rPr>
          <w:noProof w:val="0"/>
          <w:sz w:val="24"/>
          <w:szCs w:val="24"/>
        </w:rPr>
        <w:t xml:space="preserve">in </w:t>
      </w:r>
      <w:r w:rsidRPr="00125009">
        <w:rPr>
          <w:noProof w:val="0"/>
          <w:sz w:val="24"/>
          <w:szCs w:val="24"/>
        </w:rPr>
        <w:t>the Republic of Serbia for the period 2021 – 2030;</w:t>
      </w:r>
    </w:p>
    <w:p w14:paraId="48CE9912" w14:textId="77777777" w:rsidR="000F2264" w:rsidRDefault="000F2264" w:rsidP="000F2264">
      <w:pPr>
        <w:pStyle w:val="Memoheading"/>
        <w:numPr>
          <w:ilvl w:val="0"/>
          <w:numId w:val="8"/>
        </w:numPr>
        <w:jc w:val="both"/>
        <w:rPr>
          <w:noProof w:val="0"/>
          <w:sz w:val="24"/>
          <w:szCs w:val="24"/>
        </w:rPr>
      </w:pPr>
      <w:r>
        <w:rPr>
          <w:noProof w:val="0"/>
          <w:sz w:val="24"/>
          <w:szCs w:val="24"/>
        </w:rPr>
        <w:t>Strategy for improvement of people with disability position in Republic of Serbia for the period 2020-2024;</w:t>
      </w:r>
    </w:p>
    <w:p w14:paraId="38D31EE8" w14:textId="77777777" w:rsidR="000F2264" w:rsidRDefault="000F2264" w:rsidP="000F2264">
      <w:pPr>
        <w:pStyle w:val="Memoheading"/>
        <w:numPr>
          <w:ilvl w:val="0"/>
          <w:numId w:val="8"/>
        </w:numPr>
        <w:jc w:val="both"/>
        <w:rPr>
          <w:noProof w:val="0"/>
          <w:sz w:val="24"/>
          <w:szCs w:val="24"/>
        </w:rPr>
      </w:pPr>
      <w:r w:rsidRPr="00A42ABD">
        <w:rPr>
          <w:noProof w:val="0"/>
          <w:sz w:val="24"/>
          <w:szCs w:val="24"/>
        </w:rPr>
        <w:t>National Youth Strategy for the period from 2015 to 2025</w:t>
      </w:r>
      <w:r>
        <w:rPr>
          <w:noProof w:val="0"/>
          <w:sz w:val="24"/>
          <w:szCs w:val="24"/>
        </w:rPr>
        <w:t>;</w:t>
      </w:r>
    </w:p>
    <w:p w14:paraId="16557C2E" w14:textId="77777777" w:rsidR="000F2264" w:rsidRDefault="000F2264" w:rsidP="000F2264">
      <w:pPr>
        <w:pStyle w:val="Memoheading"/>
        <w:numPr>
          <w:ilvl w:val="0"/>
          <w:numId w:val="8"/>
        </w:numPr>
        <w:jc w:val="both"/>
        <w:rPr>
          <w:noProof w:val="0"/>
          <w:sz w:val="24"/>
          <w:szCs w:val="24"/>
        </w:rPr>
      </w:pPr>
      <w:r w:rsidRPr="00A42ABD">
        <w:rPr>
          <w:noProof w:val="0"/>
          <w:sz w:val="24"/>
          <w:szCs w:val="24"/>
        </w:rPr>
        <w:t>Strategy for social inclusion of Roma men and women in the Republic of Serbia for the period from 2016 to 2025</w:t>
      </w:r>
      <w:r>
        <w:rPr>
          <w:noProof w:val="0"/>
          <w:sz w:val="24"/>
          <w:szCs w:val="24"/>
        </w:rPr>
        <w:t>;</w:t>
      </w:r>
    </w:p>
    <w:p w14:paraId="6889B8A4" w14:textId="77777777" w:rsidR="000F2264" w:rsidRDefault="000F2264" w:rsidP="000F2264">
      <w:pPr>
        <w:pStyle w:val="Memoheading"/>
        <w:numPr>
          <w:ilvl w:val="0"/>
          <w:numId w:val="8"/>
        </w:numPr>
        <w:jc w:val="both"/>
        <w:rPr>
          <w:noProof w:val="0"/>
          <w:sz w:val="24"/>
          <w:szCs w:val="24"/>
        </w:rPr>
      </w:pPr>
      <w:r w:rsidRPr="00A42ABD">
        <w:rPr>
          <w:noProof w:val="0"/>
          <w:sz w:val="24"/>
          <w:szCs w:val="24"/>
        </w:rPr>
        <w:t xml:space="preserve">Strategy on economic migrations of the Republic of Serbia for the period 2021 </w:t>
      </w:r>
      <w:r>
        <w:rPr>
          <w:noProof w:val="0"/>
          <w:sz w:val="24"/>
          <w:szCs w:val="24"/>
        </w:rPr>
        <w:t>–</w:t>
      </w:r>
      <w:r w:rsidRPr="00A42ABD">
        <w:rPr>
          <w:noProof w:val="0"/>
          <w:sz w:val="24"/>
          <w:szCs w:val="24"/>
        </w:rPr>
        <w:t xml:space="preserve"> 2027</w:t>
      </w:r>
      <w:r>
        <w:rPr>
          <w:noProof w:val="0"/>
          <w:sz w:val="24"/>
          <w:szCs w:val="24"/>
        </w:rPr>
        <w:t>;</w:t>
      </w:r>
    </w:p>
    <w:p w14:paraId="067D53CF" w14:textId="77777777" w:rsidR="000F2264" w:rsidRPr="00460F30" w:rsidRDefault="000F2264" w:rsidP="000F2264">
      <w:pPr>
        <w:pStyle w:val="Memoheading"/>
        <w:numPr>
          <w:ilvl w:val="0"/>
          <w:numId w:val="8"/>
        </w:numPr>
        <w:jc w:val="both"/>
        <w:rPr>
          <w:noProof w:val="0"/>
          <w:sz w:val="24"/>
          <w:szCs w:val="24"/>
        </w:rPr>
      </w:pPr>
      <w:r w:rsidRPr="005C01D2">
        <w:rPr>
          <w:noProof w:val="0"/>
          <w:sz w:val="24"/>
          <w:szCs w:val="24"/>
        </w:rPr>
        <w:t xml:space="preserve">Strategy on development of digital skills in the </w:t>
      </w:r>
      <w:r>
        <w:rPr>
          <w:noProof w:val="0"/>
          <w:sz w:val="24"/>
          <w:szCs w:val="24"/>
        </w:rPr>
        <w:t>R</w:t>
      </w:r>
      <w:r w:rsidRPr="005C01D2">
        <w:rPr>
          <w:noProof w:val="0"/>
          <w:sz w:val="24"/>
          <w:szCs w:val="24"/>
        </w:rPr>
        <w:t xml:space="preserve">epublic of </w:t>
      </w:r>
      <w:r>
        <w:rPr>
          <w:noProof w:val="0"/>
          <w:sz w:val="24"/>
          <w:szCs w:val="24"/>
        </w:rPr>
        <w:t>S</w:t>
      </w:r>
      <w:r w:rsidRPr="005C01D2">
        <w:rPr>
          <w:noProof w:val="0"/>
          <w:sz w:val="24"/>
          <w:szCs w:val="24"/>
        </w:rPr>
        <w:t>erbia for the period from 2020 to 2024</w:t>
      </w:r>
      <w:r>
        <w:rPr>
          <w:noProof w:val="0"/>
          <w:sz w:val="24"/>
          <w:szCs w:val="24"/>
          <w:lang w:val="sr-Latn-RS"/>
        </w:rPr>
        <w:t>;</w:t>
      </w:r>
    </w:p>
    <w:p w14:paraId="1104D2B7" w14:textId="77777777" w:rsidR="000F2264" w:rsidRPr="005C01D2" w:rsidRDefault="000F2264" w:rsidP="000F2264">
      <w:pPr>
        <w:pStyle w:val="Memoheading"/>
        <w:numPr>
          <w:ilvl w:val="0"/>
          <w:numId w:val="8"/>
        </w:numPr>
        <w:jc w:val="both"/>
        <w:rPr>
          <w:noProof w:val="0"/>
          <w:sz w:val="24"/>
          <w:szCs w:val="24"/>
        </w:rPr>
      </w:pPr>
      <w:r w:rsidRPr="00335A28">
        <w:rPr>
          <w:noProof w:val="0"/>
          <w:sz w:val="24"/>
          <w:szCs w:val="24"/>
        </w:rPr>
        <w:t>European Pillar of Social Rights (The European Parliament, the Council and the Commission);</w:t>
      </w:r>
    </w:p>
    <w:p w14:paraId="011477E6" w14:textId="77777777" w:rsidR="000F2264" w:rsidRPr="00125009" w:rsidRDefault="000F2264" w:rsidP="000F2264">
      <w:pPr>
        <w:pStyle w:val="Memoheading"/>
        <w:numPr>
          <w:ilvl w:val="0"/>
          <w:numId w:val="8"/>
        </w:numPr>
        <w:jc w:val="both"/>
        <w:rPr>
          <w:noProof w:val="0"/>
          <w:sz w:val="24"/>
          <w:szCs w:val="24"/>
        </w:rPr>
      </w:pPr>
      <w:r w:rsidRPr="00125009">
        <w:rPr>
          <w:noProof w:val="0"/>
          <w:sz w:val="24"/>
          <w:szCs w:val="24"/>
        </w:rPr>
        <w:t xml:space="preserve">Assessment of the Europe 2020 Strategy </w:t>
      </w:r>
      <w:r>
        <w:rPr>
          <w:noProof w:val="0"/>
          <w:sz w:val="24"/>
          <w:szCs w:val="24"/>
        </w:rPr>
        <w:t xml:space="preserve">- </w:t>
      </w:r>
      <w:r w:rsidRPr="00125009">
        <w:rPr>
          <w:noProof w:val="0"/>
          <w:sz w:val="24"/>
          <w:szCs w:val="24"/>
        </w:rPr>
        <w:t>Joint report of the Employment Committee (EMCO) and Social Protection Committee (SPC)</w:t>
      </w:r>
      <w:r>
        <w:rPr>
          <w:noProof w:val="0"/>
          <w:sz w:val="24"/>
          <w:szCs w:val="24"/>
        </w:rPr>
        <w:t>, September 2019</w:t>
      </w:r>
      <w:r w:rsidRPr="00125009">
        <w:rPr>
          <w:noProof w:val="0"/>
          <w:sz w:val="24"/>
          <w:szCs w:val="24"/>
        </w:rPr>
        <w:t>;</w:t>
      </w:r>
    </w:p>
    <w:p w14:paraId="094855A0" w14:textId="77777777" w:rsidR="000F2264" w:rsidRPr="00125009" w:rsidRDefault="000F2264" w:rsidP="000F2264">
      <w:pPr>
        <w:pStyle w:val="Memoheading"/>
        <w:numPr>
          <w:ilvl w:val="0"/>
          <w:numId w:val="8"/>
        </w:numPr>
        <w:jc w:val="both"/>
        <w:rPr>
          <w:noProof w:val="0"/>
          <w:sz w:val="24"/>
          <w:szCs w:val="24"/>
        </w:rPr>
      </w:pPr>
      <w:r w:rsidRPr="00125009">
        <w:rPr>
          <w:noProof w:val="0"/>
          <w:sz w:val="24"/>
          <w:szCs w:val="24"/>
        </w:rPr>
        <w:t>Joint ILO/EBRD Task Force on Covid-19 and the World of Work: Framing national action to support workers and enterprises during the COVID-19 emergency and recovery;</w:t>
      </w:r>
    </w:p>
    <w:p w14:paraId="37098EE7" w14:textId="77777777" w:rsidR="000F2264" w:rsidRPr="00125009" w:rsidRDefault="000F2264" w:rsidP="000F2264">
      <w:pPr>
        <w:pStyle w:val="Memoheading"/>
        <w:numPr>
          <w:ilvl w:val="0"/>
          <w:numId w:val="8"/>
        </w:numPr>
        <w:jc w:val="both"/>
        <w:rPr>
          <w:noProof w:val="0"/>
          <w:sz w:val="24"/>
          <w:szCs w:val="24"/>
        </w:rPr>
      </w:pPr>
      <w:r w:rsidRPr="00125009">
        <w:rPr>
          <w:noProof w:val="0"/>
          <w:sz w:val="24"/>
          <w:szCs w:val="24"/>
        </w:rPr>
        <w:t>ETF’s youth work in the region of South East Europe and Turkey</w:t>
      </w:r>
      <w:r>
        <w:rPr>
          <w:noProof w:val="0"/>
          <w:sz w:val="24"/>
          <w:szCs w:val="24"/>
        </w:rPr>
        <w:t xml:space="preserve"> – country case Serbia</w:t>
      </w:r>
      <w:r w:rsidRPr="00125009">
        <w:rPr>
          <w:noProof w:val="0"/>
          <w:sz w:val="24"/>
          <w:szCs w:val="24"/>
        </w:rPr>
        <w:t>;</w:t>
      </w:r>
    </w:p>
    <w:p w14:paraId="04BC069B" w14:textId="77777777" w:rsidR="000F2264" w:rsidRDefault="000F2264" w:rsidP="000F2264">
      <w:pPr>
        <w:pStyle w:val="Memoheading"/>
        <w:numPr>
          <w:ilvl w:val="0"/>
          <w:numId w:val="8"/>
        </w:numPr>
        <w:spacing w:after="120"/>
        <w:jc w:val="both"/>
        <w:rPr>
          <w:noProof w:val="0"/>
          <w:sz w:val="24"/>
          <w:szCs w:val="24"/>
        </w:rPr>
      </w:pPr>
      <w:r w:rsidRPr="00125009">
        <w:rPr>
          <w:noProof w:val="0"/>
          <w:sz w:val="24"/>
          <w:szCs w:val="24"/>
        </w:rPr>
        <w:lastRenderedPageBreak/>
        <w:t>and others.</w:t>
      </w:r>
    </w:p>
    <w:p w14:paraId="3C561976" w14:textId="77777777" w:rsidR="000F2264" w:rsidRPr="004A3264" w:rsidRDefault="000F2264" w:rsidP="000F2264">
      <w:pPr>
        <w:pStyle w:val="Memoheading"/>
        <w:spacing w:after="120"/>
        <w:jc w:val="both"/>
        <w:rPr>
          <w:noProof w:val="0"/>
          <w:sz w:val="24"/>
          <w:szCs w:val="24"/>
        </w:rPr>
      </w:pPr>
      <w:r>
        <w:rPr>
          <w:noProof w:val="0"/>
          <w:sz w:val="24"/>
          <w:szCs w:val="24"/>
        </w:rPr>
        <w:t>Taking into account prescribed form and content of the s</w:t>
      </w:r>
      <w:r w:rsidRPr="004A3264">
        <w:rPr>
          <w:noProof w:val="0"/>
          <w:sz w:val="24"/>
          <w:szCs w:val="24"/>
        </w:rPr>
        <w:t xml:space="preserve">trategy by Article 55 of the Regulation, </w:t>
      </w:r>
      <w:r>
        <w:rPr>
          <w:noProof w:val="0"/>
          <w:sz w:val="24"/>
          <w:szCs w:val="24"/>
        </w:rPr>
        <w:t>the Consultant within the Strategy proposal, need to encompass</w:t>
      </w:r>
      <w:r w:rsidRPr="004A3264">
        <w:rPr>
          <w:noProof w:val="0"/>
          <w:sz w:val="24"/>
          <w:szCs w:val="24"/>
        </w:rPr>
        <w:t xml:space="preserve"> the following:</w:t>
      </w:r>
    </w:p>
    <w:p w14:paraId="4E1BA3B3" w14:textId="77777777" w:rsidR="000F2264" w:rsidRPr="00C02234" w:rsidRDefault="000F2264" w:rsidP="000F2264">
      <w:pPr>
        <w:pStyle w:val="Memoheading"/>
        <w:spacing w:after="120"/>
        <w:jc w:val="both"/>
        <w:rPr>
          <w:noProof w:val="0"/>
          <w:sz w:val="24"/>
          <w:szCs w:val="24"/>
        </w:rPr>
      </w:pPr>
      <w:r w:rsidRPr="00C02234">
        <w:rPr>
          <w:noProof w:val="0"/>
          <w:sz w:val="24"/>
          <w:szCs w:val="24"/>
        </w:rPr>
        <w:t>1) Introduction:</w:t>
      </w:r>
    </w:p>
    <w:p w14:paraId="1563F015" w14:textId="77777777" w:rsidR="000F2264" w:rsidRPr="00C02234" w:rsidRDefault="000F2264" w:rsidP="000F2264">
      <w:pPr>
        <w:pStyle w:val="Memoheading"/>
        <w:jc w:val="both"/>
        <w:rPr>
          <w:noProof w:val="0"/>
          <w:sz w:val="24"/>
          <w:szCs w:val="24"/>
        </w:rPr>
      </w:pPr>
      <w:r w:rsidRPr="00C02234">
        <w:rPr>
          <w:noProof w:val="0"/>
          <w:sz w:val="24"/>
          <w:szCs w:val="24"/>
        </w:rPr>
        <w:t>- the legal basis, prescribing the competence for adoption (reference to provisions of a law);</w:t>
      </w:r>
    </w:p>
    <w:p w14:paraId="35FE183E" w14:textId="77777777" w:rsidR="000F2264" w:rsidRPr="00C02234" w:rsidRDefault="000F2264" w:rsidP="000F2264">
      <w:pPr>
        <w:pStyle w:val="Memoheading"/>
        <w:jc w:val="both"/>
        <w:rPr>
          <w:noProof w:val="0"/>
          <w:sz w:val="24"/>
          <w:szCs w:val="24"/>
        </w:rPr>
      </w:pPr>
      <w:r w:rsidRPr="00C02234">
        <w:rPr>
          <w:noProof w:val="0"/>
          <w:sz w:val="24"/>
          <w:szCs w:val="24"/>
        </w:rPr>
        <w:t>- reasons for adoption;</w:t>
      </w:r>
    </w:p>
    <w:p w14:paraId="6FF4C85B" w14:textId="77777777" w:rsidR="000F2264" w:rsidRPr="00C02234" w:rsidRDefault="000F2264" w:rsidP="000F2264">
      <w:pPr>
        <w:pStyle w:val="Memoheading"/>
        <w:spacing w:after="120"/>
        <w:jc w:val="both"/>
        <w:rPr>
          <w:noProof w:val="0"/>
          <w:sz w:val="24"/>
          <w:szCs w:val="24"/>
        </w:rPr>
      </w:pPr>
      <w:r w:rsidRPr="00C02234">
        <w:rPr>
          <w:noProof w:val="0"/>
          <w:sz w:val="24"/>
          <w:szCs w:val="24"/>
        </w:rPr>
        <w:t>- brief information on the institutions involved in the development of this strategy;</w:t>
      </w:r>
    </w:p>
    <w:p w14:paraId="1CB72FFD" w14:textId="77777777" w:rsidR="000F2264" w:rsidRPr="00C02234" w:rsidRDefault="000F2264" w:rsidP="000F2264">
      <w:pPr>
        <w:pStyle w:val="Memoheading"/>
        <w:spacing w:after="120"/>
        <w:jc w:val="both"/>
        <w:rPr>
          <w:noProof w:val="0"/>
          <w:sz w:val="24"/>
          <w:szCs w:val="24"/>
        </w:rPr>
      </w:pPr>
      <w:r w:rsidRPr="00C02234">
        <w:rPr>
          <w:noProof w:val="0"/>
          <w:sz w:val="24"/>
          <w:szCs w:val="24"/>
        </w:rPr>
        <w:t>2) Data on the planning documents and leg</w:t>
      </w:r>
      <w:r>
        <w:rPr>
          <w:noProof w:val="0"/>
          <w:sz w:val="24"/>
          <w:szCs w:val="24"/>
        </w:rPr>
        <w:t>al framework relevant for the S</w:t>
      </w:r>
      <w:r w:rsidRPr="00C02234">
        <w:rPr>
          <w:noProof w:val="0"/>
          <w:sz w:val="24"/>
          <w:szCs w:val="24"/>
        </w:rPr>
        <w:t>trategy;</w:t>
      </w:r>
    </w:p>
    <w:p w14:paraId="3AB8CA29" w14:textId="77777777" w:rsidR="000F2264" w:rsidRPr="00C02234" w:rsidRDefault="000F2264" w:rsidP="000F2264">
      <w:pPr>
        <w:pStyle w:val="Memoheading"/>
        <w:spacing w:after="120"/>
        <w:jc w:val="both"/>
        <w:rPr>
          <w:noProof w:val="0"/>
          <w:sz w:val="24"/>
          <w:szCs w:val="24"/>
        </w:rPr>
      </w:pPr>
      <w:r w:rsidRPr="00C02234">
        <w:rPr>
          <w:noProof w:val="0"/>
          <w:sz w:val="24"/>
          <w:szCs w:val="24"/>
        </w:rPr>
        <w:t>3) Description of the current situation in the specific field of planning and implementation of public policy, included an ex-post analysis of previous public policies in this field, conducted based on an assessment of the level of achieving the objectives of such public policies through the performance indicators of such policies, with reference to existing studies and analyses documenting the problem and the need for intervention;</w:t>
      </w:r>
    </w:p>
    <w:p w14:paraId="5E306B26" w14:textId="77777777" w:rsidR="000F2264" w:rsidRPr="00CE75F8" w:rsidRDefault="000F2264" w:rsidP="000F2264">
      <w:pPr>
        <w:pStyle w:val="Memoheading"/>
        <w:spacing w:after="120"/>
        <w:jc w:val="both"/>
        <w:rPr>
          <w:noProof w:val="0"/>
          <w:sz w:val="24"/>
          <w:szCs w:val="24"/>
        </w:rPr>
      </w:pPr>
      <w:r w:rsidRPr="00CE75F8">
        <w:rPr>
          <w:noProof w:val="0"/>
          <w:sz w:val="24"/>
          <w:szCs w:val="24"/>
        </w:rPr>
        <w:t>4) Definition of the desired change, containing a vision, i.e. the desired state that the achievement of the goal and objectives will contribute to; identification of the desired change, including its elements and their causal relations; identification of stakeholders and/or individuals, groups, legal persons or organizations that have an interest in, or are under the influence of measures used to implement public policy;</w:t>
      </w:r>
    </w:p>
    <w:p w14:paraId="028B6BFF" w14:textId="77777777" w:rsidR="000F2264" w:rsidRDefault="000F2264" w:rsidP="000F2264">
      <w:pPr>
        <w:pStyle w:val="Memoheading"/>
        <w:spacing w:after="120"/>
        <w:jc w:val="both"/>
        <w:rPr>
          <w:noProof w:val="0"/>
          <w:sz w:val="24"/>
          <w:szCs w:val="24"/>
        </w:rPr>
      </w:pPr>
      <w:r w:rsidRPr="00CE75F8">
        <w:rPr>
          <w:noProof w:val="0"/>
          <w:sz w:val="24"/>
          <w:szCs w:val="24"/>
        </w:rPr>
        <w:t>5) Definition of the goals of public policy, containing</w:t>
      </w:r>
      <w:r>
        <w:rPr>
          <w:noProof w:val="0"/>
          <w:sz w:val="24"/>
          <w:szCs w:val="24"/>
        </w:rPr>
        <w:t>:</w:t>
      </w:r>
      <w:r w:rsidRPr="00CE75F8">
        <w:rPr>
          <w:noProof w:val="0"/>
          <w:sz w:val="24"/>
          <w:szCs w:val="24"/>
        </w:rPr>
        <w:t xml:space="preserve"> </w:t>
      </w:r>
    </w:p>
    <w:p w14:paraId="39BACB49" w14:textId="77777777" w:rsidR="000F2264" w:rsidRPr="00CE75F8" w:rsidRDefault="000F2264" w:rsidP="000F2264">
      <w:pPr>
        <w:pStyle w:val="Memoheading"/>
        <w:jc w:val="both"/>
        <w:rPr>
          <w:noProof w:val="0"/>
          <w:sz w:val="24"/>
          <w:szCs w:val="24"/>
        </w:rPr>
      </w:pPr>
      <w:r>
        <w:rPr>
          <w:noProof w:val="0"/>
          <w:sz w:val="24"/>
          <w:szCs w:val="24"/>
        </w:rPr>
        <w:t xml:space="preserve">- </w:t>
      </w:r>
      <w:r w:rsidRPr="00CE75F8">
        <w:rPr>
          <w:noProof w:val="0"/>
          <w:sz w:val="24"/>
          <w:szCs w:val="24"/>
        </w:rPr>
        <w:t xml:space="preserve">the goal of the policy, established by the </w:t>
      </w:r>
      <w:r>
        <w:rPr>
          <w:noProof w:val="0"/>
          <w:sz w:val="24"/>
          <w:szCs w:val="24"/>
        </w:rPr>
        <w:t>S</w:t>
      </w:r>
      <w:r w:rsidRPr="00CE75F8">
        <w:rPr>
          <w:noProof w:val="0"/>
          <w:sz w:val="24"/>
          <w:szCs w:val="24"/>
        </w:rPr>
        <w:t>trategy;</w:t>
      </w:r>
    </w:p>
    <w:p w14:paraId="4E158B75" w14:textId="77777777" w:rsidR="000F2264" w:rsidRPr="00CE75F8" w:rsidRDefault="000F2264" w:rsidP="000F2264">
      <w:pPr>
        <w:pStyle w:val="Memoheading"/>
        <w:jc w:val="both"/>
        <w:rPr>
          <w:noProof w:val="0"/>
          <w:sz w:val="24"/>
          <w:szCs w:val="24"/>
        </w:rPr>
      </w:pPr>
      <w:r w:rsidRPr="00CE75F8">
        <w:rPr>
          <w:noProof w:val="0"/>
          <w:sz w:val="24"/>
          <w:szCs w:val="24"/>
        </w:rPr>
        <w:t>- identification of performance indicators at the goal level (indicator of the effects of public policy), including the identification of baseline values, target values and sources of verification;</w:t>
      </w:r>
    </w:p>
    <w:p w14:paraId="2B93F37A" w14:textId="77777777" w:rsidR="000F2264" w:rsidRPr="0095586D" w:rsidRDefault="000F2264" w:rsidP="000F2264">
      <w:pPr>
        <w:pStyle w:val="Memoheading"/>
        <w:jc w:val="both"/>
        <w:rPr>
          <w:noProof w:val="0"/>
          <w:sz w:val="24"/>
          <w:szCs w:val="24"/>
        </w:rPr>
      </w:pPr>
      <w:r w:rsidRPr="0095586D">
        <w:rPr>
          <w:noProof w:val="0"/>
          <w:sz w:val="24"/>
          <w:szCs w:val="24"/>
        </w:rPr>
        <w:t xml:space="preserve">- up to five policy objectives </w:t>
      </w:r>
      <w:r>
        <w:rPr>
          <w:noProof w:val="0"/>
          <w:sz w:val="24"/>
          <w:szCs w:val="24"/>
        </w:rPr>
        <w:t>(as a rule), identified by the S</w:t>
      </w:r>
      <w:r w:rsidRPr="0095586D">
        <w:rPr>
          <w:noProof w:val="0"/>
          <w:sz w:val="24"/>
          <w:szCs w:val="24"/>
        </w:rPr>
        <w:t>trategy;</w:t>
      </w:r>
    </w:p>
    <w:p w14:paraId="65F05F57" w14:textId="77777777" w:rsidR="000F2264" w:rsidRDefault="000F2264" w:rsidP="000F2264">
      <w:pPr>
        <w:pStyle w:val="Memoheading"/>
        <w:spacing w:after="120"/>
        <w:jc w:val="both"/>
        <w:rPr>
          <w:noProof w:val="0"/>
          <w:sz w:val="24"/>
          <w:szCs w:val="24"/>
        </w:rPr>
      </w:pPr>
      <w:r w:rsidRPr="004A3264">
        <w:rPr>
          <w:noProof w:val="0"/>
          <w:sz w:val="24"/>
          <w:szCs w:val="24"/>
        </w:rPr>
        <w:t xml:space="preserve">- </w:t>
      </w:r>
      <w:r>
        <w:rPr>
          <w:noProof w:val="0"/>
          <w:sz w:val="24"/>
          <w:szCs w:val="24"/>
        </w:rPr>
        <w:t>i</w:t>
      </w:r>
      <w:r w:rsidRPr="004A3264">
        <w:rPr>
          <w:noProof w:val="0"/>
          <w:sz w:val="24"/>
          <w:szCs w:val="24"/>
        </w:rPr>
        <w:t>dentification of performance indicators at the objective level (outcome indicators), including the identification of baseline values, target values and sources of verification;</w:t>
      </w:r>
    </w:p>
    <w:p w14:paraId="51868C82" w14:textId="77777777" w:rsidR="000F2264" w:rsidRDefault="000F2264" w:rsidP="000F2264">
      <w:pPr>
        <w:pStyle w:val="Memoheading"/>
        <w:spacing w:after="120"/>
        <w:jc w:val="both"/>
        <w:rPr>
          <w:noProof w:val="0"/>
          <w:sz w:val="24"/>
          <w:szCs w:val="24"/>
        </w:rPr>
      </w:pPr>
      <w:r w:rsidRPr="00FE28F8">
        <w:rPr>
          <w:noProof w:val="0"/>
          <w:sz w:val="24"/>
          <w:szCs w:val="24"/>
        </w:rPr>
        <w:t xml:space="preserve">If the </w:t>
      </w:r>
      <w:r>
        <w:rPr>
          <w:noProof w:val="0"/>
          <w:sz w:val="24"/>
          <w:szCs w:val="24"/>
        </w:rPr>
        <w:t>S</w:t>
      </w:r>
      <w:r w:rsidRPr="00FE28F8">
        <w:rPr>
          <w:noProof w:val="0"/>
          <w:sz w:val="24"/>
          <w:szCs w:val="24"/>
        </w:rPr>
        <w:t>trategy has more than one goal, and/or more than five objectives, the need for this deviation shall be explained.</w:t>
      </w:r>
    </w:p>
    <w:p w14:paraId="31C93364" w14:textId="77777777" w:rsidR="000F2264" w:rsidRPr="0095586D" w:rsidRDefault="000F2264" w:rsidP="000F2264">
      <w:pPr>
        <w:pStyle w:val="Memoheading"/>
        <w:spacing w:after="120"/>
        <w:jc w:val="both"/>
        <w:rPr>
          <w:noProof w:val="0"/>
          <w:sz w:val="24"/>
          <w:szCs w:val="24"/>
        </w:rPr>
      </w:pPr>
      <w:r w:rsidRPr="0095586D">
        <w:rPr>
          <w:noProof w:val="0"/>
          <w:sz w:val="24"/>
          <w:szCs w:val="24"/>
        </w:rPr>
        <w:t>6) Identification of public policy measures for achieving the objective, and/or objectives, denoting what measures are envisaged alternatively, if any (if there are various options for achieving the goal), including an identification and formulation of performance indicators at the level of measures, and an overview, and/or brief description of projects to be used for implementing public policy measures;</w:t>
      </w:r>
    </w:p>
    <w:p w14:paraId="0EC546D8" w14:textId="77777777" w:rsidR="000F2264" w:rsidRPr="008B358A" w:rsidRDefault="000F2264" w:rsidP="000F2264">
      <w:pPr>
        <w:pStyle w:val="Memoheading"/>
        <w:spacing w:after="120"/>
        <w:jc w:val="both"/>
        <w:rPr>
          <w:noProof w:val="0"/>
          <w:sz w:val="24"/>
          <w:szCs w:val="24"/>
        </w:rPr>
      </w:pPr>
      <w:r w:rsidRPr="008B358A">
        <w:rPr>
          <w:noProof w:val="0"/>
          <w:sz w:val="24"/>
          <w:szCs w:val="24"/>
        </w:rPr>
        <w:t>7) Report on the analysis of measures, performed in accordance with articles 24-30 of the regulation hereof (within Ex-ante impact analysis), including an impact analysis of such measures on natural and legal persons, and/or an analysis of social and economic impact, for each of the considered options, if any, including an analysis of environmental impact and governance impact of such measures, if any, with a particular reflection of the impact of measures on gender equality and micro, small and medium-sized economic entities;</w:t>
      </w:r>
    </w:p>
    <w:p w14:paraId="413B72D5" w14:textId="77777777" w:rsidR="000F2264" w:rsidRPr="008B358A" w:rsidRDefault="000F2264" w:rsidP="000F2264">
      <w:pPr>
        <w:pStyle w:val="Memoheading"/>
        <w:spacing w:after="120"/>
        <w:jc w:val="both"/>
        <w:rPr>
          <w:noProof w:val="0"/>
          <w:sz w:val="24"/>
          <w:szCs w:val="24"/>
        </w:rPr>
      </w:pPr>
      <w:r w:rsidRPr="008B358A">
        <w:rPr>
          <w:noProof w:val="0"/>
          <w:sz w:val="24"/>
          <w:szCs w:val="24"/>
        </w:rPr>
        <w:t>8) Identification of mechanisms for the implementation of measures, stating the following:</w:t>
      </w:r>
    </w:p>
    <w:p w14:paraId="20B12F38" w14:textId="77777777" w:rsidR="000F2264" w:rsidRPr="008B358A" w:rsidRDefault="000F2264" w:rsidP="000F2264">
      <w:pPr>
        <w:pStyle w:val="Memoheading"/>
        <w:jc w:val="both"/>
        <w:rPr>
          <w:noProof w:val="0"/>
          <w:sz w:val="24"/>
          <w:szCs w:val="24"/>
        </w:rPr>
      </w:pPr>
      <w:r w:rsidRPr="008B358A">
        <w:rPr>
          <w:noProof w:val="0"/>
          <w:sz w:val="24"/>
          <w:szCs w:val="24"/>
        </w:rPr>
        <w:t>- institutions competent for implementing the specific measure, and/or institutions with predominant competence in implementing the given measure, or identified as the coordinator for the implementation of the measure, if the implementation of a measure is under the competence of multiple institutions;</w:t>
      </w:r>
    </w:p>
    <w:p w14:paraId="486D4904" w14:textId="77777777" w:rsidR="000F2264" w:rsidRPr="008B358A" w:rsidRDefault="000F2264" w:rsidP="000F2264">
      <w:pPr>
        <w:pStyle w:val="Memoheading"/>
        <w:jc w:val="both"/>
        <w:rPr>
          <w:noProof w:val="0"/>
          <w:sz w:val="24"/>
          <w:szCs w:val="24"/>
        </w:rPr>
      </w:pPr>
      <w:r w:rsidRPr="008B358A">
        <w:rPr>
          <w:noProof w:val="0"/>
          <w:sz w:val="24"/>
          <w:szCs w:val="24"/>
        </w:rPr>
        <w:t>- assessments of required funds and other material resources required for the implementation of measures;</w:t>
      </w:r>
    </w:p>
    <w:p w14:paraId="2396F7D8" w14:textId="77777777" w:rsidR="000F2264" w:rsidRPr="008B358A" w:rsidRDefault="000F2264" w:rsidP="000F2264">
      <w:pPr>
        <w:pStyle w:val="Memoheading"/>
        <w:jc w:val="both"/>
        <w:rPr>
          <w:noProof w:val="0"/>
          <w:sz w:val="24"/>
          <w:szCs w:val="24"/>
        </w:rPr>
      </w:pPr>
      <w:r w:rsidRPr="008B358A">
        <w:rPr>
          <w:noProof w:val="0"/>
          <w:sz w:val="24"/>
          <w:szCs w:val="24"/>
        </w:rPr>
        <w:t>- information on the method for securing, and/or sources of funds for the implementation of measures;</w:t>
      </w:r>
    </w:p>
    <w:p w14:paraId="71AEE7B1" w14:textId="77777777" w:rsidR="000F2264" w:rsidRPr="008B358A" w:rsidRDefault="000F2264" w:rsidP="000F2264">
      <w:pPr>
        <w:pStyle w:val="Memoheading"/>
        <w:spacing w:after="120"/>
        <w:jc w:val="both"/>
        <w:rPr>
          <w:noProof w:val="0"/>
          <w:sz w:val="24"/>
          <w:szCs w:val="24"/>
        </w:rPr>
      </w:pPr>
      <w:r w:rsidRPr="008B358A">
        <w:rPr>
          <w:noProof w:val="0"/>
          <w:sz w:val="24"/>
          <w:szCs w:val="24"/>
        </w:rPr>
        <w:lastRenderedPageBreak/>
        <w:t>- deadlines for the implementation of measures;</w:t>
      </w:r>
    </w:p>
    <w:p w14:paraId="5DFB636A" w14:textId="77777777" w:rsidR="000F2264" w:rsidRPr="008B358A" w:rsidRDefault="000F2264" w:rsidP="000F2264">
      <w:pPr>
        <w:pStyle w:val="Memoheading"/>
        <w:spacing w:after="120"/>
        <w:jc w:val="both"/>
        <w:rPr>
          <w:noProof w:val="0"/>
          <w:sz w:val="24"/>
          <w:szCs w:val="24"/>
        </w:rPr>
      </w:pPr>
      <w:r w:rsidRPr="008B358A">
        <w:rPr>
          <w:noProof w:val="0"/>
          <w:sz w:val="24"/>
          <w:szCs w:val="24"/>
        </w:rPr>
        <w:t>9) Identification of the method of evaluating the achieved results, i.e. the efficiency of implementation of the public policy document, including the identification of key performance indicators at the level of goals, objectives and measures, measuring the efficiency and effectiveness of the implementation of public policy measures established by the document and the method for verification of such results (source of information);</w:t>
      </w:r>
    </w:p>
    <w:p w14:paraId="1021CBED" w14:textId="77777777" w:rsidR="000F2264" w:rsidRPr="008B358A" w:rsidRDefault="000F2264" w:rsidP="000F2264">
      <w:pPr>
        <w:pStyle w:val="Memoheading"/>
        <w:spacing w:after="120"/>
        <w:jc w:val="both"/>
        <w:rPr>
          <w:noProof w:val="0"/>
          <w:sz w:val="24"/>
          <w:szCs w:val="24"/>
        </w:rPr>
      </w:pPr>
      <w:r w:rsidRPr="008B358A">
        <w:rPr>
          <w:noProof w:val="0"/>
          <w:sz w:val="24"/>
          <w:szCs w:val="24"/>
        </w:rPr>
        <w:t>10) Identification of the method of reporting on results, stating who shall report to whom on the implementation of the public policy document, the scope of reporting, and deadlines;</w:t>
      </w:r>
    </w:p>
    <w:p w14:paraId="7B990495" w14:textId="77777777" w:rsidR="000F2264" w:rsidRPr="00FE28F8" w:rsidRDefault="000F2264" w:rsidP="000F2264">
      <w:pPr>
        <w:pStyle w:val="Memoheading"/>
        <w:spacing w:after="120"/>
        <w:jc w:val="both"/>
        <w:rPr>
          <w:noProof w:val="0"/>
          <w:sz w:val="24"/>
          <w:szCs w:val="24"/>
        </w:rPr>
      </w:pPr>
      <w:r w:rsidRPr="00FE28F8">
        <w:rPr>
          <w:noProof w:val="0"/>
          <w:sz w:val="24"/>
          <w:szCs w:val="24"/>
        </w:rPr>
        <w:t>1</w:t>
      </w:r>
      <w:r>
        <w:rPr>
          <w:noProof w:val="0"/>
          <w:sz w:val="24"/>
          <w:szCs w:val="24"/>
        </w:rPr>
        <w:t>1</w:t>
      </w:r>
      <w:r w:rsidRPr="00FE28F8">
        <w:rPr>
          <w:noProof w:val="0"/>
          <w:sz w:val="24"/>
          <w:szCs w:val="24"/>
        </w:rPr>
        <w:t>) Estimate of funds, required to implement each of the measures and identification of the sources for securing such funds;</w:t>
      </w:r>
    </w:p>
    <w:p w14:paraId="3851BEE4" w14:textId="77777777" w:rsidR="000F2264" w:rsidRPr="00FE28F8" w:rsidRDefault="000F2264" w:rsidP="000F2264">
      <w:pPr>
        <w:pStyle w:val="Memoheading"/>
        <w:spacing w:after="120"/>
        <w:jc w:val="both"/>
        <w:rPr>
          <w:noProof w:val="0"/>
          <w:sz w:val="24"/>
          <w:szCs w:val="24"/>
        </w:rPr>
      </w:pPr>
      <w:r>
        <w:rPr>
          <w:noProof w:val="0"/>
          <w:sz w:val="24"/>
          <w:szCs w:val="24"/>
        </w:rPr>
        <w:t>12</w:t>
      </w:r>
      <w:r w:rsidRPr="00FE28F8">
        <w:rPr>
          <w:noProof w:val="0"/>
          <w:sz w:val="24"/>
          <w:szCs w:val="24"/>
        </w:rPr>
        <w:t xml:space="preserve">) Assessment of the financial effects of the implementation of each measure on the budget, in accordance with the law regulating the budget system. </w:t>
      </w:r>
    </w:p>
    <w:p w14:paraId="331506EC" w14:textId="77777777" w:rsidR="000F2264" w:rsidRDefault="000F2264" w:rsidP="000F2264">
      <w:pPr>
        <w:pStyle w:val="Memoheading"/>
        <w:tabs>
          <w:tab w:val="left" w:pos="2216"/>
        </w:tabs>
        <w:jc w:val="both"/>
        <w:rPr>
          <w:noProof w:val="0"/>
          <w:sz w:val="24"/>
          <w:szCs w:val="24"/>
        </w:rPr>
      </w:pPr>
      <w:r w:rsidRPr="002600AD">
        <w:rPr>
          <w:noProof w:val="0"/>
          <w:sz w:val="24"/>
          <w:szCs w:val="24"/>
        </w:rPr>
        <w:t>All tasks should be implemented in line with the conclusions of the consultations with the MoLEVSA and SIPRU.</w:t>
      </w:r>
    </w:p>
    <w:p w14:paraId="48B75A42" w14:textId="77777777" w:rsidR="000F2264" w:rsidRPr="00E74111" w:rsidRDefault="000F2264" w:rsidP="000F2264">
      <w:pPr>
        <w:pStyle w:val="Memoheading"/>
        <w:tabs>
          <w:tab w:val="left" w:pos="2216"/>
        </w:tabs>
        <w:jc w:val="both"/>
        <w:rPr>
          <w:noProof w:val="0"/>
          <w:sz w:val="24"/>
          <w:szCs w:val="24"/>
        </w:rPr>
      </w:pPr>
    </w:p>
    <w:p w14:paraId="3D0E7D9A" w14:textId="77777777" w:rsidR="000F2264" w:rsidRPr="00E74111" w:rsidRDefault="000F2264" w:rsidP="000F2264">
      <w:pPr>
        <w:pStyle w:val="Memoheading"/>
        <w:numPr>
          <w:ilvl w:val="0"/>
          <w:numId w:val="3"/>
        </w:numPr>
        <w:spacing w:after="120"/>
        <w:jc w:val="both"/>
        <w:outlineLvl w:val="0"/>
        <w:rPr>
          <w:b/>
          <w:noProof w:val="0"/>
          <w:sz w:val="24"/>
          <w:szCs w:val="24"/>
          <w:u w:val="single"/>
        </w:rPr>
      </w:pPr>
      <w:r w:rsidRPr="00E74111">
        <w:rPr>
          <w:b/>
          <w:noProof w:val="0"/>
          <w:sz w:val="24"/>
          <w:szCs w:val="24"/>
          <w:u w:val="single"/>
        </w:rPr>
        <w:t>Responsibilities</w:t>
      </w:r>
    </w:p>
    <w:p w14:paraId="6FF55ECD" w14:textId="4B3FB1E5" w:rsidR="000F2264" w:rsidRPr="00E74111" w:rsidRDefault="000F2264" w:rsidP="000F2264">
      <w:pPr>
        <w:pStyle w:val="BodyText1"/>
        <w:spacing w:after="120"/>
        <w:rPr>
          <w:rFonts w:ascii="Times New Roman" w:hAnsi="Times New Roman"/>
          <w:sz w:val="24"/>
          <w:szCs w:val="24"/>
          <w:lang w:val="en-US"/>
        </w:rPr>
      </w:pPr>
      <w:r w:rsidRPr="00E74111">
        <w:rPr>
          <w:rFonts w:ascii="Times New Roman" w:hAnsi="Times New Roman"/>
          <w:sz w:val="24"/>
          <w:szCs w:val="24"/>
          <w:lang w:val="en-US"/>
        </w:rPr>
        <w:t xml:space="preserve">The selected </w:t>
      </w:r>
      <w:r>
        <w:rPr>
          <w:rFonts w:ascii="Times New Roman" w:hAnsi="Times New Roman"/>
          <w:sz w:val="24"/>
          <w:szCs w:val="24"/>
          <w:lang w:val="en-US"/>
        </w:rPr>
        <w:t>Consultant</w:t>
      </w:r>
      <w:r w:rsidRPr="00E74111">
        <w:rPr>
          <w:rFonts w:ascii="Times New Roman" w:hAnsi="Times New Roman"/>
          <w:sz w:val="24"/>
          <w:szCs w:val="24"/>
          <w:lang w:val="en-US"/>
        </w:rPr>
        <w:t xml:space="preserve"> is expected to work in close collaboration with the Head of Division for Active Employment Policy in MoLEVSA, SIPRU </w:t>
      </w:r>
      <w:r>
        <w:rPr>
          <w:rFonts w:ascii="Times New Roman" w:hAnsi="Times New Roman"/>
          <w:sz w:val="24"/>
          <w:szCs w:val="24"/>
          <w:lang w:val="en-US"/>
        </w:rPr>
        <w:t>E2E</w:t>
      </w:r>
      <w:r w:rsidRPr="00E74111">
        <w:rPr>
          <w:rFonts w:ascii="Times New Roman" w:hAnsi="Times New Roman"/>
          <w:sz w:val="24"/>
          <w:szCs w:val="24"/>
          <w:lang w:val="en-US"/>
        </w:rPr>
        <w:t xml:space="preserve"> </w:t>
      </w:r>
      <w:r w:rsidR="00230CE7">
        <w:rPr>
          <w:rFonts w:ascii="Times New Roman" w:hAnsi="Times New Roman"/>
          <w:sz w:val="24"/>
          <w:szCs w:val="24"/>
          <w:lang w:val="en-US"/>
        </w:rPr>
        <w:t xml:space="preserve">Policy team </w:t>
      </w:r>
      <w:proofErr w:type="spellStart"/>
      <w:r w:rsidR="00230CE7">
        <w:rPr>
          <w:rFonts w:ascii="Times New Roman" w:hAnsi="Times New Roman"/>
          <w:sz w:val="24"/>
          <w:szCs w:val="24"/>
          <w:lang w:val="en-US"/>
        </w:rPr>
        <w:t>leder</w:t>
      </w:r>
      <w:proofErr w:type="spellEnd"/>
      <w:r w:rsidRPr="00E74111">
        <w:rPr>
          <w:rFonts w:ascii="Times New Roman" w:hAnsi="Times New Roman"/>
          <w:sz w:val="24"/>
          <w:szCs w:val="24"/>
          <w:lang w:val="en-US"/>
        </w:rPr>
        <w:t xml:space="preserve"> and national expert within MoLEVSA. </w:t>
      </w:r>
    </w:p>
    <w:p w14:paraId="3342C0DB" w14:textId="77777777" w:rsidR="000F2264" w:rsidRDefault="000F2264" w:rsidP="000F2264">
      <w:pPr>
        <w:pStyle w:val="Memoheading"/>
        <w:spacing w:after="80"/>
        <w:jc w:val="both"/>
        <w:outlineLvl w:val="0"/>
        <w:rPr>
          <w:noProof w:val="0"/>
          <w:sz w:val="24"/>
          <w:szCs w:val="24"/>
        </w:rPr>
      </w:pPr>
      <w:r w:rsidRPr="009B15B8">
        <w:rPr>
          <w:noProof w:val="0"/>
          <w:sz w:val="24"/>
          <w:szCs w:val="24"/>
        </w:rPr>
        <w:t xml:space="preserve">Responsibility of the MoLEVSA and SIPRU is </w:t>
      </w:r>
      <w:r>
        <w:rPr>
          <w:noProof w:val="0"/>
          <w:sz w:val="24"/>
          <w:szCs w:val="24"/>
        </w:rPr>
        <w:t>to make available for the Consultant all analyzes that the Employment Strategy need to be based on in draft and final version.</w:t>
      </w:r>
    </w:p>
    <w:p w14:paraId="22ED5811" w14:textId="77777777" w:rsidR="000F2264" w:rsidRDefault="000F2264" w:rsidP="000F2264">
      <w:pPr>
        <w:pStyle w:val="Memoheading"/>
        <w:jc w:val="both"/>
        <w:outlineLvl w:val="0"/>
        <w:rPr>
          <w:noProof w:val="0"/>
          <w:sz w:val="24"/>
          <w:szCs w:val="24"/>
        </w:rPr>
      </w:pPr>
    </w:p>
    <w:p w14:paraId="06585B19" w14:textId="77777777" w:rsidR="000F2264" w:rsidRPr="00E74111" w:rsidRDefault="000F2264" w:rsidP="000F2264">
      <w:pPr>
        <w:pStyle w:val="Memoheading"/>
        <w:numPr>
          <w:ilvl w:val="0"/>
          <w:numId w:val="3"/>
        </w:numPr>
        <w:spacing w:after="120"/>
        <w:jc w:val="both"/>
        <w:outlineLvl w:val="0"/>
        <w:rPr>
          <w:b/>
          <w:noProof w:val="0"/>
          <w:sz w:val="24"/>
          <w:szCs w:val="24"/>
          <w:u w:val="single"/>
        </w:rPr>
      </w:pPr>
      <w:r w:rsidRPr="00E74111">
        <w:rPr>
          <w:b/>
          <w:noProof w:val="0"/>
          <w:sz w:val="24"/>
          <w:szCs w:val="24"/>
          <w:u w:val="single"/>
        </w:rPr>
        <w:t xml:space="preserve">Outputs/Deliverables </w:t>
      </w:r>
    </w:p>
    <w:p w14:paraId="06AB762C" w14:textId="77777777" w:rsidR="000F2264" w:rsidRDefault="000F2264" w:rsidP="000F2264">
      <w:pPr>
        <w:pStyle w:val="Memoheading"/>
        <w:numPr>
          <w:ilvl w:val="0"/>
          <w:numId w:val="1"/>
        </w:numPr>
        <w:jc w:val="both"/>
        <w:outlineLvl w:val="0"/>
        <w:rPr>
          <w:noProof w:val="0"/>
          <w:sz w:val="24"/>
          <w:szCs w:val="24"/>
        </w:rPr>
      </w:pPr>
      <w:r>
        <w:rPr>
          <w:noProof w:val="0"/>
          <w:sz w:val="24"/>
          <w:szCs w:val="24"/>
        </w:rPr>
        <w:t xml:space="preserve">Work plan and methodology for conducting the assignment; </w:t>
      </w:r>
    </w:p>
    <w:p w14:paraId="7AE13046" w14:textId="77777777" w:rsidR="000F2264" w:rsidRDefault="000F2264" w:rsidP="000F2264">
      <w:pPr>
        <w:pStyle w:val="Memoheading"/>
        <w:numPr>
          <w:ilvl w:val="0"/>
          <w:numId w:val="1"/>
        </w:numPr>
        <w:jc w:val="both"/>
        <w:outlineLvl w:val="0"/>
        <w:rPr>
          <w:noProof w:val="0"/>
          <w:sz w:val="24"/>
          <w:szCs w:val="24"/>
        </w:rPr>
      </w:pPr>
      <w:r w:rsidRPr="00E74111">
        <w:rPr>
          <w:noProof w:val="0"/>
          <w:sz w:val="24"/>
          <w:szCs w:val="24"/>
        </w:rPr>
        <w:t xml:space="preserve">The outline of the </w:t>
      </w:r>
      <w:r>
        <w:rPr>
          <w:noProof w:val="0"/>
          <w:sz w:val="24"/>
          <w:szCs w:val="24"/>
        </w:rPr>
        <w:t>Employment Strategy proposal</w:t>
      </w:r>
      <w:r w:rsidRPr="00E74111">
        <w:rPr>
          <w:noProof w:val="0"/>
          <w:sz w:val="24"/>
          <w:szCs w:val="24"/>
        </w:rPr>
        <w:t xml:space="preserve"> to be submitted for approval by the M</w:t>
      </w:r>
      <w:r>
        <w:rPr>
          <w:noProof w:val="0"/>
          <w:sz w:val="24"/>
          <w:szCs w:val="24"/>
        </w:rPr>
        <w:t>o</w:t>
      </w:r>
      <w:r w:rsidRPr="00E74111">
        <w:rPr>
          <w:noProof w:val="0"/>
          <w:sz w:val="24"/>
          <w:szCs w:val="24"/>
        </w:rPr>
        <w:t>LEVSA and SIPRU</w:t>
      </w:r>
      <w:r>
        <w:rPr>
          <w:noProof w:val="0"/>
          <w:sz w:val="24"/>
          <w:szCs w:val="24"/>
        </w:rPr>
        <w:t>;</w:t>
      </w:r>
    </w:p>
    <w:p w14:paraId="2C05F9C6" w14:textId="77777777" w:rsidR="000F2264" w:rsidRDefault="000F2264" w:rsidP="000F2264">
      <w:pPr>
        <w:pStyle w:val="ListParagraph"/>
        <w:numPr>
          <w:ilvl w:val="0"/>
          <w:numId w:val="1"/>
        </w:numPr>
        <w:jc w:val="both"/>
      </w:pPr>
      <w:r w:rsidRPr="003F7AEC">
        <w:t xml:space="preserve">Draft version of the </w:t>
      </w:r>
      <w:r>
        <w:t xml:space="preserve">proposal of the </w:t>
      </w:r>
      <w:r w:rsidRPr="003F7AEC">
        <w:t xml:space="preserve">Employment Strategy of the Republic of </w:t>
      </w:r>
      <w:r>
        <w:t xml:space="preserve">Serbia for the period 2021-2026; </w:t>
      </w:r>
    </w:p>
    <w:p w14:paraId="7C4BDCA5" w14:textId="77777777" w:rsidR="000F2264" w:rsidRDefault="000F2264" w:rsidP="000F2264">
      <w:pPr>
        <w:pStyle w:val="ListParagraph"/>
        <w:numPr>
          <w:ilvl w:val="0"/>
          <w:numId w:val="1"/>
        </w:numPr>
        <w:spacing w:after="120"/>
        <w:jc w:val="both"/>
        <w:outlineLvl w:val="0"/>
      </w:pPr>
      <w:r w:rsidRPr="00E74111">
        <w:t xml:space="preserve">Final version of the </w:t>
      </w:r>
      <w:r>
        <w:t xml:space="preserve">proposal of the </w:t>
      </w:r>
      <w:r w:rsidRPr="00C85EF1">
        <w:t>Employment Strategy of the Republic of Serbia for the period 2021-2026</w:t>
      </w:r>
      <w:r>
        <w:t>.</w:t>
      </w:r>
    </w:p>
    <w:p w14:paraId="055C9D3B" w14:textId="77777777" w:rsidR="000F2264" w:rsidRPr="00C85EF1" w:rsidRDefault="000F2264" w:rsidP="000F2264">
      <w:pPr>
        <w:pStyle w:val="ListParagraph"/>
        <w:spacing w:after="120"/>
        <w:jc w:val="both"/>
        <w:outlineLvl w:val="0"/>
      </w:pPr>
    </w:p>
    <w:p w14:paraId="4D089A81" w14:textId="77777777" w:rsidR="000F2264" w:rsidRDefault="000F2264" w:rsidP="000F2264">
      <w:pPr>
        <w:pStyle w:val="Memoheading"/>
        <w:numPr>
          <w:ilvl w:val="0"/>
          <w:numId w:val="3"/>
        </w:numPr>
        <w:spacing w:after="120"/>
        <w:jc w:val="both"/>
        <w:outlineLvl w:val="0"/>
        <w:rPr>
          <w:b/>
          <w:noProof w:val="0"/>
          <w:sz w:val="24"/>
          <w:szCs w:val="24"/>
          <w:u w:val="single"/>
        </w:rPr>
      </w:pPr>
      <w:r w:rsidRPr="00E74111">
        <w:rPr>
          <w:b/>
          <w:noProof w:val="0"/>
          <w:sz w:val="24"/>
          <w:szCs w:val="24"/>
          <w:u w:val="single"/>
        </w:rPr>
        <w:t>Qualifications</w:t>
      </w:r>
    </w:p>
    <w:p w14:paraId="5E1C17EF" w14:textId="77777777" w:rsidR="000F2264" w:rsidRPr="00EA5987" w:rsidRDefault="000F2264" w:rsidP="00D24A86">
      <w:pPr>
        <w:pStyle w:val="Memoheading"/>
        <w:numPr>
          <w:ilvl w:val="0"/>
          <w:numId w:val="6"/>
        </w:numPr>
        <w:jc w:val="both"/>
        <w:outlineLvl w:val="0"/>
        <w:rPr>
          <w:noProof w:val="0"/>
          <w:sz w:val="24"/>
          <w:szCs w:val="24"/>
        </w:rPr>
      </w:pPr>
      <w:r w:rsidRPr="00EA5987">
        <w:rPr>
          <w:noProof w:val="0"/>
          <w:sz w:val="24"/>
          <w:szCs w:val="24"/>
        </w:rPr>
        <w:t>University degree of social or economic science;</w:t>
      </w:r>
    </w:p>
    <w:p w14:paraId="76CF1A31" w14:textId="77777777" w:rsidR="000F2264" w:rsidRDefault="000F2264" w:rsidP="00D24A86">
      <w:pPr>
        <w:pStyle w:val="Memoheading"/>
        <w:numPr>
          <w:ilvl w:val="0"/>
          <w:numId w:val="6"/>
        </w:numPr>
        <w:jc w:val="both"/>
        <w:outlineLvl w:val="0"/>
        <w:rPr>
          <w:noProof w:val="0"/>
          <w:sz w:val="24"/>
          <w:szCs w:val="24"/>
        </w:rPr>
      </w:pPr>
      <w:r w:rsidRPr="008E1E88">
        <w:rPr>
          <w:noProof w:val="0"/>
          <w:sz w:val="24"/>
          <w:szCs w:val="24"/>
        </w:rPr>
        <w:t xml:space="preserve">At least </w:t>
      </w:r>
      <w:r>
        <w:rPr>
          <w:noProof w:val="0"/>
          <w:sz w:val="24"/>
          <w:szCs w:val="24"/>
        </w:rPr>
        <w:t>10</w:t>
      </w:r>
      <w:r w:rsidRPr="008E1E88">
        <w:rPr>
          <w:noProof w:val="0"/>
          <w:sz w:val="24"/>
          <w:szCs w:val="24"/>
        </w:rPr>
        <w:t xml:space="preserve"> years of experie</w:t>
      </w:r>
      <w:r>
        <w:rPr>
          <w:noProof w:val="0"/>
          <w:sz w:val="24"/>
          <w:szCs w:val="24"/>
        </w:rPr>
        <w:t xml:space="preserve">nce in the field of </w:t>
      </w:r>
      <w:r w:rsidRPr="008E1E88">
        <w:rPr>
          <w:noProof w:val="0"/>
          <w:sz w:val="24"/>
          <w:szCs w:val="24"/>
        </w:rPr>
        <w:t>human resources, preferably employment/social inclusion field</w:t>
      </w:r>
      <w:r>
        <w:rPr>
          <w:noProof w:val="0"/>
          <w:sz w:val="24"/>
          <w:szCs w:val="24"/>
        </w:rPr>
        <w:t>;</w:t>
      </w:r>
    </w:p>
    <w:p w14:paraId="022CB900" w14:textId="77777777" w:rsidR="000F2264" w:rsidRDefault="000F2264" w:rsidP="00D24A86">
      <w:pPr>
        <w:pStyle w:val="ListParagraph"/>
        <w:numPr>
          <w:ilvl w:val="0"/>
          <w:numId w:val="6"/>
        </w:numPr>
        <w:jc w:val="both"/>
      </w:pPr>
      <w:r>
        <w:t>Excellent</w:t>
      </w:r>
      <w:r w:rsidRPr="00E74111">
        <w:t xml:space="preserve"> understanding of policy, institutional and legal employment context in Republic of Serbia;</w:t>
      </w:r>
    </w:p>
    <w:p w14:paraId="08C1D765" w14:textId="77777777" w:rsidR="000F2264" w:rsidRDefault="000F2264" w:rsidP="00D24A86">
      <w:pPr>
        <w:pStyle w:val="ListParagraph"/>
        <w:numPr>
          <w:ilvl w:val="0"/>
          <w:numId w:val="6"/>
        </w:numPr>
        <w:jc w:val="both"/>
      </w:pPr>
      <w:r w:rsidRPr="008E1E88">
        <w:t>Excellent understanding of employment and labor market trends both in Serbia, EU and at global level with required experience in conceptualization of national employment policy;</w:t>
      </w:r>
    </w:p>
    <w:p w14:paraId="0F70FF7C" w14:textId="2B13E47E" w:rsidR="000F2264" w:rsidRPr="008E1E88" w:rsidRDefault="000F2264" w:rsidP="00D24A86">
      <w:pPr>
        <w:pStyle w:val="ListParagraph"/>
        <w:numPr>
          <w:ilvl w:val="0"/>
          <w:numId w:val="6"/>
        </w:numPr>
        <w:jc w:val="both"/>
      </w:pPr>
      <w:r>
        <w:t>Previous experience and cooperation with MoLEVSA in employment topics would be considered as an advantage</w:t>
      </w:r>
      <w:r w:rsidR="00D24A86">
        <w:t>;</w:t>
      </w:r>
    </w:p>
    <w:p w14:paraId="7D05EE95" w14:textId="77777777" w:rsidR="000F2264" w:rsidRPr="008E1E88" w:rsidRDefault="000F2264" w:rsidP="00D24A86">
      <w:pPr>
        <w:pStyle w:val="Memoheading"/>
        <w:numPr>
          <w:ilvl w:val="0"/>
          <w:numId w:val="6"/>
        </w:numPr>
        <w:jc w:val="both"/>
        <w:outlineLvl w:val="0"/>
        <w:rPr>
          <w:noProof w:val="0"/>
          <w:sz w:val="24"/>
          <w:szCs w:val="24"/>
        </w:rPr>
      </w:pPr>
      <w:r w:rsidRPr="008E1E88">
        <w:rPr>
          <w:noProof w:val="0"/>
          <w:sz w:val="24"/>
          <w:szCs w:val="24"/>
        </w:rPr>
        <w:t>Excellent knowledge of the Law on Planning System in Serbia and accompanying bylaws;</w:t>
      </w:r>
    </w:p>
    <w:p w14:paraId="679EC413" w14:textId="77777777" w:rsidR="000F2264" w:rsidRPr="008E1E88" w:rsidRDefault="000F2264" w:rsidP="00D24A86">
      <w:pPr>
        <w:pStyle w:val="Memoheading"/>
        <w:numPr>
          <w:ilvl w:val="0"/>
          <w:numId w:val="6"/>
        </w:numPr>
        <w:jc w:val="both"/>
        <w:outlineLvl w:val="0"/>
        <w:rPr>
          <w:noProof w:val="0"/>
          <w:sz w:val="24"/>
          <w:szCs w:val="24"/>
        </w:rPr>
      </w:pPr>
      <w:r w:rsidRPr="008E1E88">
        <w:rPr>
          <w:noProof w:val="0"/>
          <w:sz w:val="24"/>
          <w:szCs w:val="24"/>
        </w:rPr>
        <w:t>Excellent knowledge of the Serbian and the English language;</w:t>
      </w:r>
    </w:p>
    <w:p w14:paraId="50D4EB63" w14:textId="77777777" w:rsidR="000F2264" w:rsidRPr="008E1E88" w:rsidRDefault="000F2264" w:rsidP="00D24A86">
      <w:pPr>
        <w:pStyle w:val="Memoheading"/>
        <w:numPr>
          <w:ilvl w:val="0"/>
          <w:numId w:val="6"/>
        </w:numPr>
        <w:jc w:val="both"/>
        <w:outlineLvl w:val="0"/>
        <w:rPr>
          <w:noProof w:val="0"/>
          <w:sz w:val="24"/>
          <w:szCs w:val="24"/>
        </w:rPr>
      </w:pPr>
      <w:r>
        <w:rPr>
          <w:noProof w:val="0"/>
          <w:sz w:val="24"/>
          <w:szCs w:val="24"/>
        </w:rPr>
        <w:t>Excellent</w:t>
      </w:r>
      <w:r w:rsidRPr="008E1E88">
        <w:rPr>
          <w:noProof w:val="0"/>
          <w:sz w:val="24"/>
          <w:szCs w:val="24"/>
        </w:rPr>
        <w:t xml:space="preserve"> analytical, writing and reporting skills;</w:t>
      </w:r>
    </w:p>
    <w:p w14:paraId="0E27A347" w14:textId="11E3A765" w:rsidR="000F2264" w:rsidRDefault="000F2264" w:rsidP="00D24A86">
      <w:pPr>
        <w:pStyle w:val="Memoheading"/>
        <w:numPr>
          <w:ilvl w:val="0"/>
          <w:numId w:val="6"/>
        </w:numPr>
        <w:jc w:val="both"/>
        <w:outlineLvl w:val="0"/>
        <w:rPr>
          <w:noProof w:val="0"/>
          <w:sz w:val="24"/>
          <w:szCs w:val="24"/>
        </w:rPr>
      </w:pPr>
      <w:r>
        <w:rPr>
          <w:noProof w:val="0"/>
          <w:sz w:val="24"/>
          <w:szCs w:val="24"/>
        </w:rPr>
        <w:t>Strong organizational and output delivery skills</w:t>
      </w:r>
      <w:r w:rsidR="0040650E">
        <w:rPr>
          <w:noProof w:val="0"/>
          <w:sz w:val="24"/>
          <w:szCs w:val="24"/>
        </w:rPr>
        <w:t>.</w:t>
      </w:r>
    </w:p>
    <w:p w14:paraId="21AF99E3" w14:textId="77777777" w:rsidR="000F2264" w:rsidRDefault="000F2264" w:rsidP="000F2264">
      <w:pPr>
        <w:pStyle w:val="Memoheading"/>
        <w:ind w:left="1080"/>
        <w:jc w:val="both"/>
        <w:outlineLvl w:val="0"/>
        <w:rPr>
          <w:noProof w:val="0"/>
          <w:sz w:val="24"/>
          <w:szCs w:val="24"/>
        </w:rPr>
      </w:pPr>
    </w:p>
    <w:p w14:paraId="23D47A61" w14:textId="77777777" w:rsidR="000F2264" w:rsidRDefault="000F2264" w:rsidP="000F2264">
      <w:pPr>
        <w:pStyle w:val="ListParagraph"/>
        <w:numPr>
          <w:ilvl w:val="0"/>
          <w:numId w:val="3"/>
        </w:numPr>
        <w:spacing w:after="120"/>
        <w:rPr>
          <w:b/>
          <w:u w:val="single"/>
        </w:rPr>
      </w:pPr>
      <w:r w:rsidRPr="00C44BF5">
        <w:rPr>
          <w:b/>
          <w:u w:val="single"/>
        </w:rPr>
        <w:lastRenderedPageBreak/>
        <w:t>Reporting</w:t>
      </w:r>
      <w:r>
        <w:rPr>
          <w:b/>
          <w:u w:val="single"/>
        </w:rPr>
        <w:t xml:space="preserve"> </w:t>
      </w:r>
    </w:p>
    <w:p w14:paraId="29679E3A" w14:textId="77777777" w:rsidR="000F2264" w:rsidRDefault="000F2264" w:rsidP="000F2264">
      <w:pPr>
        <w:pStyle w:val="ListParagraph"/>
        <w:spacing w:before="120"/>
        <w:ind w:left="0"/>
        <w:jc w:val="both"/>
      </w:pPr>
    </w:p>
    <w:p w14:paraId="072DD963" w14:textId="77777777" w:rsidR="000F2264" w:rsidRDefault="000F2264" w:rsidP="000F2264">
      <w:pPr>
        <w:pStyle w:val="ListParagraph"/>
        <w:spacing w:after="120"/>
        <w:ind w:left="0"/>
        <w:jc w:val="both"/>
      </w:pPr>
      <w:r w:rsidRPr="00A73C6A">
        <w:t xml:space="preserve">The selected </w:t>
      </w:r>
      <w:r>
        <w:t>consultant</w:t>
      </w:r>
      <w:r w:rsidRPr="00A73C6A">
        <w:t xml:space="preserve"> will report to the SIPRU manager who is accountable for all contracts signed by SIPRU, but with engagement </w:t>
      </w:r>
      <w:r>
        <w:t xml:space="preserve">and quality assurance </w:t>
      </w:r>
      <w:r w:rsidRPr="00A73C6A">
        <w:t xml:space="preserve">of SIPRU E2E manager and Head of Division for Active Employment Policy in MoLEVSA. </w:t>
      </w:r>
      <w:r>
        <w:t xml:space="preserve"> </w:t>
      </w:r>
    </w:p>
    <w:p w14:paraId="04F954EE" w14:textId="77777777" w:rsidR="000F2264" w:rsidRDefault="000F2264" w:rsidP="000F2264">
      <w:pPr>
        <w:pStyle w:val="ListParagraph"/>
        <w:spacing w:after="120"/>
        <w:ind w:left="0"/>
        <w:jc w:val="both"/>
      </w:pPr>
    </w:p>
    <w:p w14:paraId="6C3BD725" w14:textId="77777777" w:rsidR="000F2264" w:rsidRPr="00567437" w:rsidRDefault="000F2264" w:rsidP="000F2264">
      <w:pPr>
        <w:pStyle w:val="ListParagraph"/>
        <w:spacing w:after="120" w:line="276" w:lineRule="auto"/>
        <w:ind w:left="0"/>
        <w:jc w:val="both"/>
        <w:rPr>
          <w:bCs/>
        </w:rPr>
      </w:pPr>
      <w:r>
        <w:rPr>
          <w:bCs/>
        </w:rPr>
        <w:t xml:space="preserve">Following deliverables are expected to be delivered by the contractor: </w:t>
      </w:r>
    </w:p>
    <w:p w14:paraId="4EB9987B" w14:textId="734C4349" w:rsidR="000F2264" w:rsidRPr="00C44BF5" w:rsidRDefault="000F2264" w:rsidP="000F2264">
      <w:pPr>
        <w:pStyle w:val="ListParagraph"/>
        <w:numPr>
          <w:ilvl w:val="0"/>
          <w:numId w:val="4"/>
        </w:numPr>
        <w:tabs>
          <w:tab w:val="left" w:pos="2880"/>
        </w:tabs>
        <w:spacing w:before="100" w:beforeAutospacing="1"/>
        <w:jc w:val="both"/>
      </w:pPr>
      <w:r w:rsidRPr="00C44BF5">
        <w:rPr>
          <w:shd w:val="clear" w:color="auto" w:fill="FFFFFF"/>
        </w:rPr>
        <w:t>Working plan</w:t>
      </w:r>
      <w:r>
        <w:rPr>
          <w:shd w:val="clear" w:color="auto" w:fill="FFFFFF"/>
        </w:rPr>
        <w:t xml:space="preserve"> for the delivery of the assignment and t</w:t>
      </w:r>
      <w:r w:rsidRPr="00033449">
        <w:rPr>
          <w:shd w:val="clear" w:color="auto" w:fill="FFFFFF"/>
        </w:rPr>
        <w:t xml:space="preserve">he outline of the </w:t>
      </w:r>
      <w:r w:rsidRPr="00A96597">
        <w:rPr>
          <w:shd w:val="clear" w:color="auto" w:fill="FFFFFF"/>
        </w:rPr>
        <w:t xml:space="preserve">Employment Strategy proposal </w:t>
      </w:r>
      <w:r w:rsidRPr="00033449">
        <w:rPr>
          <w:shd w:val="clear" w:color="auto" w:fill="FFFFFF"/>
        </w:rPr>
        <w:t xml:space="preserve">– until </w:t>
      </w:r>
      <w:r w:rsidR="00CA5061">
        <w:rPr>
          <w:shd w:val="clear" w:color="auto" w:fill="FFFFFF"/>
        </w:rPr>
        <w:t>15</w:t>
      </w:r>
      <w:r w:rsidR="00CA5061" w:rsidRPr="00CA5061">
        <w:rPr>
          <w:shd w:val="clear" w:color="auto" w:fill="FFFFFF"/>
          <w:vertAlign w:val="superscript"/>
        </w:rPr>
        <w:t>th</w:t>
      </w:r>
      <w:r w:rsidR="00CA5061">
        <w:rPr>
          <w:shd w:val="clear" w:color="auto" w:fill="FFFFFF"/>
        </w:rPr>
        <w:t xml:space="preserve"> </w:t>
      </w:r>
      <w:r>
        <w:rPr>
          <w:shd w:val="clear" w:color="auto" w:fill="FFFFFF"/>
        </w:rPr>
        <w:t>August</w:t>
      </w:r>
      <w:r w:rsidRPr="00033449">
        <w:rPr>
          <w:shd w:val="clear" w:color="auto" w:fill="FFFFFF"/>
        </w:rPr>
        <w:t xml:space="preserve"> 2020;</w:t>
      </w:r>
    </w:p>
    <w:p w14:paraId="411B9235" w14:textId="3986A976" w:rsidR="000F2264" w:rsidRDefault="000F2264" w:rsidP="000F2264">
      <w:pPr>
        <w:pStyle w:val="ListParagraph"/>
        <w:numPr>
          <w:ilvl w:val="0"/>
          <w:numId w:val="4"/>
        </w:numPr>
        <w:spacing w:before="100" w:beforeAutospacing="1"/>
        <w:jc w:val="both"/>
        <w:outlineLvl w:val="0"/>
      </w:pPr>
      <w:r w:rsidRPr="003F7AEC">
        <w:rPr>
          <w:shd w:val="clear" w:color="auto" w:fill="FFFFFF"/>
        </w:rPr>
        <w:t>Draft version of the proposal of the Employment Strategy of the Republic of Serbia for the period 2021-2026</w:t>
      </w:r>
      <w:r>
        <w:rPr>
          <w:shd w:val="clear" w:color="auto" w:fill="FFFFFF"/>
        </w:rPr>
        <w:t xml:space="preserve"> </w:t>
      </w:r>
      <w:r>
        <w:t xml:space="preserve">– until </w:t>
      </w:r>
      <w:r w:rsidR="00CA5061">
        <w:t>1</w:t>
      </w:r>
      <w:r w:rsidR="00CA5061" w:rsidRPr="00CA5061">
        <w:rPr>
          <w:vertAlign w:val="superscript"/>
        </w:rPr>
        <w:t>st</w:t>
      </w:r>
      <w:r w:rsidR="00CA5061">
        <w:t xml:space="preserve"> </w:t>
      </w:r>
      <w:r>
        <w:t>October 2020;</w:t>
      </w:r>
    </w:p>
    <w:p w14:paraId="59C4C7D4" w14:textId="0F7EC570" w:rsidR="000F2264" w:rsidRDefault="000F2264" w:rsidP="000F2264">
      <w:pPr>
        <w:pStyle w:val="ListParagraph"/>
        <w:numPr>
          <w:ilvl w:val="0"/>
          <w:numId w:val="4"/>
        </w:numPr>
        <w:tabs>
          <w:tab w:val="left" w:pos="2880"/>
        </w:tabs>
        <w:jc w:val="both"/>
      </w:pPr>
      <w:r w:rsidRPr="00C44BF5">
        <w:t xml:space="preserve">Final version </w:t>
      </w:r>
      <w:r w:rsidRPr="004A52C2">
        <w:t xml:space="preserve">of the proposal of the Employment Strategy of the Republic of Serbia for the </w:t>
      </w:r>
      <w:r>
        <w:t xml:space="preserve">period 2021-2026 </w:t>
      </w:r>
      <w:r w:rsidRPr="00C44BF5">
        <w:t>–</w:t>
      </w:r>
      <w:r>
        <w:t xml:space="preserve"> until</w:t>
      </w:r>
      <w:r w:rsidR="00CA5061">
        <w:t xml:space="preserve"> early </w:t>
      </w:r>
      <w:r>
        <w:t>November</w:t>
      </w:r>
      <w:r w:rsidRPr="00C44BF5">
        <w:t xml:space="preserve"> 2020.</w:t>
      </w:r>
    </w:p>
    <w:p w14:paraId="6D330247" w14:textId="77777777" w:rsidR="000F2264" w:rsidRDefault="000F2264" w:rsidP="000F2264">
      <w:pPr>
        <w:pStyle w:val="ListParagraph"/>
        <w:tabs>
          <w:tab w:val="left" w:pos="2880"/>
        </w:tabs>
        <w:spacing w:after="120"/>
        <w:ind w:left="1080"/>
        <w:jc w:val="both"/>
      </w:pPr>
    </w:p>
    <w:p w14:paraId="58EB5E12" w14:textId="77777777" w:rsidR="000F2264" w:rsidRPr="00C44BF5" w:rsidRDefault="000F2264" w:rsidP="000F2264">
      <w:pPr>
        <w:pStyle w:val="Memoheading"/>
        <w:numPr>
          <w:ilvl w:val="0"/>
          <w:numId w:val="3"/>
        </w:numPr>
        <w:spacing w:after="120"/>
        <w:jc w:val="both"/>
        <w:outlineLvl w:val="0"/>
        <w:rPr>
          <w:b/>
          <w:noProof w:val="0"/>
          <w:sz w:val="24"/>
          <w:szCs w:val="24"/>
          <w:u w:val="single"/>
        </w:rPr>
      </w:pPr>
      <w:r w:rsidRPr="00C44BF5">
        <w:rPr>
          <w:b/>
          <w:noProof w:val="0"/>
          <w:sz w:val="24"/>
          <w:szCs w:val="24"/>
          <w:u w:val="single"/>
        </w:rPr>
        <w:t xml:space="preserve">Duration of the Assignment and </w:t>
      </w:r>
      <w:r>
        <w:rPr>
          <w:b/>
          <w:noProof w:val="0"/>
          <w:sz w:val="24"/>
          <w:szCs w:val="24"/>
          <w:u w:val="single"/>
        </w:rPr>
        <w:t>Payment</w:t>
      </w:r>
    </w:p>
    <w:p w14:paraId="5884B12E" w14:textId="77777777" w:rsidR="000F2264" w:rsidRDefault="000F2264" w:rsidP="000F2264">
      <w:pPr>
        <w:pStyle w:val="Memoheading"/>
        <w:jc w:val="both"/>
        <w:outlineLvl w:val="0"/>
        <w:rPr>
          <w:noProof w:val="0"/>
          <w:sz w:val="24"/>
          <w:szCs w:val="24"/>
        </w:rPr>
      </w:pPr>
      <w:r w:rsidRPr="00C44BF5">
        <w:rPr>
          <w:noProof w:val="0"/>
          <w:sz w:val="24"/>
          <w:szCs w:val="24"/>
        </w:rPr>
        <w:t xml:space="preserve">Assignment will last in the period between </w:t>
      </w:r>
      <w:r>
        <w:rPr>
          <w:noProof w:val="0"/>
          <w:sz w:val="24"/>
          <w:szCs w:val="24"/>
        </w:rPr>
        <w:t>August 2020</w:t>
      </w:r>
      <w:r w:rsidRPr="00C44BF5">
        <w:rPr>
          <w:noProof w:val="0"/>
          <w:sz w:val="24"/>
          <w:szCs w:val="24"/>
        </w:rPr>
        <w:t xml:space="preserve"> – </w:t>
      </w:r>
      <w:r>
        <w:rPr>
          <w:noProof w:val="0"/>
          <w:sz w:val="24"/>
          <w:szCs w:val="24"/>
        </w:rPr>
        <w:t>February</w:t>
      </w:r>
      <w:r w:rsidRPr="00C44BF5">
        <w:rPr>
          <w:noProof w:val="0"/>
          <w:sz w:val="24"/>
          <w:szCs w:val="24"/>
        </w:rPr>
        <w:t xml:space="preserve"> 202</w:t>
      </w:r>
      <w:r>
        <w:rPr>
          <w:noProof w:val="0"/>
          <w:sz w:val="24"/>
          <w:szCs w:val="24"/>
        </w:rPr>
        <w:t>1 and here below are given payment tranches:</w:t>
      </w:r>
    </w:p>
    <w:p w14:paraId="758E06FA" w14:textId="77777777" w:rsidR="000F2264" w:rsidRDefault="000F2264" w:rsidP="000F2264">
      <w:pPr>
        <w:pStyle w:val="Memoheading"/>
        <w:numPr>
          <w:ilvl w:val="0"/>
          <w:numId w:val="5"/>
        </w:numPr>
        <w:jc w:val="both"/>
        <w:outlineLvl w:val="0"/>
        <w:rPr>
          <w:noProof w:val="0"/>
          <w:sz w:val="24"/>
          <w:szCs w:val="24"/>
        </w:rPr>
      </w:pPr>
      <w:r>
        <w:rPr>
          <w:noProof w:val="0"/>
          <w:sz w:val="24"/>
          <w:szCs w:val="24"/>
        </w:rPr>
        <w:t>1</w:t>
      </w:r>
      <w:r w:rsidRPr="008E1E88">
        <w:rPr>
          <w:noProof w:val="0"/>
          <w:sz w:val="24"/>
          <w:szCs w:val="24"/>
          <w:vertAlign w:val="superscript"/>
        </w:rPr>
        <w:t>st</w:t>
      </w:r>
      <w:r>
        <w:rPr>
          <w:noProof w:val="0"/>
          <w:sz w:val="24"/>
          <w:szCs w:val="24"/>
        </w:rPr>
        <w:t xml:space="preserve"> tranche (20% of the contract value after signing the contract between SIPRU and chosen consultant);</w:t>
      </w:r>
    </w:p>
    <w:p w14:paraId="64AE99C8" w14:textId="77777777" w:rsidR="000F2264" w:rsidRDefault="000F2264" w:rsidP="000F2264">
      <w:pPr>
        <w:pStyle w:val="Memoheading"/>
        <w:numPr>
          <w:ilvl w:val="0"/>
          <w:numId w:val="5"/>
        </w:numPr>
        <w:jc w:val="both"/>
        <w:outlineLvl w:val="0"/>
        <w:rPr>
          <w:noProof w:val="0"/>
          <w:sz w:val="24"/>
          <w:szCs w:val="24"/>
        </w:rPr>
      </w:pPr>
      <w:r>
        <w:rPr>
          <w:noProof w:val="0"/>
          <w:sz w:val="24"/>
          <w:szCs w:val="24"/>
        </w:rPr>
        <w:t>2</w:t>
      </w:r>
      <w:r w:rsidRPr="008E1E88">
        <w:rPr>
          <w:noProof w:val="0"/>
          <w:sz w:val="24"/>
          <w:szCs w:val="24"/>
          <w:vertAlign w:val="superscript"/>
        </w:rPr>
        <w:t>nd</w:t>
      </w:r>
      <w:r>
        <w:rPr>
          <w:noProof w:val="0"/>
          <w:sz w:val="24"/>
          <w:szCs w:val="24"/>
        </w:rPr>
        <w:t xml:space="preserve"> tranche (40% of the contract value after SIPRU and MoLEVSA approval of the draft version of </w:t>
      </w:r>
      <w:r w:rsidRPr="004A52C2">
        <w:rPr>
          <w:noProof w:val="0"/>
          <w:sz w:val="24"/>
          <w:szCs w:val="24"/>
        </w:rPr>
        <w:t>the proposal of the Employment Strategy of the Republic of Serbia for th</w:t>
      </w:r>
      <w:r>
        <w:rPr>
          <w:noProof w:val="0"/>
          <w:sz w:val="24"/>
          <w:szCs w:val="24"/>
        </w:rPr>
        <w:t>e period 2021-2026);</w:t>
      </w:r>
    </w:p>
    <w:p w14:paraId="194E7C54" w14:textId="77777777" w:rsidR="000F2264" w:rsidRDefault="000F2264" w:rsidP="000F2264">
      <w:pPr>
        <w:pStyle w:val="Memoheading"/>
        <w:numPr>
          <w:ilvl w:val="0"/>
          <w:numId w:val="5"/>
        </w:numPr>
        <w:jc w:val="both"/>
        <w:outlineLvl w:val="0"/>
        <w:rPr>
          <w:noProof w:val="0"/>
          <w:sz w:val="24"/>
          <w:szCs w:val="24"/>
        </w:rPr>
      </w:pPr>
      <w:r>
        <w:rPr>
          <w:noProof w:val="0"/>
          <w:sz w:val="24"/>
          <w:szCs w:val="24"/>
        </w:rPr>
        <w:t>3</w:t>
      </w:r>
      <w:r w:rsidRPr="008E1E88">
        <w:rPr>
          <w:noProof w:val="0"/>
          <w:sz w:val="24"/>
          <w:szCs w:val="24"/>
          <w:vertAlign w:val="superscript"/>
        </w:rPr>
        <w:t>rd</w:t>
      </w:r>
      <w:r>
        <w:rPr>
          <w:noProof w:val="0"/>
          <w:sz w:val="24"/>
          <w:szCs w:val="24"/>
        </w:rPr>
        <w:t xml:space="preserve"> tranche (30% of the contract value after SIPRU and MoLEVSA approval of the final version of t</w:t>
      </w:r>
      <w:r w:rsidRPr="004A52C2">
        <w:rPr>
          <w:noProof w:val="0"/>
          <w:sz w:val="24"/>
          <w:szCs w:val="24"/>
        </w:rPr>
        <w:t xml:space="preserve">he </w:t>
      </w:r>
      <w:r>
        <w:rPr>
          <w:noProof w:val="0"/>
          <w:sz w:val="24"/>
          <w:szCs w:val="24"/>
        </w:rPr>
        <w:t xml:space="preserve">proposal of the </w:t>
      </w:r>
      <w:r w:rsidRPr="004A52C2">
        <w:rPr>
          <w:noProof w:val="0"/>
          <w:sz w:val="24"/>
          <w:szCs w:val="24"/>
        </w:rPr>
        <w:t>Employment Strategy of the Republic of Serbia for the period 2021-2026</w:t>
      </w:r>
      <w:r>
        <w:rPr>
          <w:noProof w:val="0"/>
          <w:sz w:val="24"/>
          <w:szCs w:val="24"/>
        </w:rPr>
        <w:t>).</w:t>
      </w:r>
    </w:p>
    <w:p w14:paraId="730460DA" w14:textId="77777777" w:rsidR="000F2264" w:rsidRDefault="000F2264" w:rsidP="000F2264">
      <w:pPr>
        <w:pStyle w:val="Memoheading"/>
        <w:jc w:val="both"/>
        <w:outlineLvl w:val="0"/>
        <w:rPr>
          <w:noProof w:val="0"/>
          <w:sz w:val="24"/>
          <w:szCs w:val="24"/>
        </w:rPr>
      </w:pPr>
    </w:p>
    <w:p w14:paraId="0A049032" w14:textId="77777777" w:rsidR="000F2264" w:rsidRPr="00450C07" w:rsidRDefault="000F2264" w:rsidP="000F2264">
      <w:pPr>
        <w:pStyle w:val="Memoheading"/>
        <w:jc w:val="both"/>
        <w:outlineLvl w:val="0"/>
        <w:rPr>
          <w:noProof w:val="0"/>
          <w:sz w:val="24"/>
          <w:szCs w:val="24"/>
        </w:rPr>
      </w:pPr>
      <w:r>
        <w:rPr>
          <w:noProof w:val="0"/>
          <w:sz w:val="24"/>
          <w:szCs w:val="24"/>
        </w:rPr>
        <w:t xml:space="preserve">For delivery of envisaged assignment, a local expert will be hired with up to 25 days in total. Indicative deadlines for delivery of the assignment are presented in Chapter no. 8 of the Terms of References. </w:t>
      </w:r>
    </w:p>
    <w:p w14:paraId="6C1C9186" w14:textId="77777777" w:rsidR="000F2264" w:rsidRPr="00D3444A" w:rsidRDefault="000F2264" w:rsidP="000F2264">
      <w:pPr>
        <w:spacing w:before="120" w:after="120"/>
        <w:jc w:val="both"/>
        <w:rPr>
          <w:color w:val="FF0000"/>
        </w:rPr>
      </w:pPr>
    </w:p>
    <w:p w14:paraId="0D861320" w14:textId="77777777" w:rsidR="000F2264" w:rsidRDefault="000F2264"/>
    <w:sectPr w:rsidR="000F2264" w:rsidSect="00973379">
      <w:headerReference w:type="even" r:id="rId7"/>
      <w:headerReference w:type="default" r:id="rId8"/>
      <w:footerReference w:type="even" r:id="rId9"/>
      <w:footerReference w:type="default" r:id="rId10"/>
      <w:headerReference w:type="first" r:id="rId11"/>
      <w:pgSz w:w="12240" w:h="15840" w:code="1"/>
      <w:pgMar w:top="851" w:right="1134" w:bottom="709" w:left="1134" w:header="709" w:footer="5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7B10C" w14:textId="77777777" w:rsidR="00F22104" w:rsidRDefault="00F22104" w:rsidP="000F2264">
      <w:r>
        <w:separator/>
      </w:r>
    </w:p>
  </w:endnote>
  <w:endnote w:type="continuationSeparator" w:id="0">
    <w:p w14:paraId="3DBBE8A7" w14:textId="77777777" w:rsidR="00F22104" w:rsidRDefault="00F22104" w:rsidP="000F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95D8" w14:textId="77777777" w:rsidR="00C8668A" w:rsidRDefault="003B3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343E0" w14:textId="77777777" w:rsidR="00C8668A" w:rsidRDefault="00F221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B22C" w14:textId="0E3B2124" w:rsidR="00C8668A" w:rsidRPr="00744364" w:rsidRDefault="003B3543">
    <w:pPr>
      <w:pStyle w:val="Footer"/>
      <w:framePr w:wrap="around" w:vAnchor="text" w:hAnchor="margin" w:xAlign="right" w:y="1"/>
      <w:rPr>
        <w:rStyle w:val="PageNumber"/>
        <w:sz w:val="20"/>
        <w:szCs w:val="20"/>
      </w:rPr>
    </w:pPr>
    <w:r w:rsidRPr="00744364">
      <w:rPr>
        <w:rStyle w:val="PageNumber"/>
        <w:sz w:val="20"/>
        <w:szCs w:val="20"/>
      </w:rPr>
      <w:fldChar w:fldCharType="begin"/>
    </w:r>
    <w:r w:rsidRPr="00744364">
      <w:rPr>
        <w:rStyle w:val="PageNumber"/>
        <w:sz w:val="20"/>
        <w:szCs w:val="20"/>
      </w:rPr>
      <w:instrText xml:space="preserve">PAGE  </w:instrText>
    </w:r>
    <w:r w:rsidRPr="00744364">
      <w:rPr>
        <w:rStyle w:val="PageNumber"/>
        <w:sz w:val="20"/>
        <w:szCs w:val="20"/>
      </w:rPr>
      <w:fldChar w:fldCharType="separate"/>
    </w:r>
    <w:r w:rsidR="00D24A86">
      <w:rPr>
        <w:rStyle w:val="PageNumber"/>
        <w:noProof/>
        <w:sz w:val="20"/>
        <w:szCs w:val="20"/>
      </w:rPr>
      <w:t>6</w:t>
    </w:r>
    <w:r w:rsidRPr="00744364">
      <w:rPr>
        <w:rStyle w:val="PageNumber"/>
        <w:sz w:val="20"/>
        <w:szCs w:val="20"/>
      </w:rPr>
      <w:fldChar w:fldCharType="end"/>
    </w:r>
  </w:p>
  <w:p w14:paraId="768F1826" w14:textId="77777777" w:rsidR="00C8668A" w:rsidRDefault="00F221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EF420" w14:textId="77777777" w:rsidR="00F22104" w:rsidRDefault="00F22104" w:rsidP="000F2264">
      <w:r>
        <w:separator/>
      </w:r>
    </w:p>
  </w:footnote>
  <w:footnote w:type="continuationSeparator" w:id="0">
    <w:p w14:paraId="6059A433" w14:textId="77777777" w:rsidR="00F22104" w:rsidRDefault="00F22104" w:rsidP="000F2264">
      <w:r>
        <w:continuationSeparator/>
      </w:r>
    </w:p>
  </w:footnote>
  <w:footnote w:id="1">
    <w:p w14:paraId="56BB2A7B" w14:textId="77777777" w:rsidR="000F2264" w:rsidRPr="00006B11" w:rsidRDefault="000F2264" w:rsidP="000F2264">
      <w:pPr>
        <w:pStyle w:val="FootnoteText"/>
      </w:pPr>
      <w:r>
        <w:rPr>
          <w:rStyle w:val="FootnoteReference"/>
        </w:rPr>
        <w:footnoteRef/>
      </w:r>
      <w:r>
        <w:t xml:space="preserve"> </w:t>
      </w:r>
      <w:r w:rsidRPr="00006B11">
        <w:t>Official Gazette of the RS, no 37/11</w:t>
      </w:r>
    </w:p>
  </w:footnote>
  <w:footnote w:id="2">
    <w:p w14:paraId="65599D54" w14:textId="77777777" w:rsidR="000F2264" w:rsidRPr="00D60BFC" w:rsidRDefault="000F2264" w:rsidP="000F2264">
      <w:pPr>
        <w:pStyle w:val="FootnoteText"/>
      </w:pPr>
      <w:r>
        <w:rPr>
          <w:rStyle w:val="FootnoteReference"/>
        </w:rPr>
        <w:footnoteRef/>
      </w:r>
      <w:r>
        <w:t xml:space="preserve"> </w:t>
      </w:r>
      <w:r w:rsidRPr="00D60BFC">
        <w:t>Official Gazette of the RS, no 30/18</w:t>
      </w:r>
    </w:p>
  </w:footnote>
  <w:footnote w:id="3">
    <w:p w14:paraId="39F587E4" w14:textId="77777777" w:rsidR="000F2264" w:rsidRPr="00E5373E" w:rsidRDefault="000F2264" w:rsidP="000F2264">
      <w:pPr>
        <w:pStyle w:val="FootnoteText"/>
        <w:rPr>
          <w:lang w:val="sr-Latn-RS"/>
        </w:rPr>
      </w:pPr>
      <w:r>
        <w:rPr>
          <w:rStyle w:val="FootnoteReference"/>
        </w:rPr>
        <w:footnoteRef/>
      </w:r>
      <w:r>
        <w:t xml:space="preserve"> </w:t>
      </w:r>
      <w:r w:rsidRPr="00E5373E">
        <w:t>Official Gazette of the RS, no 8/19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10A5" w14:textId="77777777" w:rsidR="00C8668A" w:rsidRDefault="003B3543">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79B8" w14:textId="77777777" w:rsidR="00C8668A" w:rsidRPr="002A35F2" w:rsidRDefault="00F22104" w:rsidP="002A35F2">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E7F9" w14:textId="77777777" w:rsidR="00C8668A" w:rsidRDefault="003B3543">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731E5"/>
    <w:multiLevelType w:val="hybridMultilevel"/>
    <w:tmpl w:val="F33CC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D12A59"/>
    <w:multiLevelType w:val="hybridMultilevel"/>
    <w:tmpl w:val="3AEE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A6BEE"/>
    <w:multiLevelType w:val="hybridMultilevel"/>
    <w:tmpl w:val="B01A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F13C0"/>
    <w:multiLevelType w:val="hybridMultilevel"/>
    <w:tmpl w:val="BA5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30018"/>
    <w:multiLevelType w:val="hybridMultilevel"/>
    <w:tmpl w:val="9AC8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E43F4"/>
    <w:multiLevelType w:val="hybridMultilevel"/>
    <w:tmpl w:val="FED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64"/>
    <w:rsid w:val="000F2264"/>
    <w:rsid w:val="00172F51"/>
    <w:rsid w:val="002231F4"/>
    <w:rsid w:val="00230CE7"/>
    <w:rsid w:val="003405F6"/>
    <w:rsid w:val="003B3543"/>
    <w:rsid w:val="0040650E"/>
    <w:rsid w:val="004A504C"/>
    <w:rsid w:val="006D09A6"/>
    <w:rsid w:val="00784DBB"/>
    <w:rsid w:val="00CA5061"/>
    <w:rsid w:val="00D040AA"/>
    <w:rsid w:val="00D24A86"/>
    <w:rsid w:val="00F2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13EB"/>
  <w15:chartTrackingRefBased/>
  <w15:docId w15:val="{92B5FB6C-B081-F143-85BB-0702C2D3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64"/>
    <w:rPr>
      <w:rFonts w:ascii="Times New Roman" w:eastAsia="Times New Roman" w:hAnsi="Times New Roman" w:cs="Times New Roman"/>
    </w:rPr>
  </w:style>
  <w:style w:type="paragraph" w:styleId="Heading1">
    <w:name w:val="heading 1"/>
    <w:basedOn w:val="Normal"/>
    <w:next w:val="Normal"/>
    <w:link w:val="Heading1Char"/>
    <w:qFormat/>
    <w:rsid w:val="000F2264"/>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264"/>
    <w:rPr>
      <w:rFonts w:ascii="Times New Roman" w:eastAsia="Times New Roman" w:hAnsi="Times New Roman" w:cs="Times New Roman"/>
      <w:b/>
      <w:bCs/>
      <w:lang w:val="en-US"/>
    </w:rPr>
  </w:style>
  <w:style w:type="paragraph" w:styleId="FootnoteText">
    <w:name w:val="footnote text"/>
    <w:basedOn w:val="Normal"/>
    <w:link w:val="FootnoteTextChar"/>
    <w:uiPriority w:val="99"/>
    <w:rsid w:val="000F2264"/>
    <w:rPr>
      <w:sz w:val="20"/>
      <w:szCs w:val="20"/>
    </w:rPr>
  </w:style>
  <w:style w:type="character" w:customStyle="1" w:styleId="FootnoteTextChar">
    <w:name w:val="Footnote Text Char"/>
    <w:basedOn w:val="DefaultParagraphFont"/>
    <w:link w:val="FootnoteText"/>
    <w:uiPriority w:val="99"/>
    <w:rsid w:val="000F226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0F2264"/>
    <w:rPr>
      <w:vertAlign w:val="superscript"/>
    </w:rPr>
  </w:style>
  <w:style w:type="paragraph" w:styleId="Header">
    <w:name w:val="header"/>
    <w:basedOn w:val="Normal"/>
    <w:link w:val="HeaderChar"/>
    <w:uiPriority w:val="99"/>
    <w:rsid w:val="000F2264"/>
    <w:pPr>
      <w:tabs>
        <w:tab w:val="center" w:pos="4320"/>
        <w:tab w:val="right" w:pos="8640"/>
      </w:tabs>
    </w:pPr>
  </w:style>
  <w:style w:type="character" w:customStyle="1" w:styleId="HeaderChar">
    <w:name w:val="Header Char"/>
    <w:basedOn w:val="DefaultParagraphFont"/>
    <w:link w:val="Header"/>
    <w:uiPriority w:val="99"/>
    <w:rsid w:val="000F2264"/>
    <w:rPr>
      <w:rFonts w:ascii="Times New Roman" w:eastAsia="Times New Roman" w:hAnsi="Times New Roman" w:cs="Times New Roman"/>
      <w:lang w:val="en-US"/>
    </w:rPr>
  </w:style>
  <w:style w:type="character" w:styleId="PageNumber">
    <w:name w:val="page number"/>
    <w:basedOn w:val="DefaultParagraphFont"/>
    <w:rsid w:val="000F2264"/>
  </w:style>
  <w:style w:type="paragraph" w:styleId="Footer">
    <w:name w:val="footer"/>
    <w:basedOn w:val="Normal"/>
    <w:link w:val="FooterChar"/>
    <w:rsid w:val="000F2264"/>
    <w:pPr>
      <w:tabs>
        <w:tab w:val="center" w:pos="4320"/>
        <w:tab w:val="right" w:pos="8640"/>
      </w:tabs>
    </w:pPr>
  </w:style>
  <w:style w:type="character" w:customStyle="1" w:styleId="FooterChar">
    <w:name w:val="Footer Char"/>
    <w:basedOn w:val="DefaultParagraphFont"/>
    <w:link w:val="Footer"/>
    <w:rsid w:val="000F2264"/>
    <w:rPr>
      <w:rFonts w:ascii="Times New Roman" w:eastAsia="Times New Roman" w:hAnsi="Times New Roman" w:cs="Times New Roman"/>
      <w:lang w:val="en-US"/>
    </w:rPr>
  </w:style>
  <w:style w:type="paragraph" w:styleId="PlainText">
    <w:name w:val="Plain Text"/>
    <w:basedOn w:val="Normal"/>
    <w:link w:val="PlainTextChar"/>
    <w:uiPriority w:val="99"/>
    <w:qFormat/>
    <w:rsid w:val="000F2264"/>
    <w:rPr>
      <w:rFonts w:ascii="Courier New" w:hAnsi="Courier New" w:cs="Courier New"/>
      <w:sz w:val="20"/>
      <w:szCs w:val="20"/>
    </w:rPr>
  </w:style>
  <w:style w:type="character" w:customStyle="1" w:styleId="PlainTextChar">
    <w:name w:val="Plain Text Char"/>
    <w:basedOn w:val="DefaultParagraphFont"/>
    <w:link w:val="PlainText"/>
    <w:uiPriority w:val="99"/>
    <w:qFormat/>
    <w:rsid w:val="000F2264"/>
    <w:rPr>
      <w:rFonts w:ascii="Courier New" w:eastAsia="Times New Roman" w:hAnsi="Courier New" w:cs="Courier New"/>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0F2264"/>
    <w:pPr>
      <w:ind w:left="720"/>
      <w:contextualSpacing/>
    </w:pPr>
  </w:style>
  <w:style w:type="paragraph" w:styleId="CommentText">
    <w:name w:val="annotation text"/>
    <w:basedOn w:val="Normal"/>
    <w:link w:val="CommentTextChar"/>
    <w:unhideWhenUsed/>
    <w:rsid w:val="000F2264"/>
    <w:rPr>
      <w:sz w:val="20"/>
      <w:szCs w:val="20"/>
    </w:rPr>
  </w:style>
  <w:style w:type="character" w:customStyle="1" w:styleId="CommentTextChar">
    <w:name w:val="Comment Text Char"/>
    <w:basedOn w:val="DefaultParagraphFont"/>
    <w:link w:val="CommentText"/>
    <w:rsid w:val="000F2264"/>
    <w:rPr>
      <w:rFonts w:ascii="Times New Roman" w:eastAsia="Times New Roman" w:hAnsi="Times New Roman" w:cs="Times New Roman"/>
      <w:sz w:val="20"/>
      <w:szCs w:val="20"/>
      <w:lang w:val="en-US"/>
    </w:rPr>
  </w:style>
  <w:style w:type="paragraph" w:customStyle="1" w:styleId="Memoheading">
    <w:name w:val="Memo heading"/>
    <w:qFormat/>
    <w:rsid w:val="000F2264"/>
    <w:rPr>
      <w:rFonts w:ascii="Times New Roman" w:eastAsia="Times New Roman" w:hAnsi="Times New Roman" w:cs="Times New Roman"/>
      <w:noProof/>
      <w:sz w:val="20"/>
      <w:szCs w:val="20"/>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0F2264"/>
    <w:rPr>
      <w:rFonts w:ascii="Times New Roman" w:eastAsia="Times New Roman" w:hAnsi="Times New Roman" w:cs="Times New Roman"/>
      <w:lang w:val="en-US"/>
    </w:rPr>
  </w:style>
  <w:style w:type="paragraph" w:customStyle="1" w:styleId="BodyText1">
    <w:name w:val="Body Text1"/>
    <w:aliases w:val="OPM,Body text"/>
    <w:basedOn w:val="Normal"/>
    <w:qFormat/>
    <w:rsid w:val="000F2264"/>
    <w:pPr>
      <w:spacing w:after="240"/>
      <w:jc w:val="both"/>
    </w:pPr>
    <w:rPr>
      <w:rFonts w:ascii="Arial" w:hAnsi="Arial"/>
      <w:sz w:val="22"/>
      <w:szCs w:val="20"/>
      <w:lang w:val="en-GB"/>
    </w:rPr>
  </w:style>
  <w:style w:type="character" w:styleId="CommentReference">
    <w:name w:val="annotation reference"/>
    <w:basedOn w:val="DefaultParagraphFont"/>
    <w:semiHidden/>
    <w:unhideWhenUsed/>
    <w:rsid w:val="000F2264"/>
    <w:rPr>
      <w:sz w:val="16"/>
      <w:szCs w:val="16"/>
    </w:rPr>
  </w:style>
  <w:style w:type="paragraph" w:styleId="BalloonText">
    <w:name w:val="Balloon Text"/>
    <w:basedOn w:val="Normal"/>
    <w:link w:val="BalloonTextChar"/>
    <w:uiPriority w:val="99"/>
    <w:semiHidden/>
    <w:unhideWhenUsed/>
    <w:rsid w:val="000F2264"/>
    <w:rPr>
      <w:sz w:val="18"/>
      <w:szCs w:val="18"/>
    </w:rPr>
  </w:style>
  <w:style w:type="character" w:customStyle="1" w:styleId="BalloonTextChar">
    <w:name w:val="Balloon Text Char"/>
    <w:basedOn w:val="DefaultParagraphFont"/>
    <w:link w:val="BalloonText"/>
    <w:uiPriority w:val="99"/>
    <w:semiHidden/>
    <w:rsid w:val="000F2264"/>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Roncevic</dc:creator>
  <cp:keywords/>
  <dc:description/>
  <cp:lastModifiedBy>Aleksandar Roncevic</cp:lastModifiedBy>
  <cp:revision>9</cp:revision>
  <dcterms:created xsi:type="dcterms:W3CDTF">2020-07-13T14:29:00Z</dcterms:created>
  <dcterms:modified xsi:type="dcterms:W3CDTF">2020-07-16T13:09:00Z</dcterms:modified>
</cp:coreProperties>
</file>