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8" w:type="dxa"/>
        <w:tblInd w:w="-450" w:type="dxa"/>
        <w:tblLook w:val="04A0" w:firstRow="1" w:lastRow="0" w:firstColumn="1" w:lastColumn="0" w:noHBand="0" w:noVBand="1"/>
      </w:tblPr>
      <w:tblGrid>
        <w:gridCol w:w="2340"/>
        <w:gridCol w:w="4320"/>
        <w:gridCol w:w="4138"/>
      </w:tblGrid>
      <w:tr w:rsidR="00C75D2F" w:rsidRPr="00A735B1" w14:paraId="097E93DD" w14:textId="77777777" w:rsidTr="00C94864">
        <w:tc>
          <w:tcPr>
            <w:tcW w:w="2340" w:type="dxa"/>
          </w:tcPr>
          <w:p w14:paraId="5F3DF4D0" w14:textId="77777777" w:rsidR="00C75D2F" w:rsidRPr="00A735B1" w:rsidRDefault="00C75D2F" w:rsidP="00C94864">
            <w:pPr>
              <w:pStyle w:val="Header"/>
              <w:jc w:val="center"/>
              <w:rPr>
                <w:rFonts w:ascii="Houschka Pro" w:eastAsia="Times New Roman" w:hAnsi="Houschka Pro" w:cs="Times New Roman"/>
                <w:noProof/>
                <w:color w:val="000000" w:themeColor="text1"/>
                <w:sz w:val="24"/>
                <w:szCs w:val="24"/>
              </w:rPr>
            </w:pPr>
            <w:r w:rsidRPr="00A735B1">
              <w:rPr>
                <w:rFonts w:ascii="Houschka Pro" w:hAnsi="Houschka Pro"/>
                <w:noProof/>
                <w:color w:val="000000" w:themeColor="text1"/>
                <w:sz w:val="24"/>
                <w:szCs w:val="24"/>
                <w:lang w:val="en-US"/>
              </w:rPr>
              <w:drawing>
                <wp:inline distT="0" distB="0" distL="0" distR="0" wp14:anchorId="57FB40C7" wp14:editId="5CF0F4AC">
                  <wp:extent cx="466725" cy="933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933450"/>
                          </a:xfrm>
                          <a:prstGeom prst="rect">
                            <a:avLst/>
                          </a:prstGeom>
                          <a:noFill/>
                          <a:ln>
                            <a:noFill/>
                          </a:ln>
                        </pic:spPr>
                      </pic:pic>
                    </a:graphicData>
                  </a:graphic>
                </wp:inline>
              </w:drawing>
            </w:r>
          </w:p>
          <w:p w14:paraId="66E5B803" w14:textId="04BC0365" w:rsidR="00C75D2F" w:rsidRPr="00A735B1" w:rsidRDefault="00BB2BB3" w:rsidP="00BB2BB3">
            <w:pPr>
              <w:pStyle w:val="Header"/>
              <w:jc w:val="center"/>
              <w:rPr>
                <w:rFonts w:ascii="Houschka Pro" w:eastAsia="Times New Roman" w:hAnsi="Houschka Pro" w:cs="Times New Roman"/>
                <w:noProof/>
                <w:color w:val="000000" w:themeColor="text1"/>
                <w:sz w:val="24"/>
                <w:szCs w:val="24"/>
              </w:rPr>
            </w:pPr>
            <w:r w:rsidRPr="00A735B1">
              <w:rPr>
                <w:rFonts w:ascii="Houschka Pro" w:hAnsi="Houschka Pro"/>
                <w:color w:val="000000" w:themeColor="text1"/>
                <w:sz w:val="20"/>
                <w:szCs w:val="24"/>
              </w:rPr>
              <w:t xml:space="preserve">Government of </w:t>
            </w:r>
            <w:r w:rsidR="00286E34" w:rsidRPr="00A735B1">
              <w:rPr>
                <w:rFonts w:ascii="Houschka Pro" w:hAnsi="Houschka Pro"/>
                <w:color w:val="000000" w:themeColor="text1"/>
                <w:sz w:val="20"/>
                <w:szCs w:val="24"/>
              </w:rPr>
              <w:t xml:space="preserve">the Republic of </w:t>
            </w:r>
            <w:r w:rsidRPr="00A735B1">
              <w:rPr>
                <w:rFonts w:ascii="Houschka Pro" w:hAnsi="Houschka Pro"/>
                <w:color w:val="000000" w:themeColor="text1"/>
                <w:sz w:val="20"/>
                <w:szCs w:val="24"/>
              </w:rPr>
              <w:t>Serbia</w:t>
            </w:r>
          </w:p>
        </w:tc>
        <w:tc>
          <w:tcPr>
            <w:tcW w:w="4320" w:type="dxa"/>
          </w:tcPr>
          <w:p w14:paraId="15D12CE0" w14:textId="77777777" w:rsidR="00C75D2F" w:rsidRPr="00A735B1" w:rsidRDefault="00C75D2F" w:rsidP="00C94864">
            <w:pPr>
              <w:pStyle w:val="Header"/>
              <w:rPr>
                <w:rFonts w:ascii="Houschka Pro" w:hAnsi="Houschka Pro"/>
                <w:noProof/>
                <w:sz w:val="16"/>
              </w:rPr>
            </w:pPr>
          </w:p>
          <w:p w14:paraId="14B3426D" w14:textId="77777777" w:rsidR="00C75D2F" w:rsidRPr="00A735B1" w:rsidRDefault="00C75D2F" w:rsidP="00C94864">
            <w:pPr>
              <w:pStyle w:val="Header"/>
              <w:rPr>
                <w:rFonts w:ascii="Houschka Pro" w:hAnsi="Houschka Pro"/>
                <w:noProof/>
                <w:sz w:val="16"/>
              </w:rPr>
            </w:pPr>
          </w:p>
          <w:p w14:paraId="3C081A27" w14:textId="184836F9" w:rsidR="00C75D2F" w:rsidRPr="00A735B1" w:rsidRDefault="00286E34" w:rsidP="00C94864">
            <w:pPr>
              <w:pStyle w:val="Header"/>
              <w:jc w:val="center"/>
              <w:rPr>
                <w:rFonts w:ascii="Houschka Pro" w:hAnsi="Houschka Pro"/>
                <w:noProof/>
                <w:sz w:val="16"/>
              </w:rPr>
            </w:pPr>
            <w:r w:rsidRPr="00A735B1">
              <w:rPr>
                <w:rFonts w:ascii="Houschka Pro" w:hAnsi="Houschka Pro"/>
                <w:noProof/>
                <w:sz w:val="16"/>
                <w:lang w:val="en-US"/>
              </w:rPr>
              <w:drawing>
                <wp:inline distT="0" distB="0" distL="0" distR="0" wp14:anchorId="25719ECA" wp14:editId="06D0A2D2">
                  <wp:extent cx="2510388" cy="7334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 logo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5055" cy="740632"/>
                          </a:xfrm>
                          <a:prstGeom prst="rect">
                            <a:avLst/>
                          </a:prstGeom>
                        </pic:spPr>
                      </pic:pic>
                    </a:graphicData>
                  </a:graphic>
                </wp:inline>
              </w:drawing>
            </w:r>
          </w:p>
          <w:p w14:paraId="1DE019BF" w14:textId="77777777" w:rsidR="00C75D2F" w:rsidRPr="00A735B1" w:rsidRDefault="00C75D2F" w:rsidP="00C94864">
            <w:pPr>
              <w:pStyle w:val="Header"/>
              <w:jc w:val="center"/>
              <w:rPr>
                <w:rFonts w:ascii="Houschka Pro" w:hAnsi="Houschka Pro"/>
                <w:lang w:val="sr-Latn-RS"/>
              </w:rPr>
            </w:pPr>
          </w:p>
        </w:tc>
        <w:tc>
          <w:tcPr>
            <w:tcW w:w="4138" w:type="dxa"/>
          </w:tcPr>
          <w:p w14:paraId="3948641E" w14:textId="77777777" w:rsidR="00C75D2F" w:rsidRPr="00A735B1" w:rsidRDefault="00C75D2F" w:rsidP="00C94864">
            <w:pPr>
              <w:pStyle w:val="Header"/>
              <w:rPr>
                <w:rFonts w:ascii="Houschka Pro" w:hAnsi="Houschka Pro"/>
                <w:noProof/>
              </w:rPr>
            </w:pPr>
          </w:p>
          <w:p w14:paraId="2935A16D" w14:textId="77777777" w:rsidR="00C75D2F" w:rsidRPr="00A735B1" w:rsidRDefault="00C75D2F" w:rsidP="00C94864">
            <w:pPr>
              <w:pStyle w:val="Header"/>
              <w:rPr>
                <w:rFonts w:ascii="Houschka Pro" w:hAnsi="Houschka Pro"/>
              </w:rPr>
            </w:pPr>
            <w:r w:rsidRPr="00A735B1">
              <w:rPr>
                <w:rFonts w:ascii="Houschka Pro" w:hAnsi="Houschka Pro"/>
                <w:noProof/>
                <w:lang w:val="en-US"/>
              </w:rPr>
              <w:drawing>
                <wp:inline distT="0" distB="0" distL="0" distR="0" wp14:anchorId="0F5E1F62" wp14:editId="28E6AC86">
                  <wp:extent cx="1981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895350"/>
                          </a:xfrm>
                          <a:prstGeom prst="rect">
                            <a:avLst/>
                          </a:prstGeom>
                          <a:noFill/>
                          <a:ln>
                            <a:noFill/>
                          </a:ln>
                        </pic:spPr>
                      </pic:pic>
                    </a:graphicData>
                  </a:graphic>
                </wp:inline>
              </w:drawing>
            </w:r>
          </w:p>
        </w:tc>
      </w:tr>
    </w:tbl>
    <w:p w14:paraId="58EEE116" w14:textId="2125CA74" w:rsidR="00C75D2F" w:rsidRPr="00A735B1" w:rsidRDefault="00C75D2F" w:rsidP="00C92E69">
      <w:pPr>
        <w:jc w:val="both"/>
        <w:rPr>
          <w:rFonts w:ascii="Houschka Pro" w:hAnsi="Houschka Pro" w:cstheme="minorHAnsi"/>
          <w:b/>
          <w:bCs/>
          <w:lang w:val="sr-Latn-RS"/>
        </w:rPr>
      </w:pPr>
    </w:p>
    <w:p w14:paraId="141D492D" w14:textId="704F7E40" w:rsidR="00C75D2F" w:rsidRPr="00A735B1" w:rsidRDefault="00794A19" w:rsidP="006960B4">
      <w:pPr>
        <w:jc w:val="center"/>
        <w:rPr>
          <w:rFonts w:ascii="Houschka Pro" w:hAnsi="Houschka Pro" w:cstheme="minorHAnsi"/>
          <w:b/>
          <w:bCs/>
          <w:sz w:val="28"/>
        </w:rPr>
      </w:pPr>
      <w:r w:rsidRPr="00A735B1">
        <w:rPr>
          <w:rFonts w:ascii="Houschka Pro" w:hAnsi="Houschka Pro"/>
          <w:b/>
          <w:bCs/>
          <w:sz w:val="28"/>
        </w:rPr>
        <w:t xml:space="preserve">Assessment of </w:t>
      </w:r>
      <w:r w:rsidR="00695A71" w:rsidRPr="00A735B1">
        <w:rPr>
          <w:rFonts w:ascii="Houschka Pro" w:hAnsi="Houschka Pro"/>
          <w:b/>
          <w:bCs/>
          <w:sz w:val="28"/>
        </w:rPr>
        <w:t>the T</w:t>
      </w:r>
      <w:r w:rsidRPr="00A735B1">
        <w:rPr>
          <w:rFonts w:ascii="Houschka Pro" w:hAnsi="Houschka Pro"/>
          <w:b/>
          <w:bCs/>
          <w:sz w:val="28"/>
        </w:rPr>
        <w:t xml:space="preserve">rends of </w:t>
      </w:r>
      <w:r w:rsidR="00695A71" w:rsidRPr="00A735B1">
        <w:rPr>
          <w:rFonts w:ascii="Houschka Pro" w:hAnsi="Houschka Pro"/>
          <w:b/>
          <w:bCs/>
          <w:sz w:val="28"/>
        </w:rPr>
        <w:t>P</w:t>
      </w:r>
      <w:r w:rsidRPr="00A735B1">
        <w:rPr>
          <w:rFonts w:ascii="Houschka Pro" w:hAnsi="Houschka Pro"/>
          <w:b/>
          <w:bCs/>
          <w:sz w:val="28"/>
        </w:rPr>
        <w:t>overty</w:t>
      </w:r>
      <w:r w:rsidR="00695A71" w:rsidRPr="00A735B1">
        <w:rPr>
          <w:rFonts w:ascii="Houschka Pro" w:hAnsi="Houschka Pro"/>
          <w:b/>
          <w:bCs/>
          <w:sz w:val="28"/>
        </w:rPr>
        <w:t xml:space="preserve"> and</w:t>
      </w:r>
      <w:r w:rsidRPr="00A735B1">
        <w:rPr>
          <w:rFonts w:ascii="Houschka Pro" w:hAnsi="Houschka Pro"/>
          <w:b/>
          <w:bCs/>
          <w:sz w:val="28"/>
        </w:rPr>
        <w:t xml:space="preserve"> </w:t>
      </w:r>
      <w:r w:rsidR="00695A71" w:rsidRPr="00A735B1">
        <w:rPr>
          <w:rFonts w:ascii="Houschka Pro" w:hAnsi="Houschka Pro"/>
          <w:b/>
          <w:bCs/>
          <w:sz w:val="28"/>
        </w:rPr>
        <w:t>L</w:t>
      </w:r>
      <w:r w:rsidRPr="00A735B1">
        <w:rPr>
          <w:rFonts w:ascii="Houschka Pro" w:hAnsi="Houschka Pro"/>
          <w:b/>
          <w:bCs/>
          <w:sz w:val="28"/>
        </w:rPr>
        <w:t xml:space="preserve">iving </w:t>
      </w:r>
      <w:r w:rsidR="00695A71" w:rsidRPr="00A735B1">
        <w:rPr>
          <w:rFonts w:ascii="Houschka Pro" w:hAnsi="Houschka Pro"/>
          <w:b/>
          <w:bCs/>
          <w:sz w:val="28"/>
        </w:rPr>
        <w:t>S</w:t>
      </w:r>
      <w:r w:rsidRPr="00A735B1">
        <w:rPr>
          <w:rFonts w:ascii="Houschka Pro" w:hAnsi="Houschka Pro"/>
          <w:b/>
          <w:bCs/>
          <w:sz w:val="28"/>
        </w:rPr>
        <w:t xml:space="preserve">tandard and </w:t>
      </w:r>
      <w:r w:rsidR="00695A71" w:rsidRPr="00A735B1">
        <w:rPr>
          <w:rFonts w:ascii="Houschka Pro" w:hAnsi="Houschka Pro"/>
          <w:b/>
          <w:bCs/>
          <w:sz w:val="28"/>
        </w:rPr>
        <w:t>the R</w:t>
      </w:r>
      <w:r w:rsidRPr="00A735B1">
        <w:rPr>
          <w:rFonts w:ascii="Houschka Pro" w:hAnsi="Houschka Pro"/>
          <w:b/>
          <w:bCs/>
          <w:sz w:val="28"/>
        </w:rPr>
        <w:t xml:space="preserve">esponse to the </w:t>
      </w:r>
      <w:r w:rsidR="00695A71" w:rsidRPr="00A735B1">
        <w:rPr>
          <w:rFonts w:ascii="Houschka Pro" w:hAnsi="Houschka Pro"/>
          <w:b/>
          <w:bCs/>
          <w:sz w:val="28"/>
        </w:rPr>
        <w:t>I</w:t>
      </w:r>
      <w:r w:rsidRPr="00A735B1">
        <w:rPr>
          <w:rFonts w:ascii="Houschka Pro" w:hAnsi="Houschka Pro"/>
          <w:b/>
          <w:bCs/>
          <w:sz w:val="28"/>
        </w:rPr>
        <w:t xml:space="preserve">mpact of the Covid-19 </w:t>
      </w:r>
      <w:r w:rsidR="00695A71" w:rsidRPr="00A735B1">
        <w:rPr>
          <w:rFonts w:ascii="Houschka Pro" w:hAnsi="Houschka Pro"/>
          <w:b/>
          <w:bCs/>
          <w:sz w:val="28"/>
        </w:rPr>
        <w:t>P</w:t>
      </w:r>
      <w:r w:rsidRPr="00A735B1">
        <w:rPr>
          <w:rFonts w:ascii="Houschka Pro" w:hAnsi="Houschka Pro"/>
          <w:b/>
          <w:bCs/>
          <w:sz w:val="28"/>
        </w:rPr>
        <w:t>andemic</w:t>
      </w:r>
    </w:p>
    <w:p w14:paraId="752F6D11" w14:textId="77777777" w:rsidR="00C75D2F" w:rsidRPr="00A735B1" w:rsidRDefault="00C75D2F" w:rsidP="00C92E69">
      <w:pPr>
        <w:jc w:val="both"/>
        <w:rPr>
          <w:rFonts w:ascii="Houschka Pro" w:hAnsi="Houschka Pro" w:cstheme="minorHAnsi"/>
          <w:b/>
          <w:bCs/>
          <w:u w:val="single"/>
          <w:lang w:val="sr-Cyrl-RS"/>
        </w:rPr>
      </w:pPr>
    </w:p>
    <w:p w14:paraId="635F2C43" w14:textId="6CEEFC72" w:rsidR="00362883" w:rsidRPr="00A735B1" w:rsidRDefault="00695A71" w:rsidP="00C92E69">
      <w:pPr>
        <w:jc w:val="both"/>
        <w:rPr>
          <w:rFonts w:ascii="Houschka Pro" w:hAnsi="Houschka Pro" w:cstheme="minorHAnsi"/>
          <w:b/>
          <w:bCs/>
          <w:color w:val="345095"/>
          <w:u w:val="single"/>
        </w:rPr>
      </w:pPr>
      <w:r w:rsidRPr="00A735B1">
        <w:rPr>
          <w:rFonts w:ascii="Houschka Pro" w:hAnsi="Houschka Pro"/>
          <w:b/>
          <w:bCs/>
          <w:color w:val="345095"/>
          <w:u w:val="single"/>
        </w:rPr>
        <w:t>Assessment of a</w:t>
      </w:r>
      <w:r w:rsidR="00794A19" w:rsidRPr="00A735B1">
        <w:rPr>
          <w:rFonts w:ascii="Houschka Pro" w:hAnsi="Houschka Pro"/>
          <w:b/>
          <w:bCs/>
          <w:color w:val="345095"/>
          <w:u w:val="single"/>
        </w:rPr>
        <w:t>bsolute poverty trends</w:t>
      </w:r>
    </w:p>
    <w:p w14:paraId="64F07D5D" w14:textId="77777777" w:rsidR="006635C3" w:rsidRPr="00A735B1" w:rsidRDefault="006635C3" w:rsidP="00C92E69">
      <w:pPr>
        <w:jc w:val="both"/>
        <w:rPr>
          <w:rFonts w:ascii="Houschka Pro" w:hAnsi="Houschka Pro" w:cstheme="minorHAnsi"/>
          <w:lang w:val="sr-Latn-RS"/>
        </w:rPr>
      </w:pPr>
    </w:p>
    <w:p w14:paraId="01E0DD5C" w14:textId="2F913430" w:rsidR="00794A19" w:rsidRPr="00A735B1" w:rsidRDefault="00794A19" w:rsidP="00C75D2F">
      <w:pPr>
        <w:spacing w:after="240"/>
        <w:jc w:val="both"/>
        <w:rPr>
          <w:rFonts w:ascii="Houschka Pro" w:hAnsi="Houschka Pro" w:cstheme="minorHAnsi"/>
          <w:sz w:val="22"/>
        </w:rPr>
      </w:pPr>
      <w:r w:rsidRPr="00A735B1">
        <w:rPr>
          <w:rFonts w:ascii="Houschka Pro" w:hAnsi="Houschka Pro"/>
          <w:sz w:val="22"/>
        </w:rPr>
        <w:t xml:space="preserve">According to </w:t>
      </w:r>
      <w:hyperlink r:id="rId11" w:history="1">
        <w:r w:rsidR="00695A71" w:rsidRPr="00A735B1">
          <w:rPr>
            <w:rStyle w:val="Hyperlink"/>
            <w:rFonts w:ascii="Houschka Pro" w:hAnsi="Houschka Pro"/>
            <w:sz w:val="22"/>
          </w:rPr>
          <w:t xml:space="preserve">the </w:t>
        </w:r>
        <w:r w:rsidR="00695A71" w:rsidRPr="00A735B1">
          <w:rPr>
            <w:rStyle w:val="Hyperlink"/>
            <w:rFonts w:ascii="Houschka Pro" w:hAnsi="Houschka Pro" w:cstheme="minorHAnsi"/>
            <w:sz w:val="22"/>
            <w:lang w:val="sr-Latn-RS"/>
          </w:rPr>
          <w:t>early data of the Statistical Office of the Republic of Serbia</w:t>
        </w:r>
      </w:hyperlink>
      <w:r w:rsidR="00695A71" w:rsidRPr="00A735B1">
        <w:rPr>
          <w:rFonts w:ascii="Houschka Pro" w:hAnsi="Houschka Pro" w:cstheme="minorHAnsi"/>
          <w:sz w:val="22"/>
          <w:lang w:val="sr-Latn-RS"/>
        </w:rPr>
        <w:t>,</w:t>
      </w:r>
      <w:r w:rsidRPr="00A735B1">
        <w:rPr>
          <w:rFonts w:ascii="Houschka Pro" w:hAnsi="Houschka Pro"/>
          <w:sz w:val="22"/>
        </w:rPr>
        <w:t xml:space="preserve"> </w:t>
      </w:r>
      <w:r w:rsidR="008E6E78" w:rsidRPr="00A735B1">
        <w:rPr>
          <w:rFonts w:ascii="Houschka Pro" w:hAnsi="Houschka Pro"/>
          <w:sz w:val="22"/>
        </w:rPr>
        <w:t>like in</w:t>
      </w:r>
      <w:r w:rsidR="00695A71" w:rsidRPr="00A735B1">
        <w:rPr>
          <w:rFonts w:ascii="Houschka Pro" w:hAnsi="Houschka Pro"/>
          <w:sz w:val="22"/>
        </w:rPr>
        <w:t xml:space="preserve"> the </w:t>
      </w:r>
      <w:r w:rsidRPr="00A735B1">
        <w:rPr>
          <w:rFonts w:ascii="Houschka Pro" w:hAnsi="Houschka Pro"/>
          <w:sz w:val="22"/>
        </w:rPr>
        <w:t xml:space="preserve">previous years, there was no increase in the absolute poverty rate in 2019. The absolute poverty rate stood at 7% in 2019, which means that around 480 thousand people were unable </w:t>
      </w:r>
      <w:r w:rsidR="0079355F" w:rsidRPr="00A735B1">
        <w:rPr>
          <w:rFonts w:ascii="Houschka Pro" w:hAnsi="Houschka Pro"/>
          <w:sz w:val="22"/>
        </w:rPr>
        <w:t xml:space="preserve">to satisfy </w:t>
      </w:r>
      <w:r w:rsidR="008E6E78" w:rsidRPr="00A735B1">
        <w:rPr>
          <w:rFonts w:ascii="Houschka Pro" w:hAnsi="Houschka Pro"/>
          <w:sz w:val="22"/>
        </w:rPr>
        <w:t>basic</w:t>
      </w:r>
      <w:r w:rsidR="0079355F" w:rsidRPr="00A735B1">
        <w:rPr>
          <w:rFonts w:ascii="Houschka Pro" w:hAnsi="Houschka Pro"/>
          <w:sz w:val="22"/>
        </w:rPr>
        <w:t xml:space="preserve"> needs</w:t>
      </w:r>
      <w:r w:rsidRPr="00A735B1">
        <w:rPr>
          <w:rFonts w:ascii="Houschka Pro" w:hAnsi="Houschka Pro"/>
          <w:sz w:val="22"/>
        </w:rPr>
        <w:t xml:space="preserve">. No statistically significant changes were registered in terms of either an increase or a decline in the absolute poverty rate </w:t>
      </w:r>
      <w:r w:rsidR="0079355F" w:rsidRPr="00A735B1">
        <w:rPr>
          <w:rFonts w:ascii="Houschka Pro" w:hAnsi="Houschka Pro"/>
          <w:sz w:val="22"/>
        </w:rPr>
        <w:t xml:space="preserve">in relation </w:t>
      </w:r>
      <w:r w:rsidRPr="00A735B1">
        <w:rPr>
          <w:rFonts w:ascii="Houschka Pro" w:hAnsi="Houschka Pro"/>
          <w:sz w:val="22"/>
        </w:rPr>
        <w:t xml:space="preserve">to previous years. </w:t>
      </w:r>
    </w:p>
    <w:p w14:paraId="4285530B" w14:textId="431A97A6" w:rsidR="006635C3" w:rsidRPr="00A735B1" w:rsidRDefault="0079355F" w:rsidP="00C75D2F">
      <w:pPr>
        <w:spacing w:after="240"/>
        <w:jc w:val="both"/>
        <w:rPr>
          <w:rFonts w:ascii="Houschka Pro" w:hAnsi="Houschka Pro" w:cstheme="minorHAnsi"/>
          <w:sz w:val="22"/>
        </w:rPr>
      </w:pPr>
      <w:r w:rsidRPr="00A735B1">
        <w:rPr>
          <w:rFonts w:ascii="Houschka Pro" w:hAnsi="Houschka Pro"/>
          <w:sz w:val="22"/>
        </w:rPr>
        <w:t>According to the type of settlement</w:t>
      </w:r>
      <w:r w:rsidR="00794A19" w:rsidRPr="00A735B1">
        <w:rPr>
          <w:rFonts w:ascii="Houschka Pro" w:hAnsi="Houschka Pro"/>
          <w:sz w:val="22"/>
        </w:rPr>
        <w:t>, poverty remains more prevalent in non-urban</w:t>
      </w:r>
      <w:r w:rsidRPr="00A735B1">
        <w:rPr>
          <w:rFonts w:ascii="Houschka Pro" w:hAnsi="Houschka Pro"/>
          <w:sz w:val="22"/>
        </w:rPr>
        <w:t xml:space="preserve"> areas</w:t>
      </w:r>
      <w:r w:rsidR="00794A19" w:rsidRPr="00A735B1">
        <w:rPr>
          <w:rFonts w:ascii="Houschka Pro" w:hAnsi="Houschka Pro"/>
          <w:sz w:val="22"/>
        </w:rPr>
        <w:t xml:space="preserve">, with notable regional disparities (e.g. poverty is three times less prevalent in </w:t>
      </w:r>
      <w:r w:rsidR="008E6E78" w:rsidRPr="00A735B1">
        <w:rPr>
          <w:rFonts w:ascii="Houschka Pro" w:hAnsi="Houschka Pro"/>
          <w:sz w:val="22"/>
        </w:rPr>
        <w:t>the Belgrade Region than in the Region of Southern &amp; Eastern</w:t>
      </w:r>
      <w:r w:rsidR="00794A19" w:rsidRPr="00A735B1">
        <w:rPr>
          <w:rFonts w:ascii="Houschka Pro" w:hAnsi="Houschka Pro"/>
          <w:sz w:val="22"/>
        </w:rPr>
        <w:t xml:space="preserve"> Serbia)</w:t>
      </w:r>
      <w:r w:rsidR="008E6E78" w:rsidRPr="00A735B1">
        <w:rPr>
          <w:rFonts w:ascii="Houschka Pro" w:hAnsi="Houschka Pro"/>
          <w:sz w:val="22"/>
        </w:rPr>
        <w:t>. A breakdown by age reveals that the</w:t>
      </w:r>
      <w:r w:rsidR="00794A19" w:rsidRPr="00A735B1">
        <w:rPr>
          <w:rFonts w:ascii="Houschka Pro" w:hAnsi="Houschka Pro"/>
          <w:sz w:val="22"/>
        </w:rPr>
        <w:t xml:space="preserve"> poverty rate is </w:t>
      </w:r>
      <w:r w:rsidR="00165231" w:rsidRPr="00A735B1">
        <w:rPr>
          <w:rFonts w:ascii="Houschka Pro" w:hAnsi="Houschka Pro"/>
          <w:sz w:val="22"/>
        </w:rPr>
        <w:t>above average</w:t>
      </w:r>
      <w:r w:rsidR="00794A19" w:rsidRPr="00A735B1">
        <w:rPr>
          <w:rFonts w:ascii="Houschka Pro" w:hAnsi="Houschka Pro"/>
          <w:sz w:val="22"/>
        </w:rPr>
        <w:t xml:space="preserve"> among children, </w:t>
      </w:r>
      <w:r w:rsidR="00165231" w:rsidRPr="00A735B1">
        <w:rPr>
          <w:rFonts w:ascii="Houschka Pro" w:hAnsi="Houschka Pro"/>
          <w:sz w:val="22"/>
        </w:rPr>
        <w:t>youth,</w:t>
      </w:r>
      <w:r w:rsidR="00794A19" w:rsidRPr="00A735B1">
        <w:rPr>
          <w:rFonts w:ascii="Houschka Pro" w:hAnsi="Houschka Pro"/>
          <w:sz w:val="22"/>
        </w:rPr>
        <w:t xml:space="preserve"> and the elderly (65+). A breakdown by sex reveals that 7.2% of women are poor, </w:t>
      </w:r>
      <w:r w:rsidR="008E6E78" w:rsidRPr="00A735B1">
        <w:rPr>
          <w:rFonts w:ascii="Houschka Pro" w:hAnsi="Houschka Pro"/>
          <w:sz w:val="22"/>
        </w:rPr>
        <w:t>compared</w:t>
      </w:r>
      <w:r w:rsidRPr="00A735B1">
        <w:rPr>
          <w:rFonts w:ascii="Houschka Pro" w:hAnsi="Houschka Pro"/>
          <w:sz w:val="22"/>
        </w:rPr>
        <w:t xml:space="preserve"> </w:t>
      </w:r>
      <w:r w:rsidR="00794A19" w:rsidRPr="00A735B1">
        <w:rPr>
          <w:rFonts w:ascii="Houschka Pro" w:hAnsi="Houschka Pro"/>
          <w:sz w:val="22"/>
        </w:rPr>
        <w:t>to 6.9% of men in the same status.</w:t>
      </w:r>
    </w:p>
    <w:p w14:paraId="2D236CD6" w14:textId="6C684416" w:rsidR="00C75D2F" w:rsidRPr="00A735B1" w:rsidRDefault="00D23B9D" w:rsidP="00C75D2F">
      <w:pPr>
        <w:spacing w:after="240"/>
        <w:jc w:val="both"/>
        <w:rPr>
          <w:rFonts w:ascii="Houschka Pro" w:hAnsi="Houschka Pro" w:cstheme="minorHAnsi"/>
        </w:rPr>
      </w:pPr>
      <w:r w:rsidRPr="00A735B1">
        <w:rPr>
          <w:rFonts w:ascii="Houschka Pro" w:hAnsi="Houschka Pro"/>
          <w:sz w:val="22"/>
        </w:rPr>
        <w:t xml:space="preserve">Education and labour market status are the most important factors affecting poverty in </w:t>
      </w:r>
      <w:r w:rsidR="008E6E78" w:rsidRPr="00A735B1">
        <w:rPr>
          <w:rFonts w:ascii="Houschka Pro" w:hAnsi="Houschka Pro"/>
          <w:sz w:val="22"/>
        </w:rPr>
        <w:t xml:space="preserve">a </w:t>
      </w:r>
      <w:r w:rsidRPr="00A735B1">
        <w:rPr>
          <w:rFonts w:ascii="Houschka Pro" w:hAnsi="Houschka Pro"/>
          <w:sz w:val="22"/>
        </w:rPr>
        <w:t xml:space="preserve">household. Poverty is 4.5 times less prevalent in households where the head of the household has at least secondary education, than in households where the head of the household has </w:t>
      </w:r>
      <w:r w:rsidR="005C6E1B" w:rsidRPr="00A735B1">
        <w:rPr>
          <w:rFonts w:ascii="Houschka Pro" w:hAnsi="Houschka Pro"/>
          <w:sz w:val="22"/>
        </w:rPr>
        <w:t>incomplete</w:t>
      </w:r>
      <w:r w:rsidRPr="00A735B1">
        <w:rPr>
          <w:rFonts w:ascii="Houschka Pro" w:hAnsi="Houschka Pro"/>
          <w:sz w:val="22"/>
        </w:rPr>
        <w:t xml:space="preserve"> primary education. Where the head of the household has secondary education, the incidence of absolute poverty is more than 17 times lower than in households where the head of the household lacks primary school education. </w:t>
      </w:r>
      <w:r w:rsidR="005C6E1B" w:rsidRPr="00A735B1">
        <w:rPr>
          <w:rFonts w:ascii="Houschka Pro" w:hAnsi="Houschka Pro"/>
          <w:sz w:val="22"/>
        </w:rPr>
        <w:t xml:space="preserve">Comparing </w:t>
      </w:r>
      <w:r w:rsidRPr="00A735B1">
        <w:rPr>
          <w:rFonts w:ascii="Houschka Pro" w:hAnsi="Houschka Pro"/>
          <w:sz w:val="22"/>
        </w:rPr>
        <w:t xml:space="preserve">to 2018, the absolute poverty rate in 2019 </w:t>
      </w:r>
      <w:r w:rsidR="008E6E78" w:rsidRPr="00A735B1">
        <w:rPr>
          <w:rFonts w:ascii="Houschka Pro" w:hAnsi="Houschka Pro"/>
          <w:sz w:val="22"/>
        </w:rPr>
        <w:t>was</w:t>
      </w:r>
      <w:r w:rsidRPr="00A735B1">
        <w:rPr>
          <w:rFonts w:ascii="Houschka Pro" w:hAnsi="Houschka Pro"/>
          <w:sz w:val="22"/>
        </w:rPr>
        <w:t xml:space="preserve"> in slight decline among people living in households where the head of the household participates in the labour market (regardless of whether they are self-employed, </w:t>
      </w:r>
      <w:r w:rsidR="00165231" w:rsidRPr="00A735B1">
        <w:rPr>
          <w:rFonts w:ascii="Houschka Pro" w:hAnsi="Houschka Pro"/>
          <w:sz w:val="22"/>
        </w:rPr>
        <w:t>employed,</w:t>
      </w:r>
      <w:r w:rsidRPr="00A735B1">
        <w:rPr>
          <w:rFonts w:ascii="Houschka Pro" w:hAnsi="Houschka Pro"/>
          <w:sz w:val="22"/>
        </w:rPr>
        <w:t xml:space="preserve"> or unemployed). Persons living in households where the head of the household is outside the labour market (inactive), as well as </w:t>
      </w:r>
      <w:r w:rsidR="005C6E1B" w:rsidRPr="00A735B1">
        <w:rPr>
          <w:rFonts w:ascii="Houschka Pro" w:hAnsi="Houschka Pro"/>
          <w:sz w:val="22"/>
        </w:rPr>
        <w:t xml:space="preserve">those living in households where the head of the household is </w:t>
      </w:r>
      <w:r w:rsidR="008E6E78" w:rsidRPr="00A735B1">
        <w:rPr>
          <w:rFonts w:ascii="Houschka Pro" w:hAnsi="Houschka Pro"/>
          <w:sz w:val="22"/>
        </w:rPr>
        <w:t xml:space="preserve">a </w:t>
      </w:r>
      <w:r w:rsidRPr="00A735B1">
        <w:rPr>
          <w:rFonts w:ascii="Houschka Pro" w:hAnsi="Houschka Pro"/>
          <w:sz w:val="22"/>
        </w:rPr>
        <w:t>pensioner had a higher absolute poverty rate in 2019 relative to 2018.</w:t>
      </w:r>
    </w:p>
    <w:p w14:paraId="230DD11B" w14:textId="346BDF56" w:rsidR="00362883" w:rsidRPr="00A735B1" w:rsidRDefault="008E6E78" w:rsidP="00262EA3">
      <w:pPr>
        <w:jc w:val="both"/>
        <w:rPr>
          <w:rFonts w:ascii="Houschka Pro" w:hAnsi="Houschka Pro" w:cstheme="minorHAnsi"/>
          <w:b/>
          <w:bCs/>
          <w:color w:val="345095"/>
          <w:u w:val="single"/>
        </w:rPr>
      </w:pPr>
      <w:r w:rsidRPr="00A735B1">
        <w:rPr>
          <w:rFonts w:ascii="Houschka Pro" w:hAnsi="Houschka Pro"/>
          <w:b/>
          <w:bCs/>
          <w:color w:val="345095"/>
          <w:u w:val="single"/>
        </w:rPr>
        <w:t>Assessment of the r</w:t>
      </w:r>
      <w:r w:rsidR="00835864" w:rsidRPr="00A735B1">
        <w:rPr>
          <w:rFonts w:ascii="Houschka Pro" w:hAnsi="Houschka Pro"/>
          <w:b/>
          <w:bCs/>
          <w:color w:val="345095"/>
          <w:u w:val="single"/>
        </w:rPr>
        <w:t>elative</w:t>
      </w:r>
      <w:r w:rsidR="00D23B9D" w:rsidRPr="00A735B1">
        <w:rPr>
          <w:rFonts w:ascii="Houschka Pro" w:hAnsi="Houschka Pro"/>
          <w:b/>
          <w:bCs/>
          <w:color w:val="345095"/>
          <w:u w:val="single"/>
        </w:rPr>
        <w:t xml:space="preserve"> poverty, income</w:t>
      </w:r>
      <w:r w:rsidR="00835864" w:rsidRPr="00A735B1">
        <w:rPr>
          <w:rFonts w:ascii="Houschka Pro" w:hAnsi="Houschka Pro"/>
          <w:b/>
          <w:bCs/>
          <w:color w:val="345095"/>
          <w:u w:val="single"/>
        </w:rPr>
        <w:t>,</w:t>
      </w:r>
      <w:r w:rsidR="00D23B9D" w:rsidRPr="00A735B1">
        <w:rPr>
          <w:rFonts w:ascii="Houschka Pro" w:hAnsi="Houschka Pro"/>
          <w:b/>
          <w:bCs/>
          <w:color w:val="345095"/>
          <w:u w:val="single"/>
        </w:rPr>
        <w:t xml:space="preserve"> and wage </w:t>
      </w:r>
      <w:r w:rsidR="00835864" w:rsidRPr="00A735B1">
        <w:rPr>
          <w:rFonts w:ascii="Houschka Pro" w:hAnsi="Houschka Pro"/>
          <w:b/>
          <w:bCs/>
          <w:color w:val="345095"/>
          <w:u w:val="single"/>
        </w:rPr>
        <w:t>trends</w:t>
      </w:r>
    </w:p>
    <w:p w14:paraId="15F3F304" w14:textId="77777777" w:rsidR="00262EA3" w:rsidRPr="00A735B1" w:rsidRDefault="00262EA3" w:rsidP="00262EA3">
      <w:pPr>
        <w:jc w:val="both"/>
        <w:rPr>
          <w:rFonts w:ascii="Houschka Pro" w:hAnsi="Houschka Pro" w:cstheme="minorHAnsi"/>
          <w:lang w:val="sr-Latn-RS"/>
        </w:rPr>
      </w:pPr>
    </w:p>
    <w:p w14:paraId="6843DAD1" w14:textId="172FE7CC" w:rsidR="00C75D2F" w:rsidRPr="00A735B1" w:rsidRDefault="00D23B9D" w:rsidP="00C75D2F">
      <w:pPr>
        <w:spacing w:after="240"/>
        <w:jc w:val="both"/>
        <w:rPr>
          <w:rFonts w:ascii="Houschka Pro" w:hAnsi="Houschka Pro" w:cstheme="minorHAnsi"/>
          <w:sz w:val="22"/>
        </w:rPr>
      </w:pPr>
      <w:r w:rsidRPr="00A735B1">
        <w:rPr>
          <w:rFonts w:ascii="Houschka Pro" w:hAnsi="Houschka Pro"/>
          <w:sz w:val="22"/>
        </w:rPr>
        <w:t>Data of the Statistical Office of the Republic of Serbia (SORS) reveal a decline in the share of people at risk of poverty by 1.1 percentage points (23.</w:t>
      </w:r>
      <w:r w:rsidR="008E6E78" w:rsidRPr="00A735B1">
        <w:rPr>
          <w:rFonts w:ascii="Houschka Pro" w:hAnsi="Houschka Pro"/>
          <w:sz w:val="22"/>
        </w:rPr>
        <w:t>2</w:t>
      </w:r>
      <w:r w:rsidRPr="00A735B1">
        <w:rPr>
          <w:rFonts w:ascii="Houschka Pro" w:hAnsi="Houschka Pro"/>
          <w:sz w:val="22"/>
        </w:rPr>
        <w:t>% in 2019 relative to 24.3% in 2018), which means that around 1.6 million people were at risk of poverty in 2019. The at</w:t>
      </w:r>
      <w:r w:rsidR="008E6E78" w:rsidRPr="00A735B1">
        <w:rPr>
          <w:rFonts w:ascii="Houschka Pro" w:hAnsi="Houschka Pro"/>
          <w:sz w:val="22"/>
        </w:rPr>
        <w:t>-</w:t>
      </w:r>
      <w:r w:rsidRPr="00A735B1">
        <w:rPr>
          <w:rFonts w:ascii="Houschka Pro" w:hAnsi="Houschka Pro"/>
          <w:sz w:val="22"/>
        </w:rPr>
        <w:t>risk</w:t>
      </w:r>
      <w:r w:rsidR="00076897" w:rsidRPr="00A735B1">
        <w:rPr>
          <w:rFonts w:ascii="Houschka Pro" w:hAnsi="Houschka Pro"/>
          <w:sz w:val="22"/>
        </w:rPr>
        <w:t>-</w:t>
      </w:r>
      <w:r w:rsidRPr="00A735B1">
        <w:rPr>
          <w:rFonts w:ascii="Houschka Pro" w:hAnsi="Houschka Pro"/>
          <w:sz w:val="22"/>
        </w:rPr>
        <w:t>of</w:t>
      </w:r>
      <w:r w:rsidR="00076897" w:rsidRPr="00A735B1">
        <w:rPr>
          <w:rFonts w:ascii="Houschka Pro" w:hAnsi="Houschka Pro"/>
          <w:sz w:val="22"/>
        </w:rPr>
        <w:t>-</w:t>
      </w:r>
      <w:r w:rsidRPr="00A735B1">
        <w:rPr>
          <w:rFonts w:ascii="Houschka Pro" w:hAnsi="Houschka Pro"/>
          <w:sz w:val="22"/>
        </w:rPr>
        <w:t>poverty</w:t>
      </w:r>
      <w:r w:rsidR="00076897" w:rsidRPr="00A735B1">
        <w:rPr>
          <w:rFonts w:ascii="Houschka Pro" w:hAnsi="Houschka Pro"/>
          <w:sz w:val="22"/>
        </w:rPr>
        <w:t>-</w:t>
      </w:r>
      <w:r w:rsidRPr="00A735B1">
        <w:rPr>
          <w:rFonts w:ascii="Houschka Pro" w:hAnsi="Houschka Pro"/>
          <w:sz w:val="22"/>
        </w:rPr>
        <w:t>or</w:t>
      </w:r>
      <w:r w:rsidR="00076897" w:rsidRPr="00A735B1">
        <w:rPr>
          <w:rFonts w:ascii="Houschka Pro" w:hAnsi="Houschka Pro"/>
          <w:sz w:val="22"/>
        </w:rPr>
        <w:t>-</w:t>
      </w:r>
      <w:r w:rsidRPr="00A735B1">
        <w:rPr>
          <w:rFonts w:ascii="Houschka Pro" w:hAnsi="Houschka Pro"/>
          <w:sz w:val="22"/>
        </w:rPr>
        <w:t>social</w:t>
      </w:r>
      <w:r w:rsidR="00076897" w:rsidRPr="00A735B1">
        <w:rPr>
          <w:rFonts w:ascii="Houschka Pro" w:hAnsi="Houschka Pro"/>
          <w:sz w:val="22"/>
        </w:rPr>
        <w:t>-</w:t>
      </w:r>
      <w:r w:rsidRPr="00A735B1">
        <w:rPr>
          <w:rFonts w:ascii="Houschka Pro" w:hAnsi="Houschka Pro"/>
          <w:sz w:val="22"/>
        </w:rPr>
        <w:t xml:space="preserve">exclusion (AROPE) rate was also lower in 2019 (31.7% </w:t>
      </w:r>
      <w:r w:rsidR="00076897" w:rsidRPr="00A735B1">
        <w:rPr>
          <w:rFonts w:ascii="Houschka Pro" w:hAnsi="Houschka Pro"/>
          <w:sz w:val="22"/>
        </w:rPr>
        <w:t>compared</w:t>
      </w:r>
      <w:r w:rsidRPr="00A735B1">
        <w:rPr>
          <w:rFonts w:ascii="Houschka Pro" w:hAnsi="Houschka Pro"/>
          <w:sz w:val="22"/>
        </w:rPr>
        <w:t xml:space="preserve"> to 34.3% in 2018</w:t>
      </w:r>
      <w:r w:rsidR="00165231" w:rsidRPr="00A735B1">
        <w:rPr>
          <w:rFonts w:ascii="Houschka Pro" w:hAnsi="Houschka Pro"/>
          <w:sz w:val="22"/>
        </w:rPr>
        <w:t>) and</w:t>
      </w:r>
      <w:r w:rsidRPr="00A735B1">
        <w:rPr>
          <w:rFonts w:ascii="Houschka Pro" w:hAnsi="Houschka Pro"/>
          <w:sz w:val="22"/>
        </w:rPr>
        <w:t xml:space="preserve"> is at the level of some EU Member States (such as Greece, </w:t>
      </w:r>
      <w:r w:rsidR="00165231" w:rsidRPr="00A735B1">
        <w:rPr>
          <w:rFonts w:ascii="Houschka Pro" w:hAnsi="Houschka Pro"/>
          <w:sz w:val="22"/>
        </w:rPr>
        <w:t>Bulgaria</w:t>
      </w:r>
      <w:r w:rsidRPr="00A735B1">
        <w:rPr>
          <w:rFonts w:ascii="Houschka Pro" w:hAnsi="Houschka Pro"/>
          <w:sz w:val="22"/>
        </w:rPr>
        <w:t xml:space="preserve"> and Romania). In 2019, the at-risk-of-poverty (AROP) threshold</w:t>
      </w:r>
      <w:r w:rsidR="00D80725" w:rsidRPr="00A735B1">
        <w:rPr>
          <w:rStyle w:val="FootnoteReference"/>
          <w:rFonts w:ascii="Houschka Pro" w:hAnsi="Houschka Pro" w:cstheme="minorHAnsi"/>
          <w:sz w:val="22"/>
          <w:lang w:val="sr-Latn-RS"/>
        </w:rPr>
        <w:footnoteReference w:id="1"/>
      </w:r>
      <w:r w:rsidRPr="00A735B1">
        <w:rPr>
          <w:rFonts w:ascii="Houschka Pro" w:hAnsi="Houschka Pro"/>
          <w:sz w:val="22"/>
        </w:rPr>
        <w:t xml:space="preserve"> was RSD 19,381 per month per </w:t>
      </w:r>
      <w:r w:rsidR="00076897" w:rsidRPr="00A735B1">
        <w:rPr>
          <w:rFonts w:ascii="Houschka Pro" w:hAnsi="Houschka Pro"/>
          <w:sz w:val="22"/>
        </w:rPr>
        <w:t>equivalent adult</w:t>
      </w:r>
      <w:r w:rsidRPr="00A735B1">
        <w:rPr>
          <w:rFonts w:ascii="Houschka Pro" w:hAnsi="Houschka Pro"/>
          <w:sz w:val="22"/>
        </w:rPr>
        <w:t xml:space="preserve">. The share of the population </w:t>
      </w:r>
      <w:r w:rsidR="00165231" w:rsidRPr="00A735B1">
        <w:rPr>
          <w:rFonts w:ascii="Houschka Pro" w:hAnsi="Houschka Pro"/>
          <w:sz w:val="22"/>
        </w:rPr>
        <w:t>concurrently</w:t>
      </w:r>
      <w:r w:rsidRPr="00A735B1">
        <w:rPr>
          <w:rFonts w:ascii="Houschka Pro" w:hAnsi="Houschka Pro"/>
          <w:sz w:val="22"/>
        </w:rPr>
        <w:t xml:space="preserve"> at risk of poverty and in severe material deprivation stood at 8.9%.</w:t>
      </w:r>
    </w:p>
    <w:p w14:paraId="39EE18E4" w14:textId="4AFC67F9" w:rsidR="00362883" w:rsidRPr="00A735B1" w:rsidRDefault="00D23B9D" w:rsidP="00C75D2F">
      <w:pPr>
        <w:spacing w:after="240"/>
        <w:jc w:val="both"/>
        <w:rPr>
          <w:rFonts w:ascii="Houschka Pro" w:hAnsi="Houschka Pro" w:cstheme="minorHAnsi"/>
        </w:rPr>
      </w:pPr>
      <w:r w:rsidRPr="00A735B1">
        <w:rPr>
          <w:rFonts w:ascii="Houschka Pro" w:hAnsi="Houschka Pro"/>
          <w:sz w:val="22"/>
        </w:rPr>
        <w:lastRenderedPageBreak/>
        <w:t>According to the Statistics on Income and Living Standards (SILC) survey, the annual median income (the median income is the income of the so-called “middle” individual, i.e. the point of the income scale which divides the population into two equal groups, with individuals in one half of the population earning less and in the other half more than the median income) in 2019 grew by as much as 16.6% in nominal terms relative to the SILC of 2018</w:t>
      </w:r>
      <w:r w:rsidR="00D80725" w:rsidRPr="00A735B1">
        <w:rPr>
          <w:rStyle w:val="FootnoteReference"/>
          <w:rFonts w:ascii="Houschka Pro" w:hAnsi="Houschka Pro" w:cstheme="minorHAnsi"/>
          <w:sz w:val="22"/>
          <w:lang w:val="sr-Latn-RS"/>
        </w:rPr>
        <w:footnoteReference w:id="2"/>
      </w:r>
      <w:r w:rsidRPr="00A735B1">
        <w:rPr>
          <w:rFonts w:ascii="Houschka Pro" w:hAnsi="Houschka Pro"/>
          <w:sz w:val="22"/>
        </w:rPr>
        <w:t xml:space="preserve">. In the same period, the Household Budget Survey (HBS) recorded a </w:t>
      </w:r>
      <w:hyperlink r:id="rId12" w:history="1">
        <w:r w:rsidRPr="00A735B1">
          <w:rPr>
            <w:rStyle w:val="Hyperlink"/>
            <w:rFonts w:ascii="Houschka Pro" w:hAnsi="Houschka Pro"/>
            <w:sz w:val="22"/>
          </w:rPr>
          <w:t xml:space="preserve">3.8% growth in the average in cash and in kind monthly income as well as a 3.5% increase in </w:t>
        </w:r>
        <w:r w:rsidR="00076897" w:rsidRPr="00A735B1">
          <w:rPr>
            <w:rStyle w:val="Hyperlink"/>
            <w:rFonts w:ascii="Houschka Pro" w:hAnsi="Houschka Pro"/>
            <w:sz w:val="22"/>
          </w:rPr>
          <w:t xml:space="preserve">individual </w:t>
        </w:r>
        <w:r w:rsidRPr="00A735B1">
          <w:rPr>
            <w:rStyle w:val="Hyperlink"/>
            <w:rFonts w:ascii="Houschka Pro" w:hAnsi="Houschka Pro"/>
            <w:sz w:val="22"/>
          </w:rPr>
          <w:t>household consumption</w:t>
        </w:r>
      </w:hyperlink>
      <w:r w:rsidRPr="00A735B1">
        <w:rPr>
          <w:rFonts w:ascii="Houschka Pro" w:hAnsi="Houschka Pro"/>
          <w:sz w:val="22"/>
        </w:rPr>
        <w:t>,</w:t>
      </w:r>
      <w:r w:rsidRPr="00A735B1">
        <w:rPr>
          <w:rFonts w:ascii="Houschka Pro" w:hAnsi="Houschka Pro"/>
          <w:color w:val="2E74B5" w:themeColor="accent5" w:themeShade="BF"/>
          <w:sz w:val="22"/>
        </w:rPr>
        <w:t xml:space="preserve"> </w:t>
      </w:r>
      <w:r w:rsidRPr="00A735B1">
        <w:rPr>
          <w:rFonts w:ascii="Houschka Pro" w:hAnsi="Houschka Pro"/>
          <w:sz w:val="22"/>
        </w:rPr>
        <w:t xml:space="preserve">in nominal terms.  </w:t>
      </w:r>
      <w:r w:rsidR="00076897" w:rsidRPr="00A735B1">
        <w:rPr>
          <w:rFonts w:ascii="Houschka Pro" w:hAnsi="Houschka Pro"/>
          <w:sz w:val="22"/>
        </w:rPr>
        <w:t>According to the Ministry of Finance data</w:t>
      </w:r>
      <w:r w:rsidRPr="00A735B1">
        <w:rPr>
          <w:rFonts w:ascii="Houschka Pro" w:hAnsi="Houschka Pro"/>
          <w:sz w:val="22"/>
        </w:rPr>
        <w:t xml:space="preserve">, </w:t>
      </w:r>
      <w:hyperlink r:id="rId13" w:history="1">
        <w:r w:rsidRPr="00A735B1">
          <w:rPr>
            <w:rStyle w:val="Hyperlink"/>
            <w:rFonts w:ascii="Houschka Pro" w:hAnsi="Houschka Pro"/>
            <w:sz w:val="22"/>
          </w:rPr>
          <w:t xml:space="preserve">real net wages </w:t>
        </w:r>
        <w:r w:rsidR="00076897" w:rsidRPr="00A735B1">
          <w:rPr>
            <w:rStyle w:val="Hyperlink"/>
            <w:rFonts w:ascii="Houschka Pro" w:hAnsi="Houschka Pro"/>
            <w:sz w:val="22"/>
          </w:rPr>
          <w:t xml:space="preserve">and pensions increased in the same period by 4.4% and </w:t>
        </w:r>
        <w:r w:rsidRPr="00A735B1">
          <w:rPr>
            <w:rStyle w:val="Hyperlink"/>
            <w:rFonts w:ascii="Houschka Pro" w:hAnsi="Houschka Pro"/>
            <w:sz w:val="22"/>
          </w:rPr>
          <w:t>3.8%</w:t>
        </w:r>
      </w:hyperlink>
      <w:r w:rsidR="00076897" w:rsidRPr="00A735B1">
        <w:rPr>
          <w:rStyle w:val="Hyperlink"/>
          <w:rFonts w:ascii="Houschka Pro" w:hAnsi="Houschka Pro"/>
          <w:sz w:val="22"/>
        </w:rPr>
        <w:t>, respectively</w:t>
      </w:r>
      <w:r w:rsidRPr="00A735B1">
        <w:rPr>
          <w:rFonts w:ascii="Houschka Pro" w:hAnsi="Houschka Pro"/>
          <w:sz w:val="22"/>
        </w:rPr>
        <w:t xml:space="preserve">. </w:t>
      </w:r>
      <w:r w:rsidR="00076897" w:rsidRPr="00A735B1">
        <w:rPr>
          <w:rFonts w:ascii="Houschka Pro" w:hAnsi="Houschka Pro"/>
          <w:sz w:val="22"/>
        </w:rPr>
        <w:t xml:space="preserve">In nominal terms, </w:t>
      </w:r>
      <w:r w:rsidRPr="00A735B1">
        <w:rPr>
          <w:rFonts w:ascii="Houschka Pro" w:hAnsi="Houschka Pro"/>
          <w:sz w:val="22"/>
        </w:rPr>
        <w:t>the net wage</w:t>
      </w:r>
      <w:r w:rsidR="00076897" w:rsidRPr="00A735B1">
        <w:rPr>
          <w:rFonts w:ascii="Houschka Pro" w:hAnsi="Houschka Pro"/>
          <w:sz w:val="22"/>
        </w:rPr>
        <w:t>s</w:t>
      </w:r>
      <w:r w:rsidRPr="00A735B1">
        <w:rPr>
          <w:rFonts w:ascii="Houschka Pro" w:hAnsi="Houschka Pro"/>
          <w:sz w:val="22"/>
        </w:rPr>
        <w:t xml:space="preserve"> increased by 6.5%</w:t>
      </w:r>
      <w:r w:rsidR="00D80725" w:rsidRPr="00A735B1">
        <w:rPr>
          <w:rFonts w:ascii="Houschka Pro" w:hAnsi="Houschka Pro"/>
          <w:sz w:val="22"/>
          <w:vertAlign w:val="superscript"/>
        </w:rPr>
        <w:footnoteReference w:id="3"/>
      </w:r>
      <w:r w:rsidRPr="00A735B1">
        <w:rPr>
          <w:rFonts w:ascii="Houschka Pro" w:hAnsi="Houschka Pro"/>
          <w:sz w:val="22"/>
        </w:rPr>
        <w:t xml:space="preserve"> in the </w:t>
      </w:r>
      <w:r w:rsidR="00076897" w:rsidRPr="00A735B1">
        <w:rPr>
          <w:rFonts w:ascii="Houschka Pro" w:hAnsi="Houschka Pro"/>
          <w:sz w:val="22"/>
        </w:rPr>
        <w:t>considered</w:t>
      </w:r>
      <w:r w:rsidRPr="00A735B1">
        <w:rPr>
          <w:rFonts w:ascii="Houschka Pro" w:hAnsi="Houschka Pro"/>
          <w:sz w:val="22"/>
        </w:rPr>
        <w:t xml:space="preserve"> period. </w:t>
      </w:r>
      <w:r w:rsidR="00C13037" w:rsidRPr="00A735B1">
        <w:rPr>
          <w:rFonts w:ascii="Houschka Pro" w:hAnsi="Houschka Pro"/>
          <w:sz w:val="22"/>
        </w:rPr>
        <w:t xml:space="preserve">As a reminder, </w:t>
      </w:r>
      <w:hyperlink r:id="rId14" w:history="1">
        <w:r w:rsidR="00C13037" w:rsidRPr="00A735B1">
          <w:rPr>
            <w:rStyle w:val="Hyperlink"/>
            <w:rFonts w:ascii="Houschka Pro" w:hAnsi="Houschka Pro"/>
            <w:sz w:val="22"/>
          </w:rPr>
          <w:t>SILC registered a</w:t>
        </w:r>
        <w:r w:rsidRPr="00A735B1">
          <w:rPr>
            <w:rStyle w:val="Hyperlink"/>
            <w:rFonts w:ascii="Houschka Pro" w:hAnsi="Houschka Pro"/>
            <w:sz w:val="22"/>
          </w:rPr>
          <w:t xml:space="preserve"> significant share of households in the poorest decile with zero income (almost 30% of households in the first decile, SILC 2017)</w:t>
        </w:r>
      </w:hyperlink>
      <w:r w:rsidRPr="00A735B1">
        <w:rPr>
          <w:rFonts w:ascii="Houschka Pro" w:hAnsi="Houschka Pro"/>
          <w:sz w:val="22"/>
        </w:rPr>
        <w:t xml:space="preserve">, and possible improvements in </w:t>
      </w:r>
      <w:r w:rsidR="00C13037" w:rsidRPr="00A735B1">
        <w:rPr>
          <w:rFonts w:ascii="Houschka Pro" w:hAnsi="Houschka Pro"/>
          <w:sz w:val="22"/>
        </w:rPr>
        <w:t xml:space="preserve">capturing income </w:t>
      </w:r>
      <w:r w:rsidR="005371BE" w:rsidRPr="00A735B1">
        <w:rPr>
          <w:rFonts w:ascii="Houschka Pro" w:hAnsi="Houschka Pro"/>
          <w:sz w:val="22"/>
        </w:rPr>
        <w:t>statistics</w:t>
      </w:r>
      <w:r w:rsidRPr="00A735B1">
        <w:rPr>
          <w:rFonts w:ascii="Houschka Pro" w:hAnsi="Houschka Pro"/>
          <w:sz w:val="22"/>
        </w:rPr>
        <w:t xml:space="preserve">, especially of households with very low and zero income, were announced in expert meetings held between the expert community and </w:t>
      </w:r>
      <w:r w:rsidR="005371BE" w:rsidRPr="00A735B1">
        <w:rPr>
          <w:rFonts w:ascii="Houschka Pro" w:hAnsi="Houschka Pro"/>
          <w:sz w:val="22"/>
        </w:rPr>
        <w:t xml:space="preserve">the </w:t>
      </w:r>
      <w:r w:rsidRPr="00A735B1">
        <w:rPr>
          <w:rFonts w:ascii="Houschka Pro" w:hAnsi="Houschka Pro"/>
          <w:sz w:val="22"/>
        </w:rPr>
        <w:t>representatives of the Statistical Office in late 2018 and early 2019.</w:t>
      </w:r>
      <w:r w:rsidRPr="00A735B1">
        <w:rPr>
          <w:rFonts w:ascii="Houschka Pro" w:hAnsi="Houschka Pro"/>
        </w:rPr>
        <w:t xml:space="preserve"> </w:t>
      </w:r>
    </w:p>
    <w:p w14:paraId="496A79F3" w14:textId="6D8FB2EE" w:rsidR="00BC2D80" w:rsidRPr="00A735B1" w:rsidRDefault="005371BE" w:rsidP="00C75D2F">
      <w:pPr>
        <w:spacing w:after="240"/>
        <w:jc w:val="both"/>
        <w:rPr>
          <w:rFonts w:ascii="Houschka Pro" w:hAnsi="Houschka Pro" w:cstheme="minorHAnsi"/>
          <w:b/>
          <w:bCs/>
          <w:u w:val="single"/>
        </w:rPr>
      </w:pPr>
      <w:r w:rsidRPr="00A735B1">
        <w:rPr>
          <w:rFonts w:ascii="Houschka Pro" w:hAnsi="Houschka Pro"/>
          <w:b/>
          <w:bCs/>
          <w:color w:val="345095"/>
          <w:u w:val="single"/>
        </w:rPr>
        <w:t>Assessment of a</w:t>
      </w:r>
      <w:r w:rsidR="00D23B9D" w:rsidRPr="00A735B1">
        <w:rPr>
          <w:rFonts w:ascii="Houschka Pro" w:hAnsi="Houschka Pro"/>
          <w:b/>
          <w:bCs/>
          <w:color w:val="345095"/>
          <w:u w:val="single"/>
        </w:rPr>
        <w:t>dministrative poverty</w:t>
      </w:r>
      <w:r w:rsidR="00835864" w:rsidRPr="00A735B1">
        <w:rPr>
          <w:rFonts w:ascii="Houschka Pro" w:hAnsi="Houschka Pro"/>
          <w:b/>
          <w:bCs/>
          <w:color w:val="345095"/>
          <w:u w:val="single"/>
        </w:rPr>
        <w:t xml:space="preserve"> trends</w:t>
      </w:r>
      <w:r w:rsidR="00D23B9D" w:rsidRPr="00A735B1">
        <w:rPr>
          <w:rFonts w:ascii="Houschka Pro" w:hAnsi="Houschka Pro"/>
          <w:b/>
          <w:bCs/>
          <w:u w:val="single"/>
        </w:rPr>
        <w:t xml:space="preserve"> </w:t>
      </w:r>
    </w:p>
    <w:p w14:paraId="528FCA7C" w14:textId="0138993B" w:rsidR="00BC2D80" w:rsidRPr="00A735B1" w:rsidRDefault="00D23B9D" w:rsidP="00C75D2F">
      <w:pPr>
        <w:spacing w:after="240"/>
        <w:jc w:val="both"/>
        <w:rPr>
          <w:rFonts w:ascii="Houschka Pro" w:hAnsi="Houschka Pro" w:cstheme="minorHAnsi"/>
          <w:bCs/>
          <w:sz w:val="22"/>
          <w:u w:val="single"/>
        </w:rPr>
      </w:pPr>
      <w:r w:rsidRPr="00A735B1">
        <w:rPr>
          <w:rFonts w:ascii="Houschka Pro" w:hAnsi="Houschka Pro"/>
          <w:bCs/>
          <w:sz w:val="22"/>
          <w:u w:val="single"/>
        </w:rPr>
        <w:t>Pensions and social transfers (</w:t>
      </w:r>
      <w:r w:rsidR="005371BE" w:rsidRPr="00A735B1">
        <w:rPr>
          <w:rFonts w:ascii="Houschka Pro" w:hAnsi="Houschka Pro"/>
          <w:bCs/>
          <w:sz w:val="22"/>
          <w:u w:val="single"/>
        </w:rPr>
        <w:t>including</w:t>
      </w:r>
      <w:r w:rsidR="006C75FC" w:rsidRPr="00A735B1">
        <w:rPr>
          <w:rFonts w:ascii="Houschka Pro" w:hAnsi="Houschka Pro"/>
          <w:bCs/>
          <w:sz w:val="22"/>
          <w:u w:val="single"/>
        </w:rPr>
        <w:t xml:space="preserve"> </w:t>
      </w:r>
      <w:r w:rsidR="005371BE" w:rsidRPr="00A735B1">
        <w:rPr>
          <w:rFonts w:ascii="Houschka Pro" w:hAnsi="Houschka Pro"/>
          <w:bCs/>
          <w:sz w:val="22"/>
          <w:u w:val="single"/>
        </w:rPr>
        <w:t xml:space="preserve">the </w:t>
      </w:r>
      <w:r w:rsidRPr="00A735B1">
        <w:rPr>
          <w:rFonts w:ascii="Houschka Pro" w:hAnsi="Houschka Pro"/>
          <w:bCs/>
          <w:sz w:val="22"/>
          <w:u w:val="single"/>
        </w:rPr>
        <w:t xml:space="preserve">financial social assistance and child allowance) have a significant impact on reducing the </w:t>
      </w:r>
      <w:r w:rsidR="005371BE" w:rsidRPr="00A735B1">
        <w:rPr>
          <w:rFonts w:ascii="Houschka Pro" w:hAnsi="Houschka Pro"/>
          <w:bCs/>
          <w:sz w:val="22"/>
          <w:u w:val="single"/>
        </w:rPr>
        <w:t>at-risk-of-poverty</w:t>
      </w:r>
      <w:r w:rsidRPr="00A735B1">
        <w:rPr>
          <w:rFonts w:ascii="Houschka Pro" w:hAnsi="Houschka Pro"/>
          <w:bCs/>
          <w:sz w:val="22"/>
          <w:u w:val="single"/>
        </w:rPr>
        <w:t xml:space="preserve"> rate. Without social transfers, the </w:t>
      </w:r>
      <w:r w:rsidR="005371BE" w:rsidRPr="00A735B1">
        <w:rPr>
          <w:rFonts w:ascii="Houschka Pro" w:hAnsi="Houschka Pro"/>
          <w:bCs/>
          <w:sz w:val="22"/>
          <w:u w:val="single"/>
        </w:rPr>
        <w:t xml:space="preserve">at-risk-of-poverty </w:t>
      </w:r>
      <w:r w:rsidRPr="00A735B1">
        <w:rPr>
          <w:rFonts w:ascii="Houschka Pro" w:hAnsi="Houschka Pro"/>
          <w:bCs/>
          <w:sz w:val="22"/>
          <w:u w:val="single"/>
        </w:rPr>
        <w:t>rate in 2019 would have been higher by five percentage points (28.3% relative to 23.2%)</w:t>
      </w:r>
      <w:r w:rsidR="005371BE" w:rsidRPr="00A735B1">
        <w:rPr>
          <w:rFonts w:ascii="Houschka Pro" w:hAnsi="Houschka Pro"/>
          <w:bCs/>
          <w:sz w:val="22"/>
          <w:u w:val="single"/>
        </w:rPr>
        <w:t>,</w:t>
      </w:r>
      <w:r w:rsidRPr="00A735B1">
        <w:rPr>
          <w:rFonts w:ascii="Houschka Pro" w:hAnsi="Houschka Pro"/>
          <w:bCs/>
          <w:sz w:val="22"/>
          <w:u w:val="single"/>
        </w:rPr>
        <w:t xml:space="preserve"> while without the joint effect of social transfers and pensions the </w:t>
      </w:r>
      <w:r w:rsidR="005371BE" w:rsidRPr="00A735B1">
        <w:rPr>
          <w:rFonts w:ascii="Houschka Pro" w:hAnsi="Houschka Pro"/>
          <w:bCs/>
          <w:sz w:val="22"/>
          <w:u w:val="single"/>
        </w:rPr>
        <w:t>at-risk-of-poverty</w:t>
      </w:r>
      <w:r w:rsidRPr="00A735B1">
        <w:rPr>
          <w:rFonts w:ascii="Houschka Pro" w:hAnsi="Houschka Pro"/>
          <w:bCs/>
          <w:sz w:val="22"/>
          <w:u w:val="single"/>
        </w:rPr>
        <w:t xml:space="preserve"> rate would have been higher by twenty-tree percentage points (46.6% relative to 23.2%).</w:t>
      </w:r>
    </w:p>
    <w:p w14:paraId="517E6890" w14:textId="63736360" w:rsidR="00EF297B" w:rsidRPr="00A735B1" w:rsidRDefault="00D23B9D" w:rsidP="00C75D2F">
      <w:pPr>
        <w:pStyle w:val="NormalWeb"/>
        <w:spacing w:after="240" w:afterAutospacing="0"/>
        <w:jc w:val="both"/>
        <w:rPr>
          <w:rFonts w:ascii="Houschka Pro" w:hAnsi="Houschka Pro" w:cstheme="minorHAnsi"/>
        </w:rPr>
      </w:pPr>
      <w:r w:rsidRPr="00A735B1">
        <w:rPr>
          <w:rFonts w:ascii="Houschka Pro" w:hAnsi="Houschka Pro"/>
          <w:sz w:val="22"/>
        </w:rPr>
        <w:t xml:space="preserve">According to the Statistical Office of the Republic of Serbia (SORS), the number of </w:t>
      </w:r>
      <w:r w:rsidR="005371BE" w:rsidRPr="00A735B1">
        <w:rPr>
          <w:rFonts w:ascii="Houschka Pro" w:hAnsi="Houschka Pro"/>
          <w:sz w:val="22"/>
        </w:rPr>
        <w:t>families</w:t>
      </w:r>
      <w:r w:rsidR="006C75FC" w:rsidRPr="00A735B1">
        <w:rPr>
          <w:rFonts w:ascii="Houschka Pro" w:hAnsi="Houschka Pro"/>
          <w:sz w:val="22"/>
        </w:rPr>
        <w:t xml:space="preserve"> </w:t>
      </w:r>
      <w:r w:rsidRPr="00A735B1">
        <w:rPr>
          <w:rFonts w:ascii="Houschka Pro" w:hAnsi="Houschka Pro"/>
          <w:sz w:val="22"/>
        </w:rPr>
        <w:t>receiving financial social assistance declined (92,673</w:t>
      </w:r>
      <w:r w:rsidR="005371BE" w:rsidRPr="00A735B1">
        <w:rPr>
          <w:rFonts w:ascii="Houschka Pro" w:hAnsi="Houschka Pro"/>
          <w:sz w:val="22"/>
        </w:rPr>
        <w:t xml:space="preserve"> in 2019, compared to</w:t>
      </w:r>
      <w:r w:rsidRPr="00A735B1">
        <w:rPr>
          <w:rFonts w:ascii="Houschka Pro" w:hAnsi="Houschka Pro"/>
          <w:sz w:val="22"/>
        </w:rPr>
        <w:t xml:space="preserve"> 98,754 in 2018) and so did the number of children eligible for child allowance (226,289 in 2019 relative to 225,886 in 2018). These two benefits are the most important types of support for the poor funded at national level. In the forthcoming period, it is important to consider increasing the coverage and amounts of social transfers to achieve an effective impact in terms of reducing poverty.</w:t>
      </w:r>
    </w:p>
    <w:p w14:paraId="5452EA15" w14:textId="0514A29B" w:rsidR="00CA69B3" w:rsidRPr="00A735B1" w:rsidRDefault="004F4A15" w:rsidP="00C75D2F">
      <w:pPr>
        <w:pStyle w:val="NormalWeb"/>
        <w:spacing w:before="0" w:beforeAutospacing="0" w:after="0" w:afterAutospacing="0"/>
        <w:jc w:val="both"/>
        <w:rPr>
          <w:rFonts w:ascii="Houschka Pro" w:hAnsi="Houschka Pro" w:cstheme="minorHAnsi"/>
          <w:b/>
          <w:bCs/>
        </w:rPr>
      </w:pPr>
      <w:r w:rsidRPr="00A735B1">
        <w:rPr>
          <w:rFonts w:ascii="Houschka Pro" w:hAnsi="Houschka Pro"/>
          <w:b/>
          <w:bCs/>
          <w:sz w:val="22"/>
        </w:rPr>
        <w:t>Trends in the number of recipients of child allowance and financial social assistance</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76"/>
        <w:gridCol w:w="976"/>
        <w:gridCol w:w="976"/>
        <w:gridCol w:w="976"/>
        <w:gridCol w:w="976"/>
        <w:gridCol w:w="976"/>
        <w:gridCol w:w="976"/>
      </w:tblGrid>
      <w:tr w:rsidR="00CA69B3" w:rsidRPr="00A735B1" w14:paraId="24DADF86" w14:textId="77777777" w:rsidTr="006960B4">
        <w:trPr>
          <w:trHeight w:val="300"/>
          <w:jc w:val="center"/>
        </w:trPr>
        <w:tc>
          <w:tcPr>
            <w:tcW w:w="2695" w:type="dxa"/>
            <w:shd w:val="clear" w:color="auto" w:fill="auto"/>
            <w:noWrap/>
            <w:vAlign w:val="bottom"/>
            <w:hideMark/>
          </w:tcPr>
          <w:p w14:paraId="60BBDD32" w14:textId="77777777" w:rsidR="00CA69B3" w:rsidRPr="00A735B1" w:rsidRDefault="00CA69B3" w:rsidP="00C92E69">
            <w:pPr>
              <w:jc w:val="both"/>
              <w:rPr>
                <w:rFonts w:ascii="Houschka Pro" w:eastAsia="Times New Roman" w:hAnsi="Houschka Pro" w:cstheme="minorHAnsi"/>
                <w:sz w:val="20"/>
                <w:szCs w:val="20"/>
                <w:lang w:val="sr-Latn-RS" w:eastAsia="en-GB"/>
              </w:rPr>
            </w:pPr>
          </w:p>
        </w:tc>
        <w:tc>
          <w:tcPr>
            <w:tcW w:w="920" w:type="dxa"/>
            <w:shd w:val="clear" w:color="auto" w:fill="auto"/>
            <w:noWrap/>
            <w:vAlign w:val="bottom"/>
            <w:hideMark/>
          </w:tcPr>
          <w:p w14:paraId="2221BD1A" w14:textId="77777777" w:rsidR="00CA69B3" w:rsidRPr="00A735B1" w:rsidRDefault="00CA69B3" w:rsidP="00C92E69">
            <w:pPr>
              <w:jc w:val="both"/>
              <w:rPr>
                <w:rFonts w:ascii="Houschka Pro" w:eastAsia="Times New Roman" w:hAnsi="Houschka Pro" w:cstheme="minorHAnsi"/>
                <w:b/>
                <w:bCs/>
                <w:color w:val="000000"/>
                <w:sz w:val="20"/>
                <w:szCs w:val="20"/>
              </w:rPr>
            </w:pPr>
            <w:r w:rsidRPr="00A735B1">
              <w:rPr>
                <w:rFonts w:ascii="Houschka Pro" w:hAnsi="Houschka Pro"/>
                <w:b/>
                <w:bCs/>
                <w:color w:val="000000"/>
                <w:sz w:val="20"/>
                <w:szCs w:val="20"/>
              </w:rPr>
              <w:t>2013</w:t>
            </w:r>
          </w:p>
        </w:tc>
        <w:tc>
          <w:tcPr>
            <w:tcW w:w="955" w:type="dxa"/>
            <w:shd w:val="clear" w:color="auto" w:fill="auto"/>
            <w:noWrap/>
            <w:vAlign w:val="bottom"/>
            <w:hideMark/>
          </w:tcPr>
          <w:p w14:paraId="0360648B" w14:textId="77777777" w:rsidR="00CA69B3" w:rsidRPr="00A735B1" w:rsidRDefault="00CA69B3" w:rsidP="00C92E69">
            <w:pPr>
              <w:jc w:val="both"/>
              <w:rPr>
                <w:rFonts w:ascii="Houschka Pro" w:eastAsia="Times New Roman" w:hAnsi="Houschka Pro" w:cstheme="minorHAnsi"/>
                <w:b/>
                <w:bCs/>
                <w:color w:val="000000"/>
                <w:sz w:val="20"/>
                <w:szCs w:val="20"/>
              </w:rPr>
            </w:pPr>
            <w:r w:rsidRPr="00A735B1">
              <w:rPr>
                <w:rFonts w:ascii="Houschka Pro" w:hAnsi="Houschka Pro"/>
                <w:b/>
                <w:bCs/>
                <w:color w:val="000000"/>
                <w:sz w:val="20"/>
                <w:szCs w:val="20"/>
              </w:rPr>
              <w:t>2014</w:t>
            </w:r>
          </w:p>
        </w:tc>
        <w:tc>
          <w:tcPr>
            <w:tcW w:w="956" w:type="dxa"/>
            <w:shd w:val="clear" w:color="auto" w:fill="auto"/>
            <w:noWrap/>
            <w:vAlign w:val="bottom"/>
            <w:hideMark/>
          </w:tcPr>
          <w:p w14:paraId="23FDD0A9" w14:textId="77777777" w:rsidR="00CA69B3" w:rsidRPr="00A735B1" w:rsidRDefault="00CA69B3" w:rsidP="00C92E69">
            <w:pPr>
              <w:jc w:val="both"/>
              <w:rPr>
                <w:rFonts w:ascii="Houschka Pro" w:eastAsia="Times New Roman" w:hAnsi="Houschka Pro" w:cstheme="minorHAnsi"/>
                <w:b/>
                <w:bCs/>
                <w:color w:val="000000"/>
                <w:sz w:val="20"/>
                <w:szCs w:val="20"/>
              </w:rPr>
            </w:pPr>
            <w:r w:rsidRPr="00A735B1">
              <w:rPr>
                <w:rFonts w:ascii="Houschka Pro" w:hAnsi="Houschka Pro"/>
                <w:b/>
                <w:bCs/>
                <w:color w:val="000000"/>
                <w:sz w:val="20"/>
                <w:szCs w:val="20"/>
              </w:rPr>
              <w:t>2015</w:t>
            </w:r>
          </w:p>
        </w:tc>
        <w:tc>
          <w:tcPr>
            <w:tcW w:w="956" w:type="dxa"/>
            <w:shd w:val="clear" w:color="auto" w:fill="auto"/>
            <w:noWrap/>
            <w:vAlign w:val="bottom"/>
            <w:hideMark/>
          </w:tcPr>
          <w:p w14:paraId="5B3AA4A8" w14:textId="77777777" w:rsidR="00CA69B3" w:rsidRPr="00A735B1" w:rsidRDefault="00CA69B3" w:rsidP="00C92E69">
            <w:pPr>
              <w:jc w:val="both"/>
              <w:rPr>
                <w:rFonts w:ascii="Houschka Pro" w:eastAsia="Times New Roman" w:hAnsi="Houschka Pro" w:cstheme="minorHAnsi"/>
                <w:b/>
                <w:bCs/>
                <w:color w:val="000000"/>
                <w:sz w:val="20"/>
                <w:szCs w:val="20"/>
              </w:rPr>
            </w:pPr>
            <w:r w:rsidRPr="00A735B1">
              <w:rPr>
                <w:rFonts w:ascii="Houschka Pro" w:hAnsi="Houschka Pro"/>
                <w:b/>
                <w:bCs/>
                <w:color w:val="000000"/>
                <w:sz w:val="20"/>
                <w:szCs w:val="20"/>
              </w:rPr>
              <w:t>2016</w:t>
            </w:r>
          </w:p>
        </w:tc>
        <w:tc>
          <w:tcPr>
            <w:tcW w:w="956" w:type="dxa"/>
            <w:shd w:val="clear" w:color="auto" w:fill="auto"/>
            <w:noWrap/>
            <w:vAlign w:val="bottom"/>
            <w:hideMark/>
          </w:tcPr>
          <w:p w14:paraId="73CBA2E2" w14:textId="77777777" w:rsidR="00CA69B3" w:rsidRPr="00A735B1" w:rsidRDefault="00CA69B3" w:rsidP="00C92E69">
            <w:pPr>
              <w:jc w:val="both"/>
              <w:rPr>
                <w:rFonts w:ascii="Houschka Pro" w:eastAsia="Times New Roman" w:hAnsi="Houschka Pro" w:cstheme="minorHAnsi"/>
                <w:b/>
                <w:bCs/>
                <w:color w:val="000000"/>
                <w:sz w:val="20"/>
                <w:szCs w:val="20"/>
              </w:rPr>
            </w:pPr>
            <w:r w:rsidRPr="00A735B1">
              <w:rPr>
                <w:rFonts w:ascii="Houschka Pro" w:hAnsi="Houschka Pro"/>
                <w:b/>
                <w:bCs/>
                <w:color w:val="000000"/>
                <w:sz w:val="20"/>
                <w:szCs w:val="20"/>
              </w:rPr>
              <w:t>2017</w:t>
            </w:r>
          </w:p>
        </w:tc>
        <w:tc>
          <w:tcPr>
            <w:tcW w:w="956" w:type="dxa"/>
            <w:shd w:val="clear" w:color="auto" w:fill="auto"/>
            <w:noWrap/>
            <w:vAlign w:val="bottom"/>
            <w:hideMark/>
          </w:tcPr>
          <w:p w14:paraId="6634C0D8" w14:textId="77777777" w:rsidR="00CA69B3" w:rsidRPr="00A735B1" w:rsidRDefault="00CA69B3" w:rsidP="00C92E69">
            <w:pPr>
              <w:jc w:val="both"/>
              <w:rPr>
                <w:rFonts w:ascii="Houschka Pro" w:eastAsia="Times New Roman" w:hAnsi="Houschka Pro" w:cstheme="minorHAnsi"/>
                <w:b/>
                <w:bCs/>
                <w:color w:val="000000"/>
                <w:sz w:val="20"/>
                <w:szCs w:val="20"/>
              </w:rPr>
            </w:pPr>
            <w:r w:rsidRPr="00A735B1">
              <w:rPr>
                <w:rFonts w:ascii="Houschka Pro" w:hAnsi="Houschka Pro"/>
                <w:b/>
                <w:bCs/>
                <w:color w:val="000000"/>
                <w:sz w:val="20"/>
                <w:szCs w:val="20"/>
              </w:rPr>
              <w:t>2018</w:t>
            </w:r>
          </w:p>
        </w:tc>
        <w:tc>
          <w:tcPr>
            <w:tcW w:w="956" w:type="dxa"/>
            <w:shd w:val="clear" w:color="auto" w:fill="auto"/>
            <w:noWrap/>
            <w:vAlign w:val="bottom"/>
            <w:hideMark/>
          </w:tcPr>
          <w:p w14:paraId="10D70B58" w14:textId="77777777" w:rsidR="00CA69B3" w:rsidRPr="00A735B1" w:rsidRDefault="00CA69B3" w:rsidP="00C92E69">
            <w:pPr>
              <w:jc w:val="both"/>
              <w:rPr>
                <w:rFonts w:ascii="Houschka Pro" w:eastAsia="Times New Roman" w:hAnsi="Houschka Pro" w:cstheme="minorHAnsi"/>
                <w:b/>
                <w:bCs/>
                <w:color w:val="000000"/>
                <w:sz w:val="20"/>
                <w:szCs w:val="20"/>
              </w:rPr>
            </w:pPr>
            <w:r w:rsidRPr="00A735B1">
              <w:rPr>
                <w:rFonts w:ascii="Houschka Pro" w:hAnsi="Houschka Pro"/>
                <w:b/>
                <w:bCs/>
                <w:color w:val="000000"/>
                <w:sz w:val="20"/>
                <w:szCs w:val="20"/>
              </w:rPr>
              <w:t>2019</w:t>
            </w:r>
          </w:p>
        </w:tc>
      </w:tr>
      <w:tr w:rsidR="004C22D6" w:rsidRPr="00A735B1" w14:paraId="18D24050" w14:textId="77777777" w:rsidTr="006960B4">
        <w:trPr>
          <w:trHeight w:val="300"/>
          <w:jc w:val="center"/>
        </w:trPr>
        <w:tc>
          <w:tcPr>
            <w:tcW w:w="2695" w:type="dxa"/>
            <w:shd w:val="clear" w:color="auto" w:fill="auto"/>
            <w:noWrap/>
            <w:hideMark/>
          </w:tcPr>
          <w:p w14:paraId="7BBDE620" w14:textId="5CB83A88" w:rsidR="004C22D6" w:rsidRPr="00A735B1" w:rsidRDefault="004F4A15" w:rsidP="007B4E39">
            <w:pPr>
              <w:rPr>
                <w:rFonts w:ascii="Houschka Pro" w:eastAsia="Times New Roman" w:hAnsi="Houschka Pro" w:cstheme="minorHAnsi"/>
                <w:color w:val="000000"/>
                <w:sz w:val="20"/>
                <w:szCs w:val="21"/>
              </w:rPr>
            </w:pPr>
            <w:r w:rsidRPr="00A735B1">
              <w:rPr>
                <w:rFonts w:ascii="Houschka Pro" w:hAnsi="Houschka Pro"/>
                <w:color w:val="000000"/>
                <w:sz w:val="20"/>
                <w:szCs w:val="21"/>
              </w:rPr>
              <w:t>Number of child allowance recipients (</w:t>
            </w:r>
            <w:r w:rsidR="005371BE" w:rsidRPr="00A735B1">
              <w:rPr>
                <w:rFonts w:ascii="Houschka Pro" w:hAnsi="Houschka Pro"/>
                <w:color w:val="000000"/>
                <w:sz w:val="20"/>
                <w:szCs w:val="21"/>
              </w:rPr>
              <w:t xml:space="preserve">aged </w:t>
            </w:r>
            <w:r w:rsidRPr="00A735B1">
              <w:rPr>
                <w:rFonts w:ascii="Houschka Pro" w:hAnsi="Houschka Pro"/>
                <w:color w:val="000000"/>
                <w:sz w:val="20"/>
                <w:szCs w:val="21"/>
              </w:rPr>
              <w:t>0-17)</w:t>
            </w:r>
          </w:p>
        </w:tc>
        <w:tc>
          <w:tcPr>
            <w:tcW w:w="920" w:type="dxa"/>
            <w:shd w:val="clear" w:color="auto" w:fill="auto"/>
            <w:noWrap/>
            <w:vAlign w:val="center"/>
            <w:hideMark/>
          </w:tcPr>
          <w:p w14:paraId="3F3260A5" w14:textId="62D3766F"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320,762</w:t>
            </w:r>
          </w:p>
        </w:tc>
        <w:tc>
          <w:tcPr>
            <w:tcW w:w="955" w:type="dxa"/>
            <w:shd w:val="clear" w:color="auto" w:fill="auto"/>
            <w:noWrap/>
            <w:vAlign w:val="center"/>
            <w:hideMark/>
          </w:tcPr>
          <w:p w14:paraId="0AB28012" w14:textId="171CFA80"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310,617</w:t>
            </w:r>
          </w:p>
        </w:tc>
        <w:tc>
          <w:tcPr>
            <w:tcW w:w="956" w:type="dxa"/>
            <w:shd w:val="clear" w:color="auto" w:fill="auto"/>
            <w:noWrap/>
            <w:vAlign w:val="center"/>
            <w:hideMark/>
          </w:tcPr>
          <w:p w14:paraId="7CE7FC1E" w14:textId="3E4CBD4A"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297,987</w:t>
            </w:r>
          </w:p>
        </w:tc>
        <w:tc>
          <w:tcPr>
            <w:tcW w:w="956" w:type="dxa"/>
            <w:shd w:val="clear" w:color="auto" w:fill="auto"/>
            <w:noWrap/>
            <w:vAlign w:val="center"/>
            <w:hideMark/>
          </w:tcPr>
          <w:p w14:paraId="6ABFF2F9" w14:textId="2106911B"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286,354</w:t>
            </w:r>
          </w:p>
        </w:tc>
        <w:tc>
          <w:tcPr>
            <w:tcW w:w="956" w:type="dxa"/>
            <w:shd w:val="clear" w:color="auto" w:fill="auto"/>
            <w:noWrap/>
            <w:vAlign w:val="center"/>
            <w:hideMark/>
          </w:tcPr>
          <w:p w14:paraId="60D91FD5" w14:textId="0799BCE6"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270,460</w:t>
            </w:r>
          </w:p>
        </w:tc>
        <w:tc>
          <w:tcPr>
            <w:tcW w:w="956" w:type="dxa"/>
            <w:shd w:val="clear" w:color="auto" w:fill="auto"/>
            <w:noWrap/>
            <w:vAlign w:val="center"/>
            <w:hideMark/>
          </w:tcPr>
          <w:p w14:paraId="04A7255E" w14:textId="2FF07E4D"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225,886</w:t>
            </w:r>
          </w:p>
        </w:tc>
        <w:tc>
          <w:tcPr>
            <w:tcW w:w="956" w:type="dxa"/>
            <w:shd w:val="clear" w:color="auto" w:fill="auto"/>
            <w:noWrap/>
            <w:vAlign w:val="center"/>
            <w:hideMark/>
          </w:tcPr>
          <w:p w14:paraId="1B514BB6" w14:textId="5E60326C"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226,289</w:t>
            </w:r>
          </w:p>
        </w:tc>
      </w:tr>
      <w:tr w:rsidR="004C22D6" w:rsidRPr="00A735B1" w14:paraId="44585BBC" w14:textId="77777777" w:rsidTr="006960B4">
        <w:trPr>
          <w:trHeight w:val="300"/>
          <w:jc w:val="center"/>
        </w:trPr>
        <w:tc>
          <w:tcPr>
            <w:tcW w:w="2695" w:type="dxa"/>
            <w:shd w:val="clear" w:color="auto" w:fill="auto"/>
            <w:noWrap/>
            <w:hideMark/>
          </w:tcPr>
          <w:p w14:paraId="54FA0392" w14:textId="1DF40662" w:rsidR="004C22D6" w:rsidRPr="00A735B1" w:rsidRDefault="004F4A15" w:rsidP="004F4A15">
            <w:pPr>
              <w:rPr>
                <w:rFonts w:ascii="Houschka Pro" w:eastAsia="Times New Roman" w:hAnsi="Houschka Pro" w:cstheme="minorHAnsi"/>
                <w:color w:val="000000"/>
                <w:sz w:val="20"/>
                <w:szCs w:val="21"/>
              </w:rPr>
            </w:pPr>
            <w:r w:rsidRPr="00A735B1">
              <w:rPr>
                <w:rFonts w:ascii="Houschka Pro" w:hAnsi="Houschka Pro"/>
                <w:sz w:val="20"/>
                <w:szCs w:val="21"/>
              </w:rPr>
              <w:t>Number of financial social assistance recipients</w:t>
            </w:r>
            <w:r w:rsidR="006C75FC" w:rsidRPr="00A735B1">
              <w:rPr>
                <w:rFonts w:ascii="Houschka Pro" w:hAnsi="Houschka Pro"/>
                <w:sz w:val="20"/>
                <w:szCs w:val="21"/>
              </w:rPr>
              <w:t xml:space="preserve"> (households)</w:t>
            </w:r>
          </w:p>
        </w:tc>
        <w:tc>
          <w:tcPr>
            <w:tcW w:w="920" w:type="dxa"/>
            <w:shd w:val="clear" w:color="auto" w:fill="auto"/>
            <w:noWrap/>
            <w:vAlign w:val="center"/>
            <w:hideMark/>
          </w:tcPr>
          <w:p w14:paraId="1667CEF5" w14:textId="65736600"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106,954</w:t>
            </w:r>
          </w:p>
        </w:tc>
        <w:tc>
          <w:tcPr>
            <w:tcW w:w="955" w:type="dxa"/>
            <w:shd w:val="clear" w:color="auto" w:fill="auto"/>
            <w:noWrap/>
            <w:vAlign w:val="center"/>
            <w:hideMark/>
          </w:tcPr>
          <w:p w14:paraId="277B5B75" w14:textId="4DC2B493"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107,570</w:t>
            </w:r>
          </w:p>
        </w:tc>
        <w:tc>
          <w:tcPr>
            <w:tcW w:w="956" w:type="dxa"/>
            <w:shd w:val="clear" w:color="auto" w:fill="auto"/>
            <w:noWrap/>
            <w:vAlign w:val="center"/>
            <w:hideMark/>
          </w:tcPr>
          <w:p w14:paraId="427051CC" w14:textId="41964E75"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105,064</w:t>
            </w:r>
          </w:p>
        </w:tc>
        <w:tc>
          <w:tcPr>
            <w:tcW w:w="956" w:type="dxa"/>
            <w:shd w:val="clear" w:color="auto" w:fill="auto"/>
            <w:noWrap/>
            <w:vAlign w:val="center"/>
            <w:hideMark/>
          </w:tcPr>
          <w:p w14:paraId="69FEE516" w14:textId="13F98EC1"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106,439</w:t>
            </w:r>
          </w:p>
        </w:tc>
        <w:tc>
          <w:tcPr>
            <w:tcW w:w="956" w:type="dxa"/>
            <w:shd w:val="clear" w:color="auto" w:fill="auto"/>
            <w:noWrap/>
            <w:vAlign w:val="center"/>
            <w:hideMark/>
          </w:tcPr>
          <w:p w14:paraId="72A75EFF" w14:textId="67E642B3"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104,276</w:t>
            </w:r>
          </w:p>
        </w:tc>
        <w:tc>
          <w:tcPr>
            <w:tcW w:w="956" w:type="dxa"/>
            <w:shd w:val="clear" w:color="auto" w:fill="auto"/>
            <w:noWrap/>
            <w:vAlign w:val="center"/>
            <w:hideMark/>
          </w:tcPr>
          <w:p w14:paraId="19F44CF5" w14:textId="382A1309"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98,754</w:t>
            </w:r>
          </w:p>
        </w:tc>
        <w:tc>
          <w:tcPr>
            <w:tcW w:w="956" w:type="dxa"/>
            <w:shd w:val="clear" w:color="auto" w:fill="auto"/>
            <w:noWrap/>
            <w:vAlign w:val="center"/>
            <w:hideMark/>
          </w:tcPr>
          <w:p w14:paraId="4C391145" w14:textId="4129098D"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92,673</w:t>
            </w:r>
          </w:p>
        </w:tc>
      </w:tr>
      <w:tr w:rsidR="004C22D6" w:rsidRPr="00A735B1" w14:paraId="1417C52C" w14:textId="77777777" w:rsidTr="006960B4">
        <w:trPr>
          <w:trHeight w:val="300"/>
          <w:jc w:val="center"/>
        </w:trPr>
        <w:tc>
          <w:tcPr>
            <w:tcW w:w="2695" w:type="dxa"/>
            <w:shd w:val="clear" w:color="auto" w:fill="F2F2F2" w:themeFill="background1" w:themeFillShade="F2"/>
            <w:noWrap/>
            <w:hideMark/>
          </w:tcPr>
          <w:p w14:paraId="0CC402B5" w14:textId="713D79EA" w:rsidR="004C22D6" w:rsidRPr="00A735B1" w:rsidRDefault="004F4A15" w:rsidP="004F4A15">
            <w:pPr>
              <w:rPr>
                <w:rFonts w:ascii="Houschka Pro" w:eastAsia="Times New Roman" w:hAnsi="Houschka Pro" w:cstheme="minorHAnsi"/>
                <w:color w:val="000000"/>
                <w:sz w:val="20"/>
                <w:szCs w:val="21"/>
              </w:rPr>
            </w:pPr>
            <w:r w:rsidRPr="00A735B1">
              <w:rPr>
                <w:rFonts w:ascii="Houschka Pro" w:hAnsi="Houschka Pro"/>
                <w:sz w:val="20"/>
                <w:szCs w:val="21"/>
              </w:rPr>
              <w:t>Share of child allowance recipients in the total population of children</w:t>
            </w:r>
          </w:p>
        </w:tc>
        <w:tc>
          <w:tcPr>
            <w:tcW w:w="920" w:type="dxa"/>
            <w:shd w:val="clear" w:color="auto" w:fill="F2F2F2" w:themeFill="background1" w:themeFillShade="F2"/>
            <w:noWrap/>
            <w:vAlign w:val="center"/>
            <w:hideMark/>
          </w:tcPr>
          <w:p w14:paraId="56A89133"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24.8</w:t>
            </w:r>
          </w:p>
        </w:tc>
        <w:tc>
          <w:tcPr>
            <w:tcW w:w="955" w:type="dxa"/>
            <w:shd w:val="clear" w:color="auto" w:fill="F2F2F2" w:themeFill="background1" w:themeFillShade="F2"/>
            <w:noWrap/>
            <w:vAlign w:val="center"/>
            <w:hideMark/>
          </w:tcPr>
          <w:p w14:paraId="1BD73B41"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24.3</w:t>
            </w:r>
          </w:p>
        </w:tc>
        <w:tc>
          <w:tcPr>
            <w:tcW w:w="956" w:type="dxa"/>
            <w:shd w:val="clear" w:color="auto" w:fill="F2F2F2" w:themeFill="background1" w:themeFillShade="F2"/>
            <w:noWrap/>
            <w:vAlign w:val="center"/>
            <w:hideMark/>
          </w:tcPr>
          <w:p w14:paraId="2B08EB68"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23.3</w:t>
            </w:r>
          </w:p>
        </w:tc>
        <w:tc>
          <w:tcPr>
            <w:tcW w:w="956" w:type="dxa"/>
            <w:shd w:val="clear" w:color="auto" w:fill="F2F2F2" w:themeFill="background1" w:themeFillShade="F2"/>
            <w:noWrap/>
            <w:vAlign w:val="center"/>
            <w:hideMark/>
          </w:tcPr>
          <w:p w14:paraId="103BB081"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22.6</w:t>
            </w:r>
          </w:p>
        </w:tc>
        <w:tc>
          <w:tcPr>
            <w:tcW w:w="956" w:type="dxa"/>
            <w:shd w:val="clear" w:color="auto" w:fill="F2F2F2" w:themeFill="background1" w:themeFillShade="F2"/>
            <w:noWrap/>
            <w:vAlign w:val="center"/>
            <w:hideMark/>
          </w:tcPr>
          <w:p w14:paraId="5CEEEF6C"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21.3</w:t>
            </w:r>
          </w:p>
        </w:tc>
        <w:tc>
          <w:tcPr>
            <w:tcW w:w="956" w:type="dxa"/>
            <w:shd w:val="clear" w:color="auto" w:fill="F2F2F2" w:themeFill="background1" w:themeFillShade="F2"/>
            <w:noWrap/>
            <w:vAlign w:val="center"/>
            <w:hideMark/>
          </w:tcPr>
          <w:p w14:paraId="5563E2AB"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17.6</w:t>
            </w:r>
          </w:p>
        </w:tc>
        <w:tc>
          <w:tcPr>
            <w:tcW w:w="956" w:type="dxa"/>
            <w:shd w:val="clear" w:color="auto" w:fill="F2F2F2" w:themeFill="background1" w:themeFillShade="F2"/>
            <w:noWrap/>
            <w:vAlign w:val="center"/>
            <w:hideMark/>
          </w:tcPr>
          <w:p w14:paraId="73FB8B31"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17.7</w:t>
            </w:r>
          </w:p>
        </w:tc>
      </w:tr>
      <w:tr w:rsidR="004C22D6" w:rsidRPr="00A735B1" w14:paraId="2EC8B3C2" w14:textId="77777777" w:rsidTr="006960B4">
        <w:trPr>
          <w:trHeight w:val="300"/>
          <w:jc w:val="center"/>
        </w:trPr>
        <w:tc>
          <w:tcPr>
            <w:tcW w:w="2695" w:type="dxa"/>
            <w:shd w:val="clear" w:color="auto" w:fill="F2F2F2" w:themeFill="background1" w:themeFillShade="F2"/>
            <w:noWrap/>
            <w:hideMark/>
          </w:tcPr>
          <w:p w14:paraId="6EF3F1E3" w14:textId="20A6C288" w:rsidR="004C22D6" w:rsidRPr="00A735B1" w:rsidRDefault="004F4A15" w:rsidP="004F4A15">
            <w:pPr>
              <w:rPr>
                <w:rFonts w:ascii="Houschka Pro" w:eastAsia="Times New Roman" w:hAnsi="Houschka Pro" w:cstheme="minorHAnsi"/>
                <w:color w:val="000000"/>
                <w:sz w:val="20"/>
                <w:szCs w:val="21"/>
              </w:rPr>
            </w:pPr>
            <w:r w:rsidRPr="00A735B1">
              <w:rPr>
                <w:rFonts w:ascii="Houschka Pro" w:hAnsi="Houschka Pro"/>
                <w:sz w:val="20"/>
                <w:szCs w:val="21"/>
              </w:rPr>
              <w:t>Share of financial social assistance recipients in the total population</w:t>
            </w:r>
          </w:p>
        </w:tc>
        <w:tc>
          <w:tcPr>
            <w:tcW w:w="920" w:type="dxa"/>
            <w:shd w:val="clear" w:color="auto" w:fill="F2F2F2" w:themeFill="background1" w:themeFillShade="F2"/>
            <w:noWrap/>
            <w:vAlign w:val="center"/>
            <w:hideMark/>
          </w:tcPr>
          <w:p w14:paraId="1F93878E"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3.7</w:t>
            </w:r>
          </w:p>
        </w:tc>
        <w:tc>
          <w:tcPr>
            <w:tcW w:w="955" w:type="dxa"/>
            <w:shd w:val="clear" w:color="auto" w:fill="F2F2F2" w:themeFill="background1" w:themeFillShade="F2"/>
            <w:noWrap/>
            <w:vAlign w:val="center"/>
            <w:hideMark/>
          </w:tcPr>
          <w:p w14:paraId="79C41040"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3.7</w:t>
            </w:r>
          </w:p>
        </w:tc>
        <w:tc>
          <w:tcPr>
            <w:tcW w:w="956" w:type="dxa"/>
            <w:shd w:val="clear" w:color="auto" w:fill="F2F2F2" w:themeFill="background1" w:themeFillShade="F2"/>
            <w:noWrap/>
            <w:vAlign w:val="center"/>
            <w:hideMark/>
          </w:tcPr>
          <w:p w14:paraId="71B053E5"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3.6</w:t>
            </w:r>
          </w:p>
        </w:tc>
        <w:tc>
          <w:tcPr>
            <w:tcW w:w="956" w:type="dxa"/>
            <w:shd w:val="clear" w:color="auto" w:fill="F2F2F2" w:themeFill="background1" w:themeFillShade="F2"/>
            <w:noWrap/>
            <w:vAlign w:val="center"/>
            <w:hideMark/>
          </w:tcPr>
          <w:p w14:paraId="148F60B8"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3.6</w:t>
            </w:r>
          </w:p>
        </w:tc>
        <w:tc>
          <w:tcPr>
            <w:tcW w:w="956" w:type="dxa"/>
            <w:shd w:val="clear" w:color="auto" w:fill="F2F2F2" w:themeFill="background1" w:themeFillShade="F2"/>
            <w:noWrap/>
            <w:vAlign w:val="center"/>
            <w:hideMark/>
          </w:tcPr>
          <w:p w14:paraId="5B7E354E"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3.5</w:t>
            </w:r>
          </w:p>
        </w:tc>
        <w:tc>
          <w:tcPr>
            <w:tcW w:w="956" w:type="dxa"/>
            <w:shd w:val="clear" w:color="auto" w:fill="F2F2F2" w:themeFill="background1" w:themeFillShade="F2"/>
            <w:noWrap/>
            <w:vAlign w:val="center"/>
            <w:hideMark/>
          </w:tcPr>
          <w:p w14:paraId="13CFCF99"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3.3</w:t>
            </w:r>
          </w:p>
        </w:tc>
        <w:tc>
          <w:tcPr>
            <w:tcW w:w="956" w:type="dxa"/>
            <w:shd w:val="clear" w:color="auto" w:fill="F2F2F2" w:themeFill="background1" w:themeFillShade="F2"/>
            <w:noWrap/>
            <w:vAlign w:val="center"/>
            <w:hideMark/>
          </w:tcPr>
          <w:p w14:paraId="265BE764" w14:textId="77777777" w:rsidR="004C22D6" w:rsidRPr="00A735B1" w:rsidRDefault="004C22D6" w:rsidP="007B4E39">
            <w:pPr>
              <w:jc w:val="center"/>
              <w:rPr>
                <w:rFonts w:ascii="Houschka Pro" w:eastAsia="Times New Roman" w:hAnsi="Houschka Pro" w:cstheme="minorHAnsi"/>
                <w:color w:val="000000"/>
                <w:sz w:val="20"/>
                <w:szCs w:val="20"/>
              </w:rPr>
            </w:pPr>
            <w:r w:rsidRPr="00A735B1">
              <w:rPr>
                <w:rFonts w:ascii="Houschka Pro" w:hAnsi="Houschka Pro"/>
                <w:color w:val="000000"/>
                <w:sz w:val="20"/>
                <w:szCs w:val="20"/>
              </w:rPr>
              <w:t>3.1</w:t>
            </w:r>
          </w:p>
        </w:tc>
      </w:tr>
    </w:tbl>
    <w:p w14:paraId="4404E07C" w14:textId="4EED0446" w:rsidR="00CA69B3" w:rsidRPr="00A735B1" w:rsidRDefault="004F4A15" w:rsidP="00C92E69">
      <w:pPr>
        <w:pStyle w:val="NormalWeb"/>
        <w:spacing w:before="0" w:beforeAutospacing="0" w:after="0" w:afterAutospacing="0"/>
        <w:ind w:left="720"/>
        <w:jc w:val="both"/>
        <w:rPr>
          <w:rFonts w:ascii="Houschka Pro" w:hAnsi="Houschka Pro" w:cstheme="minorHAnsi"/>
          <w:i/>
          <w:iCs/>
          <w:szCs w:val="22"/>
        </w:rPr>
      </w:pPr>
      <w:r w:rsidRPr="00A735B1">
        <w:rPr>
          <w:rFonts w:ascii="Houschka Pro" w:hAnsi="Houschka Pro"/>
          <w:i/>
          <w:iCs/>
          <w:sz w:val="20"/>
          <w:szCs w:val="22"/>
        </w:rPr>
        <w:t xml:space="preserve">Source: </w:t>
      </w:r>
      <w:proofErr w:type="spellStart"/>
      <w:r w:rsidRPr="00A735B1">
        <w:rPr>
          <w:rFonts w:ascii="Houschka Pro" w:hAnsi="Houschka Pro"/>
          <w:i/>
          <w:iCs/>
          <w:sz w:val="20"/>
          <w:szCs w:val="22"/>
        </w:rPr>
        <w:t>DevInfo</w:t>
      </w:r>
      <w:proofErr w:type="spellEnd"/>
      <w:r w:rsidRPr="00A735B1">
        <w:rPr>
          <w:rFonts w:ascii="Houschka Pro" w:hAnsi="Houschka Pro"/>
          <w:i/>
          <w:iCs/>
          <w:sz w:val="20"/>
          <w:szCs w:val="22"/>
        </w:rPr>
        <w:t>, Sta</w:t>
      </w:r>
      <w:bookmarkStart w:id="0" w:name="_GoBack"/>
      <w:bookmarkEnd w:id="0"/>
      <w:r w:rsidRPr="00A735B1">
        <w:rPr>
          <w:rFonts w:ascii="Houschka Pro" w:hAnsi="Houschka Pro"/>
          <w:i/>
          <w:iCs/>
          <w:sz w:val="20"/>
          <w:szCs w:val="22"/>
        </w:rPr>
        <w:t>tistical Office of the Republic of Serbia</w:t>
      </w:r>
    </w:p>
    <w:p w14:paraId="5B9C9EA5" w14:textId="5AEE83E9" w:rsidR="00841BC7" w:rsidRPr="00A735B1" w:rsidRDefault="004F4A15" w:rsidP="00C75D2F">
      <w:pPr>
        <w:pStyle w:val="NormalWeb"/>
        <w:spacing w:after="240" w:afterAutospacing="0"/>
        <w:jc w:val="both"/>
        <w:rPr>
          <w:rFonts w:ascii="Houschka Pro" w:hAnsi="Houschka Pro" w:cstheme="minorHAnsi"/>
          <w:sz w:val="22"/>
        </w:rPr>
      </w:pPr>
      <w:r w:rsidRPr="00A735B1">
        <w:rPr>
          <w:rFonts w:ascii="Houschka Pro" w:hAnsi="Houschka Pro"/>
          <w:sz w:val="22"/>
        </w:rPr>
        <w:lastRenderedPageBreak/>
        <w:t xml:space="preserve">In absolute terms, the number of children receiving child allowance in the 2013-2019 period </w:t>
      </w:r>
      <w:r w:rsidR="005371BE" w:rsidRPr="00A735B1">
        <w:rPr>
          <w:rFonts w:ascii="Houschka Pro" w:hAnsi="Houschka Pro"/>
          <w:sz w:val="22"/>
        </w:rPr>
        <w:t>decreased</w:t>
      </w:r>
      <w:r w:rsidRPr="00A735B1">
        <w:rPr>
          <w:rFonts w:ascii="Houschka Pro" w:hAnsi="Houschka Pro"/>
          <w:sz w:val="22"/>
        </w:rPr>
        <w:t xml:space="preserve"> by over 94,000 children, while the number of </w:t>
      </w:r>
      <w:r w:rsidR="006C75FC" w:rsidRPr="00A735B1">
        <w:rPr>
          <w:rFonts w:ascii="Houschka Pro" w:hAnsi="Houschka Pro"/>
          <w:sz w:val="22"/>
        </w:rPr>
        <w:t>households receiving</w:t>
      </w:r>
      <w:r w:rsidRPr="00A735B1">
        <w:rPr>
          <w:rFonts w:ascii="Houschka Pro" w:hAnsi="Houschka Pro"/>
          <w:sz w:val="22"/>
        </w:rPr>
        <w:t xml:space="preserve"> financial social assistance </w:t>
      </w:r>
      <w:r w:rsidR="00E26755" w:rsidRPr="00A735B1">
        <w:rPr>
          <w:rFonts w:ascii="Houschka Pro" w:hAnsi="Houschka Pro"/>
          <w:sz w:val="22"/>
        </w:rPr>
        <w:t>decreased</w:t>
      </w:r>
      <w:r w:rsidRPr="00A735B1">
        <w:rPr>
          <w:rFonts w:ascii="Houschka Pro" w:hAnsi="Houschka Pro"/>
          <w:sz w:val="22"/>
        </w:rPr>
        <w:t xml:space="preserve"> by over 14,000.  </w:t>
      </w:r>
    </w:p>
    <w:p w14:paraId="2BE75494" w14:textId="690D413F" w:rsidR="00474495" w:rsidRPr="00A735B1" w:rsidRDefault="004F4A15" w:rsidP="00C75D2F">
      <w:pPr>
        <w:spacing w:after="240"/>
        <w:jc w:val="both"/>
        <w:rPr>
          <w:rFonts w:ascii="Houschka Pro" w:hAnsi="Houschka Pro" w:cstheme="minorHAnsi"/>
          <w:b/>
          <w:bCs/>
          <w:sz w:val="22"/>
          <w:u w:val="single"/>
        </w:rPr>
      </w:pPr>
      <w:r w:rsidRPr="00A735B1">
        <w:rPr>
          <w:rFonts w:ascii="Houschka Pro" w:hAnsi="Houschka Pro"/>
          <w:b/>
          <w:bCs/>
          <w:color w:val="345095"/>
          <w:sz w:val="22"/>
          <w:u w:val="single"/>
        </w:rPr>
        <w:t>Assessment of the impact of one-off universal measures</w:t>
      </w:r>
      <w:r w:rsidR="006C75FC" w:rsidRPr="00A735B1">
        <w:rPr>
          <w:rFonts w:ascii="Houschka Pro" w:hAnsi="Houschka Pro"/>
          <w:b/>
          <w:bCs/>
          <w:color w:val="345095"/>
          <w:sz w:val="22"/>
          <w:u w:val="single"/>
        </w:rPr>
        <w:t xml:space="preserve"> implemented during the Covid-19 pandemic</w:t>
      </w:r>
      <w:r w:rsidRPr="00A735B1">
        <w:rPr>
          <w:rFonts w:ascii="Houschka Pro" w:hAnsi="Houschka Pro"/>
          <w:b/>
          <w:bCs/>
          <w:color w:val="345095"/>
          <w:sz w:val="22"/>
          <w:u w:val="single"/>
        </w:rPr>
        <w:t xml:space="preserve"> on key poverty indicators and assessment of the impact of targeted measures </w:t>
      </w:r>
    </w:p>
    <w:p w14:paraId="2ECB117C" w14:textId="2845C7E9" w:rsidR="007B4E39" w:rsidRPr="00A735B1" w:rsidRDefault="004F4A15" w:rsidP="00C75D2F">
      <w:pPr>
        <w:spacing w:after="240"/>
        <w:jc w:val="both"/>
        <w:rPr>
          <w:rFonts w:ascii="Houschka Pro" w:eastAsia="Times New Roman" w:hAnsi="Houschka Pro" w:cstheme="minorHAnsi"/>
          <w:color w:val="000000"/>
          <w:sz w:val="22"/>
        </w:rPr>
      </w:pPr>
      <w:r w:rsidRPr="00A735B1">
        <w:rPr>
          <w:rFonts w:ascii="Houschka Pro" w:hAnsi="Houschka Pro"/>
          <w:color w:val="000000"/>
          <w:sz w:val="22"/>
        </w:rPr>
        <w:t xml:space="preserve">The Social Inclusion and Poverty Reduction Unit </w:t>
      </w:r>
      <w:r w:rsidR="009C123F" w:rsidRPr="00A735B1">
        <w:rPr>
          <w:rFonts w:ascii="Houschka Pro" w:hAnsi="Houschka Pro"/>
          <w:color w:val="000000"/>
          <w:sz w:val="22"/>
        </w:rPr>
        <w:t>conducted</w:t>
      </w:r>
      <w:r w:rsidRPr="00A735B1">
        <w:rPr>
          <w:rFonts w:ascii="Houschka Pro" w:hAnsi="Houschka Pro"/>
          <w:color w:val="000000"/>
          <w:sz w:val="22"/>
        </w:rPr>
        <w:t xml:space="preserve"> an assessment </w:t>
      </w:r>
      <w:r w:rsidR="006C75FC" w:rsidRPr="00A735B1">
        <w:rPr>
          <w:rFonts w:ascii="Houschka Pro" w:hAnsi="Houschka Pro"/>
          <w:color w:val="000000"/>
          <w:sz w:val="22"/>
        </w:rPr>
        <w:t xml:space="preserve">with aim </w:t>
      </w:r>
      <w:r w:rsidRPr="00A735B1">
        <w:rPr>
          <w:rFonts w:ascii="Houschka Pro" w:hAnsi="Houschka Pro"/>
          <w:color w:val="000000"/>
          <w:sz w:val="22"/>
        </w:rPr>
        <w:t>to evaluate poverty trends during the pandemic in 2020 and provid</w:t>
      </w:r>
      <w:r w:rsidR="006C75FC" w:rsidRPr="00A735B1">
        <w:rPr>
          <w:rFonts w:ascii="Houschka Pro" w:hAnsi="Houschka Pro"/>
          <w:color w:val="000000"/>
          <w:sz w:val="22"/>
        </w:rPr>
        <w:t>e</w:t>
      </w:r>
      <w:r w:rsidRPr="00A735B1">
        <w:rPr>
          <w:rFonts w:ascii="Houschka Pro" w:hAnsi="Houschka Pro"/>
          <w:color w:val="000000"/>
          <w:sz w:val="22"/>
        </w:rPr>
        <w:t xml:space="preserve"> insights into the impact of the relevant measures deployed by the Government of Serbia on budget spending on the one </w:t>
      </w:r>
      <w:r w:rsidR="006D79A4" w:rsidRPr="00A735B1">
        <w:rPr>
          <w:rFonts w:ascii="Houschka Pro" w:hAnsi="Houschka Pro"/>
          <w:color w:val="000000"/>
          <w:sz w:val="22"/>
        </w:rPr>
        <w:t>hand</w:t>
      </w:r>
      <w:r w:rsidRPr="00A735B1">
        <w:rPr>
          <w:rFonts w:ascii="Houschka Pro" w:hAnsi="Houschka Pro"/>
          <w:color w:val="000000"/>
          <w:sz w:val="22"/>
        </w:rPr>
        <w:t>, and on key poverty and inequality indicators</w:t>
      </w:r>
      <w:r w:rsidR="006D79A4" w:rsidRPr="00A735B1">
        <w:rPr>
          <w:rFonts w:ascii="Houschka Pro" w:hAnsi="Houschka Pro"/>
          <w:color w:val="000000"/>
          <w:sz w:val="22"/>
        </w:rPr>
        <w:t>,</w:t>
      </w:r>
      <w:r w:rsidRPr="00A735B1">
        <w:rPr>
          <w:rFonts w:ascii="Houschka Pro" w:hAnsi="Houschka Pro"/>
          <w:color w:val="000000"/>
          <w:sz w:val="22"/>
        </w:rPr>
        <w:t xml:space="preserve"> on the other </w:t>
      </w:r>
      <w:r w:rsidR="006D79A4" w:rsidRPr="00A735B1">
        <w:rPr>
          <w:rFonts w:ascii="Houschka Pro" w:hAnsi="Houschka Pro"/>
          <w:color w:val="000000"/>
          <w:sz w:val="22"/>
        </w:rPr>
        <w:t>hand</w:t>
      </w:r>
      <w:r w:rsidRPr="00A735B1">
        <w:rPr>
          <w:rFonts w:ascii="Houschka Pro" w:hAnsi="Houschka Pro"/>
          <w:color w:val="000000"/>
          <w:sz w:val="22"/>
        </w:rPr>
        <w:t xml:space="preserve">. The assessment is based on the data provided by the </w:t>
      </w:r>
      <w:r w:rsidR="006C75FC" w:rsidRPr="00A735B1">
        <w:rPr>
          <w:rFonts w:ascii="Houschka Pro" w:hAnsi="Houschka Pro"/>
          <w:color w:val="000000"/>
          <w:sz w:val="22"/>
        </w:rPr>
        <w:t xml:space="preserve">Survey </w:t>
      </w:r>
      <w:r w:rsidRPr="00A735B1">
        <w:rPr>
          <w:rFonts w:ascii="Houschka Pro" w:hAnsi="Houschka Pro"/>
          <w:color w:val="000000"/>
          <w:sz w:val="22"/>
        </w:rPr>
        <w:t>on Income and Living Conditions (SILC 2017) and the Household Budget Survey (HBS 2018). </w:t>
      </w:r>
    </w:p>
    <w:p w14:paraId="161C9B89" w14:textId="5907FEF5" w:rsidR="00474495" w:rsidRPr="00A735B1" w:rsidRDefault="004F4A15" w:rsidP="00C75D2F">
      <w:pPr>
        <w:spacing w:after="240"/>
        <w:jc w:val="both"/>
        <w:rPr>
          <w:rFonts w:ascii="Houschka Pro" w:eastAsia="Times New Roman" w:hAnsi="Houschka Pro" w:cstheme="minorHAnsi"/>
          <w:color w:val="000000"/>
          <w:sz w:val="22"/>
        </w:rPr>
      </w:pPr>
      <w:r w:rsidRPr="00A735B1">
        <w:rPr>
          <w:rFonts w:ascii="Houschka Pro" w:hAnsi="Houschka Pro"/>
          <w:color w:val="000000"/>
          <w:sz w:val="22"/>
        </w:rPr>
        <w:t xml:space="preserve">In addition to analysing the effects of the two direct </w:t>
      </w:r>
      <w:r w:rsidR="006D79A4" w:rsidRPr="00A735B1">
        <w:rPr>
          <w:rFonts w:ascii="Houschka Pro" w:hAnsi="Houschka Pro"/>
          <w:color w:val="000000"/>
          <w:sz w:val="22"/>
        </w:rPr>
        <w:t>individual income/consumption support measures</w:t>
      </w:r>
      <w:r w:rsidRPr="00A735B1">
        <w:rPr>
          <w:rFonts w:ascii="Houschka Pro" w:hAnsi="Houschka Pro"/>
          <w:color w:val="000000"/>
          <w:sz w:val="22"/>
        </w:rPr>
        <w:t xml:space="preserve"> implemented under the (1) Decree on the </w:t>
      </w:r>
      <w:r w:rsidR="006D79A4" w:rsidRPr="00A735B1">
        <w:rPr>
          <w:rFonts w:ascii="Houschka Pro" w:hAnsi="Houschka Pro"/>
          <w:color w:val="000000"/>
          <w:sz w:val="22"/>
        </w:rPr>
        <w:t>O</w:t>
      </w:r>
      <w:r w:rsidRPr="00A735B1">
        <w:rPr>
          <w:rFonts w:ascii="Houschka Pro" w:hAnsi="Houschka Pro"/>
          <w:color w:val="000000"/>
          <w:sz w:val="22"/>
        </w:rPr>
        <w:t xml:space="preserve">ne-off </w:t>
      </w:r>
      <w:r w:rsidR="006D79A4" w:rsidRPr="00A735B1">
        <w:rPr>
          <w:rFonts w:ascii="Houschka Pro" w:hAnsi="Houschka Pro"/>
          <w:color w:val="000000"/>
          <w:sz w:val="22"/>
        </w:rPr>
        <w:t>P</w:t>
      </w:r>
      <w:r w:rsidRPr="00A735B1">
        <w:rPr>
          <w:rFonts w:ascii="Houschka Pro" w:hAnsi="Houschka Pro"/>
          <w:color w:val="000000"/>
          <w:sz w:val="22"/>
        </w:rPr>
        <w:t xml:space="preserve">ayment of EUR 100 to all </w:t>
      </w:r>
      <w:r w:rsidR="006D79A4" w:rsidRPr="00A735B1">
        <w:rPr>
          <w:rFonts w:ascii="Houschka Pro" w:hAnsi="Houschka Pro"/>
          <w:color w:val="000000"/>
          <w:sz w:val="22"/>
        </w:rPr>
        <w:t>Adults</w:t>
      </w:r>
      <w:r w:rsidRPr="00A735B1">
        <w:rPr>
          <w:rFonts w:ascii="Houschka Pro" w:hAnsi="Houschka Pro"/>
          <w:color w:val="000000"/>
          <w:sz w:val="22"/>
        </w:rPr>
        <w:t xml:space="preserve">, and (2) Decision on the </w:t>
      </w:r>
      <w:r w:rsidR="006D79A4" w:rsidRPr="00A735B1">
        <w:rPr>
          <w:rFonts w:ascii="Houschka Pro" w:hAnsi="Houschka Pro"/>
          <w:color w:val="000000"/>
          <w:sz w:val="22"/>
        </w:rPr>
        <w:t xml:space="preserve">Award of </w:t>
      </w:r>
      <w:r w:rsidRPr="00A735B1">
        <w:rPr>
          <w:rFonts w:ascii="Houschka Pro" w:hAnsi="Houschka Pro"/>
          <w:color w:val="000000"/>
          <w:sz w:val="22"/>
        </w:rPr>
        <w:t xml:space="preserve">RSD 4,000 to </w:t>
      </w:r>
      <w:r w:rsidR="006D79A4" w:rsidRPr="00A735B1">
        <w:rPr>
          <w:rFonts w:ascii="Houschka Pro" w:hAnsi="Houschka Pro"/>
          <w:color w:val="000000"/>
          <w:sz w:val="22"/>
        </w:rPr>
        <w:t>A</w:t>
      </w:r>
      <w:r w:rsidRPr="00A735B1">
        <w:rPr>
          <w:rFonts w:ascii="Houschka Pro" w:hAnsi="Houschka Pro"/>
          <w:color w:val="000000"/>
          <w:sz w:val="22"/>
        </w:rPr>
        <w:t xml:space="preserve">ll </w:t>
      </w:r>
      <w:r w:rsidR="006D79A4" w:rsidRPr="00A735B1">
        <w:rPr>
          <w:rFonts w:ascii="Houschka Pro" w:hAnsi="Houschka Pro"/>
          <w:color w:val="000000"/>
          <w:sz w:val="22"/>
        </w:rPr>
        <w:t>P</w:t>
      </w:r>
      <w:r w:rsidRPr="00A735B1">
        <w:rPr>
          <w:rFonts w:ascii="Houschka Pro" w:hAnsi="Houschka Pro"/>
          <w:color w:val="000000"/>
          <w:sz w:val="22"/>
        </w:rPr>
        <w:t xml:space="preserve">ensioners, </w:t>
      </w:r>
      <w:r w:rsidR="006D79A4" w:rsidRPr="00A735B1">
        <w:rPr>
          <w:rFonts w:ascii="Houschka Pro" w:hAnsi="Houschka Pro"/>
          <w:color w:val="000000"/>
          <w:sz w:val="22"/>
        </w:rPr>
        <w:t xml:space="preserve">the analysis also focused on </w:t>
      </w:r>
      <w:r w:rsidRPr="00A735B1">
        <w:rPr>
          <w:rFonts w:ascii="Houschka Pro" w:hAnsi="Houschka Pro"/>
          <w:color w:val="000000"/>
          <w:sz w:val="22"/>
        </w:rPr>
        <w:t xml:space="preserve">the effects of 16 targeted measures, </w:t>
      </w:r>
      <w:r w:rsidR="006D79A4" w:rsidRPr="00A735B1">
        <w:rPr>
          <w:rFonts w:ascii="Houschka Pro" w:hAnsi="Houschka Pro"/>
          <w:color w:val="000000"/>
          <w:sz w:val="22"/>
        </w:rPr>
        <w:t xml:space="preserve">in order </w:t>
      </w:r>
      <w:r w:rsidRPr="00A735B1">
        <w:rPr>
          <w:rFonts w:ascii="Houschka Pro" w:hAnsi="Houschka Pro"/>
          <w:color w:val="000000"/>
          <w:sz w:val="22"/>
        </w:rPr>
        <w:t xml:space="preserve">to compare their effects on </w:t>
      </w:r>
      <w:r w:rsidR="006D79A4" w:rsidRPr="00A735B1">
        <w:rPr>
          <w:rFonts w:ascii="Houschka Pro" w:hAnsi="Houschka Pro"/>
          <w:color w:val="000000"/>
          <w:sz w:val="22"/>
        </w:rPr>
        <w:t>expenditures</w:t>
      </w:r>
      <w:r w:rsidRPr="00A735B1">
        <w:rPr>
          <w:rFonts w:ascii="Houschka Pro" w:hAnsi="Houschka Pro"/>
          <w:color w:val="000000"/>
          <w:sz w:val="22"/>
        </w:rPr>
        <w:t xml:space="preserve"> (</w:t>
      </w:r>
      <w:r w:rsidR="006D79A4" w:rsidRPr="00A735B1">
        <w:rPr>
          <w:rFonts w:ascii="Houschka Pro" w:hAnsi="Houschka Pro"/>
          <w:color w:val="000000"/>
          <w:sz w:val="22"/>
        </w:rPr>
        <w:t xml:space="preserve">estimated </w:t>
      </w:r>
      <w:r w:rsidRPr="00A735B1">
        <w:rPr>
          <w:rFonts w:ascii="Houschka Pro" w:hAnsi="Houschka Pro"/>
          <w:color w:val="000000"/>
          <w:sz w:val="22"/>
        </w:rPr>
        <w:t xml:space="preserve">total costs of the measures) and on the 4 </w:t>
      </w:r>
      <w:r w:rsidR="006D79A4" w:rsidRPr="00A735B1">
        <w:rPr>
          <w:rFonts w:ascii="Houschka Pro" w:hAnsi="Houschka Pro"/>
          <w:color w:val="000000"/>
          <w:sz w:val="22"/>
        </w:rPr>
        <w:t>key</w:t>
      </w:r>
      <w:r w:rsidRPr="00A735B1">
        <w:rPr>
          <w:rFonts w:ascii="Houschka Pro" w:hAnsi="Houschka Pro"/>
          <w:color w:val="000000"/>
          <w:sz w:val="22"/>
        </w:rPr>
        <w:t xml:space="preserve"> poverty and inequality indicators (the </w:t>
      </w:r>
      <w:r w:rsidR="006D79A4" w:rsidRPr="00A735B1">
        <w:rPr>
          <w:rFonts w:ascii="Houschka Pro" w:hAnsi="Houschka Pro"/>
          <w:bCs/>
          <w:sz w:val="22"/>
        </w:rPr>
        <w:t>at-risk-of-poverty</w:t>
      </w:r>
      <w:r w:rsidRPr="00A735B1">
        <w:rPr>
          <w:rFonts w:ascii="Houschka Pro" w:hAnsi="Houschka Pro"/>
          <w:color w:val="000000"/>
          <w:sz w:val="22"/>
        </w:rPr>
        <w:t xml:space="preserve"> rate, the Gini coefficient, the quintile ratio, and the relative </w:t>
      </w:r>
      <w:r w:rsidR="00DB36B0" w:rsidRPr="00A735B1">
        <w:rPr>
          <w:rFonts w:ascii="Houschka Pro" w:hAnsi="Houschka Pro"/>
          <w:bCs/>
          <w:sz w:val="22"/>
        </w:rPr>
        <w:t>at-risk-of-poverty</w:t>
      </w:r>
      <w:r w:rsidR="00DB36B0" w:rsidRPr="00A735B1">
        <w:rPr>
          <w:rFonts w:ascii="Houschka Pro" w:hAnsi="Houschka Pro"/>
          <w:color w:val="000000"/>
          <w:sz w:val="22"/>
        </w:rPr>
        <w:t xml:space="preserve"> </w:t>
      </w:r>
      <w:r w:rsidRPr="00A735B1">
        <w:rPr>
          <w:rFonts w:ascii="Houschka Pro" w:hAnsi="Houschka Pro"/>
          <w:color w:val="000000"/>
          <w:sz w:val="22"/>
        </w:rPr>
        <w:t xml:space="preserve">gap). The effects of each measure were also monitored by </w:t>
      </w:r>
      <w:r w:rsidR="00165231" w:rsidRPr="00A735B1">
        <w:rPr>
          <w:rFonts w:ascii="Houschka Pro" w:hAnsi="Houschka Pro"/>
          <w:color w:val="000000"/>
          <w:sz w:val="22"/>
        </w:rPr>
        <w:t>decile and</w:t>
      </w:r>
      <w:r w:rsidRPr="00A735B1">
        <w:rPr>
          <w:rFonts w:ascii="Houschka Pro" w:hAnsi="Houschka Pro"/>
          <w:color w:val="000000"/>
          <w:sz w:val="22"/>
        </w:rPr>
        <w:t xml:space="preserve"> </w:t>
      </w:r>
      <w:r w:rsidR="006C75FC" w:rsidRPr="00A735B1">
        <w:rPr>
          <w:rFonts w:ascii="Houschka Pro" w:hAnsi="Houschka Pro"/>
          <w:color w:val="000000"/>
          <w:sz w:val="22"/>
        </w:rPr>
        <w:t xml:space="preserve">changes in distribution across </w:t>
      </w:r>
      <w:r w:rsidR="00DB36B0" w:rsidRPr="00A735B1">
        <w:rPr>
          <w:rFonts w:ascii="Houschka Pro" w:hAnsi="Houschka Pro"/>
          <w:color w:val="000000"/>
          <w:sz w:val="22"/>
        </w:rPr>
        <w:t xml:space="preserve">all 10 </w:t>
      </w:r>
      <w:r w:rsidR="006C75FC" w:rsidRPr="00A735B1">
        <w:rPr>
          <w:rFonts w:ascii="Houschka Pro" w:hAnsi="Houschka Pro"/>
          <w:color w:val="000000"/>
          <w:sz w:val="22"/>
        </w:rPr>
        <w:t>deciles</w:t>
      </w:r>
      <w:r w:rsidR="006C75FC" w:rsidRPr="00A735B1">
        <w:rPr>
          <w:rFonts w:ascii="Houschka Pro" w:hAnsi="Houschka Pro"/>
        </w:rPr>
        <w:t xml:space="preserve"> </w:t>
      </w:r>
      <w:r w:rsidR="006C75FC" w:rsidRPr="00A735B1">
        <w:rPr>
          <w:rFonts w:ascii="Houschka Pro" w:hAnsi="Houschka Pro"/>
          <w:color w:val="000000"/>
          <w:sz w:val="22"/>
        </w:rPr>
        <w:t xml:space="preserve">of income/consumption were </w:t>
      </w:r>
      <w:r w:rsidRPr="00A735B1">
        <w:rPr>
          <w:rFonts w:ascii="Houschka Pro" w:hAnsi="Houschka Pro"/>
          <w:color w:val="000000"/>
          <w:sz w:val="22"/>
        </w:rPr>
        <w:t xml:space="preserve">analysed. Targeted measures primarily refer to </w:t>
      </w:r>
      <w:r w:rsidR="00DB36B0" w:rsidRPr="00A735B1">
        <w:rPr>
          <w:rFonts w:ascii="Houschka Pro" w:hAnsi="Houschka Pro"/>
          <w:color w:val="000000"/>
          <w:sz w:val="22"/>
        </w:rPr>
        <w:t xml:space="preserve">the benefits awarded to </w:t>
      </w:r>
      <w:r w:rsidRPr="00A735B1">
        <w:rPr>
          <w:rFonts w:ascii="Houschka Pro" w:hAnsi="Houschka Pro"/>
          <w:color w:val="000000"/>
          <w:sz w:val="22"/>
        </w:rPr>
        <w:t xml:space="preserve">recipients of financial social assistance and child allowance, persons with disabilities, additional assistance to pensioners and the elderly who have a low monthly income, and </w:t>
      </w:r>
      <w:r w:rsidR="00DB36B0" w:rsidRPr="00A735B1">
        <w:rPr>
          <w:rFonts w:ascii="Houschka Pro" w:hAnsi="Houschka Pro"/>
          <w:color w:val="000000"/>
          <w:sz w:val="22"/>
        </w:rPr>
        <w:t xml:space="preserve">to </w:t>
      </w:r>
      <w:r w:rsidRPr="00A735B1">
        <w:rPr>
          <w:rFonts w:ascii="Houschka Pro" w:hAnsi="Houschka Pro"/>
          <w:color w:val="000000"/>
          <w:sz w:val="22"/>
        </w:rPr>
        <w:t>children in fami</w:t>
      </w:r>
      <w:r w:rsidR="00DB36B0" w:rsidRPr="00A735B1">
        <w:rPr>
          <w:rFonts w:ascii="Houschka Pro" w:hAnsi="Houschka Pro"/>
          <w:color w:val="000000"/>
          <w:sz w:val="22"/>
        </w:rPr>
        <w:t xml:space="preserve">lies with more than one child. </w:t>
      </w:r>
    </w:p>
    <w:p w14:paraId="330CAAC5" w14:textId="20007C4B" w:rsidR="004F4A15" w:rsidRPr="00A735B1" w:rsidRDefault="004F4A15" w:rsidP="00C75D2F">
      <w:pPr>
        <w:spacing w:after="240"/>
        <w:jc w:val="both"/>
        <w:rPr>
          <w:rFonts w:ascii="Houschka Pro" w:hAnsi="Houschka Pro" w:cstheme="minorHAnsi"/>
          <w:bCs/>
          <w:sz w:val="22"/>
        </w:rPr>
      </w:pPr>
      <w:r w:rsidRPr="00A735B1">
        <w:rPr>
          <w:rFonts w:ascii="Houschka Pro" w:hAnsi="Houschka Pro"/>
          <w:bCs/>
          <w:sz w:val="22"/>
        </w:rPr>
        <w:t xml:space="preserve">The disbursement of </w:t>
      </w:r>
      <w:r w:rsidR="006C75FC" w:rsidRPr="00A735B1">
        <w:rPr>
          <w:rFonts w:ascii="Houschka Pro" w:hAnsi="Houschka Pro"/>
          <w:color w:val="000000"/>
          <w:sz w:val="22"/>
        </w:rPr>
        <w:t xml:space="preserve">the one-off </w:t>
      </w:r>
      <w:r w:rsidR="00DB36B0" w:rsidRPr="00A735B1">
        <w:rPr>
          <w:rFonts w:ascii="Houschka Pro" w:hAnsi="Houschka Pro"/>
          <w:color w:val="000000"/>
          <w:sz w:val="22"/>
        </w:rPr>
        <w:t>benefit</w:t>
      </w:r>
      <w:r w:rsidR="006C75FC" w:rsidRPr="00A735B1">
        <w:rPr>
          <w:rFonts w:ascii="Houschka Pro" w:hAnsi="Houschka Pro"/>
          <w:color w:val="000000"/>
          <w:sz w:val="22"/>
        </w:rPr>
        <w:t xml:space="preserve"> </w:t>
      </w:r>
      <w:r w:rsidR="00DB36B0" w:rsidRPr="00A735B1">
        <w:rPr>
          <w:rFonts w:ascii="Houschka Pro" w:hAnsi="Houschka Pro"/>
          <w:color w:val="000000"/>
          <w:sz w:val="22"/>
        </w:rPr>
        <w:t>in the amount of</w:t>
      </w:r>
      <w:r w:rsidR="006C75FC" w:rsidRPr="00A735B1">
        <w:rPr>
          <w:rFonts w:ascii="Houschka Pro" w:hAnsi="Houschka Pro"/>
          <w:color w:val="000000"/>
          <w:sz w:val="22"/>
        </w:rPr>
        <w:t xml:space="preserve"> EUR 100 to all </w:t>
      </w:r>
      <w:r w:rsidR="00DB36B0" w:rsidRPr="00A735B1">
        <w:rPr>
          <w:rFonts w:ascii="Houschka Pro" w:hAnsi="Houschka Pro"/>
          <w:color w:val="000000"/>
          <w:sz w:val="22"/>
        </w:rPr>
        <w:t xml:space="preserve">adult </w:t>
      </w:r>
      <w:r w:rsidR="006C75FC" w:rsidRPr="00A735B1">
        <w:rPr>
          <w:rFonts w:ascii="Houschka Pro" w:hAnsi="Houschka Pro"/>
          <w:color w:val="000000"/>
          <w:sz w:val="22"/>
        </w:rPr>
        <w:t xml:space="preserve">citizens </w:t>
      </w:r>
      <w:r w:rsidRPr="00A735B1">
        <w:rPr>
          <w:rFonts w:ascii="Houschka Pro" w:hAnsi="Houschka Pro"/>
          <w:bCs/>
          <w:sz w:val="22"/>
        </w:rPr>
        <w:t xml:space="preserve">of </w:t>
      </w:r>
      <w:r w:rsidR="00DB36B0" w:rsidRPr="00A735B1">
        <w:rPr>
          <w:rFonts w:ascii="Houschka Pro" w:hAnsi="Houschka Pro"/>
          <w:bCs/>
          <w:sz w:val="22"/>
        </w:rPr>
        <w:t xml:space="preserve">the Republic of </w:t>
      </w:r>
      <w:r w:rsidRPr="00A735B1">
        <w:rPr>
          <w:rFonts w:ascii="Houschka Pro" w:hAnsi="Houschka Pro"/>
          <w:bCs/>
          <w:sz w:val="22"/>
        </w:rPr>
        <w:t xml:space="preserve">Serbia was one of the key measures implemented by the Government. According to </w:t>
      </w:r>
      <w:r w:rsidR="00DB36B0" w:rsidRPr="00A735B1">
        <w:rPr>
          <w:rFonts w:ascii="Houschka Pro" w:hAnsi="Houschka Pro"/>
          <w:bCs/>
          <w:sz w:val="22"/>
        </w:rPr>
        <w:t xml:space="preserve">the Ministry of Finance </w:t>
      </w:r>
      <w:r w:rsidRPr="00A735B1">
        <w:rPr>
          <w:rFonts w:ascii="Houschka Pro" w:hAnsi="Houschka Pro"/>
          <w:bCs/>
          <w:sz w:val="22"/>
        </w:rPr>
        <w:t xml:space="preserve">data, </w:t>
      </w:r>
      <w:r w:rsidR="00DB36B0" w:rsidRPr="00A735B1">
        <w:rPr>
          <w:rFonts w:ascii="Houschka Pro" w:hAnsi="Houschka Pro"/>
          <w:bCs/>
          <w:sz w:val="22"/>
        </w:rPr>
        <w:t xml:space="preserve">a total of </w:t>
      </w:r>
      <w:r w:rsidRPr="00A735B1">
        <w:rPr>
          <w:rFonts w:ascii="Houschka Pro" w:hAnsi="Houschka Pro"/>
          <w:bCs/>
          <w:sz w:val="22"/>
        </w:rPr>
        <w:t xml:space="preserve">6,145,529 adult citizens received this type of financial assistance, which cost the state RSD 72.3 billion. </w:t>
      </w:r>
    </w:p>
    <w:p w14:paraId="3A8AB42A" w14:textId="4A74B77D" w:rsidR="004F4A15" w:rsidRPr="00A735B1" w:rsidRDefault="004F4A15" w:rsidP="00C75D2F">
      <w:pPr>
        <w:spacing w:after="240"/>
        <w:jc w:val="both"/>
        <w:rPr>
          <w:rFonts w:ascii="Houschka Pro" w:hAnsi="Houschka Pro" w:cstheme="minorHAnsi"/>
          <w:sz w:val="22"/>
        </w:rPr>
      </w:pPr>
      <w:r w:rsidRPr="00A735B1">
        <w:rPr>
          <w:rFonts w:ascii="Houschka Pro" w:hAnsi="Houschka Pro"/>
          <w:sz w:val="22"/>
        </w:rPr>
        <w:t xml:space="preserve">This measure resulted in the reduction of the </w:t>
      </w:r>
      <w:r w:rsidR="00DB36B0" w:rsidRPr="00A735B1">
        <w:rPr>
          <w:rFonts w:ascii="Houschka Pro" w:hAnsi="Houschka Pro"/>
          <w:sz w:val="22"/>
        </w:rPr>
        <w:t>at-risk-of-poverty</w:t>
      </w:r>
      <w:r w:rsidRPr="00A735B1">
        <w:rPr>
          <w:rFonts w:ascii="Houschka Pro" w:hAnsi="Houschka Pro"/>
          <w:sz w:val="22"/>
        </w:rPr>
        <w:t xml:space="preserve"> rate by 1.1 percentage points (from 25.7 to 24.6), according to the 2017 SILC survey data. Consequently, </w:t>
      </w:r>
      <w:r w:rsidR="00DB36B0" w:rsidRPr="00A735B1">
        <w:rPr>
          <w:rFonts w:ascii="Houschka Pro" w:hAnsi="Houschka Pro"/>
          <w:sz w:val="22"/>
        </w:rPr>
        <w:t>the measure</w:t>
      </w:r>
      <w:r w:rsidRPr="00A735B1">
        <w:rPr>
          <w:rFonts w:ascii="Houschka Pro" w:hAnsi="Houschka Pro"/>
          <w:sz w:val="22"/>
        </w:rPr>
        <w:t xml:space="preserve"> also had an impact on </w:t>
      </w:r>
      <w:r w:rsidR="00514276" w:rsidRPr="00A735B1">
        <w:rPr>
          <w:rFonts w:ascii="Houschka Pro" w:hAnsi="Houschka Pro"/>
          <w:sz w:val="22"/>
        </w:rPr>
        <w:t xml:space="preserve">the reduction of </w:t>
      </w:r>
      <w:r w:rsidRPr="00A735B1">
        <w:rPr>
          <w:rFonts w:ascii="Houschka Pro" w:hAnsi="Houschka Pro"/>
          <w:sz w:val="22"/>
        </w:rPr>
        <w:t xml:space="preserve">income distribution inequality. The Gini coefficient, as the most widely used indicator of income distribution inequality, </w:t>
      </w:r>
      <w:r w:rsidR="00514276" w:rsidRPr="00A735B1">
        <w:rPr>
          <w:rFonts w:ascii="Houschka Pro" w:hAnsi="Houschka Pro"/>
          <w:sz w:val="22"/>
        </w:rPr>
        <w:t>dropped</w:t>
      </w:r>
      <w:r w:rsidRPr="00A735B1">
        <w:rPr>
          <w:rFonts w:ascii="Houschka Pro" w:hAnsi="Houschka Pro"/>
          <w:sz w:val="22"/>
        </w:rPr>
        <w:t xml:space="preserve"> from 37.8 to 36.3, whereas the S80/S20 quintile ratio </w:t>
      </w:r>
      <w:r w:rsidR="00514276" w:rsidRPr="00A735B1">
        <w:rPr>
          <w:rFonts w:ascii="Houschka Pro" w:hAnsi="Houschka Pro"/>
          <w:sz w:val="22"/>
        </w:rPr>
        <w:t>decreased</w:t>
      </w:r>
      <w:r w:rsidRPr="00A735B1">
        <w:rPr>
          <w:rFonts w:ascii="Houschka Pro" w:hAnsi="Houschka Pro"/>
          <w:sz w:val="22"/>
        </w:rPr>
        <w:t xml:space="preserve"> by 1.3 (from 9.4 to 8.1). At the same time, the absolute poverty rate declined from 7.1% to 4% (according to the HBS for 2018, under the assumption that the entire amount of assistance received was used for consumption, which is realistic </w:t>
      </w:r>
      <w:r w:rsidR="002346F7" w:rsidRPr="00A735B1">
        <w:rPr>
          <w:rFonts w:ascii="Houschka Pro" w:hAnsi="Houschka Pro"/>
          <w:sz w:val="22"/>
        </w:rPr>
        <w:t xml:space="preserve">to assume for </w:t>
      </w:r>
      <w:r w:rsidRPr="00A735B1">
        <w:rPr>
          <w:rFonts w:ascii="Houschka Pro" w:hAnsi="Houschka Pro"/>
          <w:sz w:val="22"/>
        </w:rPr>
        <w:t>the poorest decile).</w:t>
      </w:r>
    </w:p>
    <w:p w14:paraId="25B0972B" w14:textId="2DED312F" w:rsidR="00474495" w:rsidRPr="00A735B1" w:rsidRDefault="004F4A15" w:rsidP="00C75D2F">
      <w:pPr>
        <w:spacing w:after="240"/>
        <w:jc w:val="both"/>
        <w:rPr>
          <w:rFonts w:ascii="Houschka Pro" w:hAnsi="Houschka Pro" w:cstheme="minorHAnsi"/>
        </w:rPr>
      </w:pPr>
      <w:r w:rsidRPr="00A735B1">
        <w:rPr>
          <w:rFonts w:ascii="Houschka Pro" w:hAnsi="Houschka Pro"/>
          <w:sz w:val="22"/>
        </w:rPr>
        <w:t xml:space="preserve">Analyses based on available data additionally confirmed that the same or similar effects on key living standard indicators could have been achieved at significantly lower costs for the budget, by </w:t>
      </w:r>
      <w:r w:rsidR="002346F7" w:rsidRPr="00A735B1">
        <w:rPr>
          <w:rFonts w:ascii="Houschka Pro" w:hAnsi="Houschka Pro"/>
          <w:sz w:val="22"/>
        </w:rPr>
        <w:t>implementing</w:t>
      </w:r>
      <w:r w:rsidRPr="00A735B1">
        <w:rPr>
          <w:rFonts w:ascii="Houschka Pro" w:hAnsi="Houschka Pro"/>
          <w:sz w:val="22"/>
        </w:rPr>
        <w:t xml:space="preserve"> targeted measures. The 20% increase in the </w:t>
      </w:r>
      <w:r w:rsidR="002346F7" w:rsidRPr="00A735B1">
        <w:rPr>
          <w:rFonts w:ascii="Houschka Pro" w:hAnsi="Houschka Pro"/>
          <w:sz w:val="22"/>
        </w:rPr>
        <w:t xml:space="preserve">amounts of </w:t>
      </w:r>
      <w:r w:rsidRPr="00A735B1">
        <w:rPr>
          <w:rFonts w:ascii="Houschka Pro" w:hAnsi="Houschka Pro"/>
          <w:sz w:val="22"/>
        </w:rPr>
        <w:t xml:space="preserve">financial social assistance and/or child allowance </w:t>
      </w:r>
      <w:r w:rsidR="002346F7" w:rsidRPr="00A735B1">
        <w:rPr>
          <w:rFonts w:ascii="Houschka Pro" w:hAnsi="Houschka Pro"/>
          <w:sz w:val="22"/>
        </w:rPr>
        <w:t>for</w:t>
      </w:r>
      <w:r w:rsidRPr="00A735B1">
        <w:rPr>
          <w:rFonts w:ascii="Houschka Pro" w:hAnsi="Houschka Pro"/>
          <w:sz w:val="22"/>
        </w:rPr>
        <w:t xml:space="preserve"> existing users </w:t>
      </w:r>
      <w:r w:rsidR="002346F7" w:rsidRPr="00A735B1">
        <w:rPr>
          <w:rFonts w:ascii="Houschka Pro" w:hAnsi="Houschka Pro"/>
          <w:sz w:val="22"/>
        </w:rPr>
        <w:t>during</w:t>
      </w:r>
      <w:r w:rsidRPr="00A735B1">
        <w:rPr>
          <w:rFonts w:ascii="Houschka Pro" w:hAnsi="Houschka Pro"/>
          <w:sz w:val="22"/>
        </w:rPr>
        <w:t xml:space="preserve"> the </w:t>
      </w:r>
      <w:r w:rsidR="002346F7" w:rsidRPr="00A735B1">
        <w:rPr>
          <w:rFonts w:ascii="Houschka Pro" w:hAnsi="Houschka Pro"/>
          <w:sz w:val="22"/>
        </w:rPr>
        <w:t>state of</w:t>
      </w:r>
      <w:r w:rsidRPr="00A735B1">
        <w:rPr>
          <w:rFonts w:ascii="Houschka Pro" w:hAnsi="Houschka Pro"/>
          <w:sz w:val="22"/>
        </w:rPr>
        <w:t xml:space="preserve"> emergency (3 months) </w:t>
      </w:r>
      <w:r w:rsidR="002346F7" w:rsidRPr="00A735B1">
        <w:rPr>
          <w:rFonts w:ascii="Houschka Pro" w:hAnsi="Houschka Pro"/>
          <w:sz w:val="22"/>
        </w:rPr>
        <w:t>is not</w:t>
      </w:r>
      <w:r w:rsidR="00CA5AF3" w:rsidRPr="00A735B1">
        <w:rPr>
          <w:rFonts w:ascii="Houschka Pro" w:hAnsi="Houschka Pro"/>
          <w:sz w:val="22"/>
        </w:rPr>
        <w:t xml:space="preserve"> </w:t>
      </w:r>
      <w:r w:rsidRPr="00A735B1">
        <w:rPr>
          <w:rFonts w:ascii="Houschka Pro" w:hAnsi="Houschka Pro"/>
          <w:sz w:val="22"/>
        </w:rPr>
        <w:t xml:space="preserve">sufficient to achieve a significant impact on poverty and inequality, </w:t>
      </w:r>
      <w:r w:rsidR="002346F7" w:rsidRPr="00A735B1">
        <w:rPr>
          <w:rFonts w:ascii="Houschka Pro" w:hAnsi="Houschka Pro"/>
          <w:sz w:val="22"/>
        </w:rPr>
        <w:t>regardless of whether poverty is considered in absolute of relative terms</w:t>
      </w:r>
      <w:r w:rsidRPr="00A735B1">
        <w:rPr>
          <w:rFonts w:ascii="Houschka Pro" w:hAnsi="Houschka Pro"/>
          <w:sz w:val="22"/>
        </w:rPr>
        <w:t xml:space="preserve">. </w:t>
      </w:r>
      <w:r w:rsidR="009666D0" w:rsidRPr="00A735B1">
        <w:rPr>
          <w:rFonts w:ascii="Houschka Pro" w:hAnsi="Houschka Pro"/>
          <w:sz w:val="22"/>
        </w:rPr>
        <w:t>T</w:t>
      </w:r>
      <w:r w:rsidR="00CA5AF3" w:rsidRPr="00A735B1">
        <w:rPr>
          <w:rFonts w:ascii="Houschka Pro" w:hAnsi="Houschka Pro"/>
          <w:sz w:val="22"/>
        </w:rPr>
        <w:t xml:space="preserve">he </w:t>
      </w:r>
      <w:r w:rsidR="009666D0" w:rsidRPr="00A735B1">
        <w:rPr>
          <w:rFonts w:ascii="Houschka Pro" w:hAnsi="Houschka Pro"/>
          <w:sz w:val="22"/>
        </w:rPr>
        <w:t xml:space="preserve">very low benefit </w:t>
      </w:r>
      <w:r w:rsidR="00CA5AF3" w:rsidRPr="00A735B1">
        <w:rPr>
          <w:rFonts w:ascii="Houschka Pro" w:hAnsi="Houschka Pro"/>
          <w:sz w:val="22"/>
        </w:rPr>
        <w:t xml:space="preserve">amounts, </w:t>
      </w:r>
      <w:r w:rsidRPr="00A735B1">
        <w:rPr>
          <w:rFonts w:ascii="Houschka Pro" w:hAnsi="Houschka Pro"/>
          <w:sz w:val="22"/>
        </w:rPr>
        <w:t xml:space="preserve">far below the absolute as well as the relative poverty threshold, </w:t>
      </w:r>
      <w:r w:rsidR="009666D0" w:rsidRPr="00A735B1">
        <w:rPr>
          <w:rFonts w:ascii="Houschka Pro" w:hAnsi="Houschka Pro"/>
          <w:sz w:val="22"/>
        </w:rPr>
        <w:t xml:space="preserve">and the small </w:t>
      </w:r>
      <w:r w:rsidRPr="00A735B1">
        <w:rPr>
          <w:rFonts w:ascii="Houschka Pro" w:hAnsi="Houschka Pro"/>
          <w:sz w:val="22"/>
        </w:rPr>
        <w:t xml:space="preserve">number of recipients, </w:t>
      </w:r>
      <w:r w:rsidR="009666D0" w:rsidRPr="00A735B1">
        <w:rPr>
          <w:rFonts w:ascii="Houschka Pro" w:hAnsi="Houschka Pro"/>
          <w:sz w:val="22"/>
        </w:rPr>
        <w:t xml:space="preserve">corroborate </w:t>
      </w:r>
      <w:r w:rsidRPr="00A735B1">
        <w:rPr>
          <w:rFonts w:ascii="Houschka Pro" w:hAnsi="Houschka Pro"/>
          <w:sz w:val="22"/>
        </w:rPr>
        <w:t>these findings</w:t>
      </w:r>
      <w:r w:rsidR="009666D0" w:rsidRPr="00A735B1">
        <w:rPr>
          <w:rFonts w:ascii="Houschka Pro" w:hAnsi="Houschka Pro"/>
          <w:sz w:val="22"/>
        </w:rPr>
        <w:t xml:space="preserve"> and indicate</w:t>
      </w:r>
      <w:r w:rsidRPr="00A735B1">
        <w:rPr>
          <w:rFonts w:ascii="Houschka Pro" w:hAnsi="Houschka Pro"/>
          <w:sz w:val="22"/>
        </w:rPr>
        <w:t xml:space="preserve"> the need for increasing</w:t>
      </w:r>
      <w:r w:rsidR="00CA5AF3" w:rsidRPr="00A735B1">
        <w:rPr>
          <w:rFonts w:ascii="Houschka Pro" w:hAnsi="Houschka Pro"/>
          <w:sz w:val="22"/>
        </w:rPr>
        <w:t xml:space="preserve"> the amounts of</w:t>
      </w:r>
      <w:r w:rsidRPr="00A735B1">
        <w:rPr>
          <w:rFonts w:ascii="Houschka Pro" w:hAnsi="Houschka Pro"/>
          <w:sz w:val="22"/>
        </w:rPr>
        <w:t xml:space="preserve"> these benefits as well as expanding the </w:t>
      </w:r>
      <w:r w:rsidR="009666D0" w:rsidRPr="00A735B1">
        <w:rPr>
          <w:rFonts w:ascii="Houschka Pro" w:hAnsi="Houschka Pro"/>
          <w:sz w:val="22"/>
        </w:rPr>
        <w:t>coverage</w:t>
      </w:r>
      <w:r w:rsidR="00CA5AF3" w:rsidRPr="00A735B1">
        <w:rPr>
          <w:rFonts w:ascii="Houschka Pro" w:hAnsi="Houschka Pro"/>
          <w:sz w:val="22"/>
        </w:rPr>
        <w:t xml:space="preserve"> in order</w:t>
      </w:r>
      <w:r w:rsidRPr="00A735B1">
        <w:rPr>
          <w:rFonts w:ascii="Houschka Pro" w:hAnsi="Houschka Pro"/>
          <w:sz w:val="22"/>
        </w:rPr>
        <w:t xml:space="preserve"> to </w:t>
      </w:r>
      <w:r w:rsidR="009666D0" w:rsidRPr="00A735B1">
        <w:rPr>
          <w:rFonts w:ascii="Houschka Pro" w:hAnsi="Houschka Pro"/>
          <w:sz w:val="22"/>
        </w:rPr>
        <w:t>ensure</w:t>
      </w:r>
      <w:r w:rsidRPr="00A735B1">
        <w:rPr>
          <w:rFonts w:ascii="Houschka Pro" w:hAnsi="Houschka Pro"/>
          <w:sz w:val="22"/>
        </w:rPr>
        <w:t xml:space="preserve"> an optimal </w:t>
      </w:r>
      <w:r w:rsidR="00CA5AF3" w:rsidRPr="00A735B1">
        <w:rPr>
          <w:rFonts w:ascii="Houschka Pro" w:hAnsi="Houschka Pro"/>
          <w:sz w:val="22"/>
        </w:rPr>
        <w:t xml:space="preserve">protection of </w:t>
      </w:r>
      <w:r w:rsidR="009666D0" w:rsidRPr="00A735B1">
        <w:rPr>
          <w:rFonts w:ascii="Houschka Pro" w:hAnsi="Houschka Pro"/>
          <w:sz w:val="22"/>
        </w:rPr>
        <w:t xml:space="preserve">the </w:t>
      </w:r>
      <w:r w:rsidR="00CA5AF3" w:rsidRPr="00A735B1">
        <w:rPr>
          <w:rFonts w:ascii="Houschka Pro" w:hAnsi="Houschka Pro"/>
          <w:sz w:val="22"/>
        </w:rPr>
        <w:t xml:space="preserve">vulnerable </w:t>
      </w:r>
      <w:r w:rsidR="009666D0" w:rsidRPr="00A735B1">
        <w:rPr>
          <w:rFonts w:ascii="Houschka Pro" w:hAnsi="Houschka Pro"/>
          <w:sz w:val="22"/>
        </w:rPr>
        <w:t xml:space="preserve">population </w:t>
      </w:r>
      <w:r w:rsidR="00CA5AF3" w:rsidRPr="00A735B1">
        <w:rPr>
          <w:rFonts w:ascii="Houschka Pro" w:hAnsi="Houschka Pro"/>
          <w:sz w:val="22"/>
        </w:rPr>
        <w:t xml:space="preserve">through </w:t>
      </w:r>
      <w:r w:rsidRPr="00A735B1">
        <w:rPr>
          <w:rFonts w:ascii="Houschka Pro" w:hAnsi="Houschka Pro"/>
          <w:sz w:val="22"/>
        </w:rPr>
        <w:t>social transfers.</w:t>
      </w:r>
    </w:p>
    <w:p w14:paraId="734A5276" w14:textId="26B9C1F2" w:rsidR="006960B4" w:rsidRPr="00A735B1" w:rsidRDefault="006960B4" w:rsidP="00C92E69">
      <w:pPr>
        <w:jc w:val="both"/>
        <w:rPr>
          <w:rFonts w:ascii="Houschka Pro" w:hAnsi="Houschka Pro" w:cstheme="minorHAnsi"/>
          <w:b/>
          <w:bCs/>
          <w:color w:val="345095"/>
          <w:u w:val="single"/>
          <w:lang w:val="sr-Latn-RS"/>
        </w:rPr>
      </w:pPr>
    </w:p>
    <w:p w14:paraId="7C1D7E81" w14:textId="77777777" w:rsidR="00A735B1" w:rsidRDefault="00A735B1">
      <w:pPr>
        <w:rPr>
          <w:rFonts w:ascii="Houschka Pro" w:hAnsi="Houschka Pro"/>
          <w:b/>
          <w:bCs/>
          <w:color w:val="345095"/>
          <w:u w:val="single"/>
        </w:rPr>
      </w:pPr>
      <w:r>
        <w:rPr>
          <w:rFonts w:ascii="Houschka Pro" w:hAnsi="Houschka Pro"/>
          <w:b/>
          <w:bCs/>
          <w:color w:val="345095"/>
          <w:u w:val="single"/>
        </w:rPr>
        <w:br w:type="page"/>
      </w:r>
    </w:p>
    <w:p w14:paraId="65A15EDC" w14:textId="132B385A" w:rsidR="004C5670" w:rsidRPr="00A735B1" w:rsidRDefault="009666D0" w:rsidP="00C92E69">
      <w:pPr>
        <w:jc w:val="both"/>
        <w:rPr>
          <w:rFonts w:ascii="Houschka Pro" w:hAnsi="Houschka Pro" w:cstheme="minorHAnsi"/>
          <w:b/>
          <w:bCs/>
          <w:u w:val="single"/>
        </w:rPr>
      </w:pPr>
      <w:r w:rsidRPr="00A735B1">
        <w:rPr>
          <w:rFonts w:ascii="Houschka Pro" w:hAnsi="Houschka Pro"/>
          <w:b/>
          <w:bCs/>
          <w:color w:val="345095"/>
          <w:u w:val="single"/>
        </w:rPr>
        <w:lastRenderedPageBreak/>
        <w:t>Assessment of the t</w:t>
      </w:r>
      <w:r w:rsidR="004F4A15" w:rsidRPr="00A735B1">
        <w:rPr>
          <w:rFonts w:ascii="Houschka Pro" w:hAnsi="Houschka Pro"/>
          <w:b/>
          <w:bCs/>
          <w:color w:val="345095"/>
          <w:u w:val="single"/>
        </w:rPr>
        <w:t xml:space="preserve">rends of </w:t>
      </w:r>
      <w:r w:rsidRPr="00A735B1">
        <w:rPr>
          <w:rFonts w:ascii="Houschka Pro" w:hAnsi="Houschka Pro"/>
          <w:b/>
          <w:bCs/>
          <w:color w:val="345095"/>
          <w:u w:val="single"/>
        </w:rPr>
        <w:t>expenditures on</w:t>
      </w:r>
      <w:r w:rsidR="004F4A15" w:rsidRPr="00A735B1">
        <w:rPr>
          <w:rFonts w:ascii="Houschka Pro" w:hAnsi="Houschka Pro"/>
          <w:b/>
          <w:bCs/>
          <w:color w:val="345095"/>
          <w:u w:val="single"/>
        </w:rPr>
        <w:t xml:space="preserve"> the protection of the most vulnerable </w:t>
      </w:r>
      <w:r w:rsidRPr="00A735B1">
        <w:rPr>
          <w:rFonts w:ascii="Houschka Pro" w:hAnsi="Houschka Pro"/>
          <w:b/>
          <w:bCs/>
          <w:color w:val="345095"/>
          <w:u w:val="single"/>
        </w:rPr>
        <w:t xml:space="preserve">population </w:t>
      </w:r>
      <w:r w:rsidR="004F4A15" w:rsidRPr="00A735B1">
        <w:rPr>
          <w:rFonts w:ascii="Houschka Pro" w:hAnsi="Houschka Pro"/>
          <w:b/>
          <w:bCs/>
          <w:color w:val="345095"/>
          <w:u w:val="single"/>
        </w:rPr>
        <w:t>during the Covid-19 pandemic</w:t>
      </w:r>
    </w:p>
    <w:p w14:paraId="23FD43EC" w14:textId="1974E76D" w:rsidR="00F10A5F" w:rsidRPr="00A735B1" w:rsidRDefault="00F209A7" w:rsidP="00C92E69">
      <w:pPr>
        <w:pStyle w:val="NormalWeb"/>
        <w:jc w:val="both"/>
        <w:rPr>
          <w:rFonts w:ascii="Houschka Pro" w:hAnsi="Houschka Pro" w:cstheme="minorHAnsi"/>
          <w:sz w:val="22"/>
        </w:rPr>
      </w:pPr>
      <w:r w:rsidRPr="00A735B1">
        <w:rPr>
          <w:rFonts w:ascii="Houschka Pro" w:hAnsi="Houschka Pro"/>
          <w:sz w:val="22"/>
        </w:rPr>
        <w:t xml:space="preserve">According to the </w:t>
      </w:r>
      <w:r w:rsidR="009666D0" w:rsidRPr="00A735B1">
        <w:rPr>
          <w:rFonts w:ascii="Houschka Pro" w:hAnsi="Houschka Pro"/>
          <w:sz w:val="22"/>
        </w:rPr>
        <w:t xml:space="preserve">Ministry of </w:t>
      </w:r>
      <w:r w:rsidRPr="00A735B1">
        <w:rPr>
          <w:rFonts w:ascii="Houschka Pro" w:hAnsi="Houschka Pro"/>
          <w:sz w:val="22"/>
        </w:rPr>
        <w:t xml:space="preserve">Finance, during the state of national emergency (lockdown) introduced in response to the Covid-19 </w:t>
      </w:r>
      <w:r w:rsidR="009666D0" w:rsidRPr="00A735B1">
        <w:rPr>
          <w:rFonts w:ascii="Houschka Pro" w:hAnsi="Houschka Pro"/>
          <w:sz w:val="22"/>
        </w:rPr>
        <w:t>pandemic</w:t>
      </w:r>
      <w:r w:rsidRPr="00A735B1">
        <w:rPr>
          <w:rFonts w:ascii="Houschka Pro" w:hAnsi="Houschka Pro"/>
          <w:sz w:val="22"/>
        </w:rPr>
        <w:t>, expenditures</w:t>
      </w:r>
      <w:r w:rsidR="00CA5AF3" w:rsidRPr="00A735B1">
        <w:rPr>
          <w:rFonts w:ascii="Houschka Pro" w:hAnsi="Houschka Pro"/>
          <w:sz w:val="22"/>
        </w:rPr>
        <w:t xml:space="preserve"> </w:t>
      </w:r>
      <w:r w:rsidR="009666D0" w:rsidRPr="00A735B1">
        <w:rPr>
          <w:rFonts w:ascii="Houschka Pro" w:hAnsi="Houschka Pro"/>
          <w:sz w:val="22"/>
        </w:rPr>
        <w:t>on</w:t>
      </w:r>
      <w:r w:rsidRPr="00A735B1">
        <w:rPr>
          <w:rFonts w:ascii="Houschka Pro" w:hAnsi="Houschka Pro"/>
          <w:sz w:val="22"/>
        </w:rPr>
        <w:t xml:space="preserve"> </w:t>
      </w:r>
      <w:r w:rsidRPr="00A735B1">
        <w:rPr>
          <w:rFonts w:ascii="Houschka Pro" w:hAnsi="Houschka Pro"/>
          <w:i/>
          <w:sz w:val="22"/>
        </w:rPr>
        <w:t>social assistance</w:t>
      </w:r>
      <w:r w:rsidRPr="00A735B1">
        <w:rPr>
          <w:rFonts w:ascii="Houschka Pro" w:hAnsi="Houschka Pro"/>
          <w:sz w:val="22"/>
        </w:rPr>
        <w:t xml:space="preserve"> </w:t>
      </w:r>
      <w:r w:rsidR="009666D0" w:rsidRPr="00A735B1">
        <w:rPr>
          <w:rFonts w:ascii="Houschka Pro" w:hAnsi="Houschka Pro"/>
          <w:sz w:val="22"/>
        </w:rPr>
        <w:t xml:space="preserve">measures </w:t>
      </w:r>
      <w:r w:rsidRPr="00A735B1">
        <w:rPr>
          <w:rFonts w:ascii="Houschka Pro" w:hAnsi="Houschka Pro"/>
          <w:sz w:val="22"/>
        </w:rPr>
        <w:t xml:space="preserve">did not </w:t>
      </w:r>
      <w:r w:rsidR="009666D0" w:rsidRPr="00A735B1">
        <w:rPr>
          <w:rFonts w:ascii="Houschka Pro" w:hAnsi="Houschka Pro"/>
          <w:sz w:val="22"/>
        </w:rPr>
        <w:t>increase</w:t>
      </w:r>
      <w:r w:rsidRPr="00A735B1">
        <w:rPr>
          <w:rFonts w:ascii="Houschka Pro" w:hAnsi="Houschka Pro"/>
          <w:sz w:val="22"/>
        </w:rPr>
        <w:t xml:space="preserve">. </w:t>
      </w:r>
      <w:r w:rsidR="009666D0" w:rsidRPr="00A735B1">
        <w:rPr>
          <w:rFonts w:ascii="Houschka Pro" w:hAnsi="Houschka Pro"/>
          <w:sz w:val="22"/>
        </w:rPr>
        <w:t>The m</w:t>
      </w:r>
      <w:r w:rsidRPr="00A735B1">
        <w:rPr>
          <w:rFonts w:ascii="Houschka Pro" w:hAnsi="Houschka Pro"/>
          <w:sz w:val="22"/>
        </w:rPr>
        <w:t xml:space="preserve">onthly expenditures in the first six months of 2020 were, on average, stable and </w:t>
      </w:r>
      <w:r w:rsidR="009666D0" w:rsidRPr="00A735B1">
        <w:rPr>
          <w:rFonts w:ascii="Houschka Pro" w:hAnsi="Houschka Pro"/>
          <w:sz w:val="22"/>
        </w:rPr>
        <w:t>amounted to</w:t>
      </w:r>
      <w:r w:rsidRPr="00A735B1">
        <w:rPr>
          <w:rFonts w:ascii="Houschka Pro" w:hAnsi="Houschka Pro"/>
          <w:sz w:val="22"/>
        </w:rPr>
        <w:t xml:space="preserve"> RSD 12.6 billion. The only item in the </w:t>
      </w:r>
      <w:r w:rsidR="009666D0" w:rsidRPr="00A735B1">
        <w:rPr>
          <w:rFonts w:ascii="Houschka Pro" w:hAnsi="Houschka Pro"/>
          <w:sz w:val="22"/>
        </w:rPr>
        <w:t>“s</w:t>
      </w:r>
      <w:r w:rsidRPr="00A735B1">
        <w:rPr>
          <w:rFonts w:ascii="Houschka Pro" w:hAnsi="Houschka Pro"/>
          <w:sz w:val="22"/>
        </w:rPr>
        <w:t xml:space="preserve">ocial assistance and transfers to the population” </w:t>
      </w:r>
      <w:r w:rsidR="009666D0" w:rsidRPr="00A735B1">
        <w:rPr>
          <w:rFonts w:ascii="Houschka Pro" w:hAnsi="Houschka Pro"/>
          <w:sz w:val="22"/>
        </w:rPr>
        <w:t xml:space="preserve">expenditure category </w:t>
      </w:r>
      <w:r w:rsidRPr="00A735B1">
        <w:rPr>
          <w:rFonts w:ascii="Houschka Pro" w:hAnsi="Houschka Pro"/>
          <w:sz w:val="22"/>
        </w:rPr>
        <w:t xml:space="preserve">that displayed characteristics of sensitivity to the crisis was “Other transfers to the population”, </w:t>
      </w:r>
      <w:r w:rsidR="009666D0" w:rsidRPr="00A735B1">
        <w:rPr>
          <w:rFonts w:ascii="Houschka Pro" w:hAnsi="Houschka Pro"/>
          <w:sz w:val="22"/>
        </w:rPr>
        <w:t>which</w:t>
      </w:r>
      <w:r w:rsidRPr="00A735B1">
        <w:rPr>
          <w:rFonts w:ascii="Houschka Pro" w:hAnsi="Houschka Pro"/>
          <w:sz w:val="22"/>
        </w:rPr>
        <w:t xml:space="preserve"> registered an increase of over </w:t>
      </w:r>
      <w:r w:rsidR="009666D0" w:rsidRPr="00A735B1">
        <w:rPr>
          <w:rFonts w:ascii="Houschka Pro" w:hAnsi="Houschka Pro"/>
          <w:sz w:val="22"/>
        </w:rPr>
        <w:t>RSD 6</w:t>
      </w:r>
      <w:r w:rsidRPr="00A735B1">
        <w:rPr>
          <w:rFonts w:ascii="Houschka Pro" w:hAnsi="Houschka Pro"/>
          <w:sz w:val="22"/>
        </w:rPr>
        <w:t xml:space="preserve"> billion in April 2020, relative to the average monthly values in the first six months of 2020</w:t>
      </w:r>
      <w:r w:rsidR="00404290" w:rsidRPr="00A735B1">
        <w:rPr>
          <w:rStyle w:val="FootnoteReference"/>
          <w:rFonts w:ascii="Houschka Pro" w:hAnsi="Houschka Pro" w:cstheme="minorHAnsi"/>
          <w:sz w:val="22"/>
          <w:lang w:val="sr-Latn-RS"/>
        </w:rPr>
        <w:footnoteReference w:id="4"/>
      </w:r>
      <w:r w:rsidRPr="00A735B1">
        <w:rPr>
          <w:rFonts w:ascii="Houschka Pro" w:hAnsi="Houschka Pro"/>
          <w:sz w:val="22"/>
        </w:rPr>
        <w:t xml:space="preserve">. </w:t>
      </w:r>
    </w:p>
    <w:p w14:paraId="40362E48" w14:textId="42622BA5" w:rsidR="00404290" w:rsidRPr="00A735B1" w:rsidRDefault="007D774E" w:rsidP="00C92E69">
      <w:pPr>
        <w:pStyle w:val="NormalWeb"/>
        <w:jc w:val="both"/>
        <w:rPr>
          <w:rFonts w:ascii="Houschka Pro" w:hAnsi="Houschka Pro" w:cstheme="minorHAnsi"/>
        </w:rPr>
      </w:pPr>
      <w:r w:rsidRPr="00A735B1">
        <w:rPr>
          <w:rFonts w:ascii="Houschka Pro" w:hAnsi="Houschka Pro"/>
          <w:sz w:val="22"/>
        </w:rPr>
        <w:t>I</w:t>
      </w:r>
      <w:r w:rsidR="00F209A7" w:rsidRPr="00A735B1">
        <w:rPr>
          <w:rFonts w:ascii="Houschka Pro" w:hAnsi="Houschka Pro"/>
          <w:sz w:val="22"/>
        </w:rPr>
        <w:t>n the longer-term</w:t>
      </w:r>
      <w:r w:rsidRPr="00A735B1">
        <w:rPr>
          <w:rFonts w:ascii="Houschka Pro" w:hAnsi="Houschka Pro"/>
          <w:sz w:val="22"/>
        </w:rPr>
        <w:t>, the matter that raises concern</w:t>
      </w:r>
      <w:r w:rsidR="00F209A7" w:rsidRPr="00A735B1">
        <w:rPr>
          <w:rFonts w:ascii="Houschka Pro" w:hAnsi="Houschka Pro"/>
          <w:sz w:val="22"/>
        </w:rPr>
        <w:t xml:space="preserve"> is the trend of the </w:t>
      </w:r>
      <w:r w:rsidRPr="00A735B1">
        <w:rPr>
          <w:rFonts w:ascii="Houschka Pro" w:hAnsi="Houschka Pro"/>
          <w:sz w:val="22"/>
        </w:rPr>
        <w:t xml:space="preserve">expenditure levels within the </w:t>
      </w:r>
      <w:r w:rsidR="00F209A7" w:rsidRPr="00A735B1">
        <w:rPr>
          <w:rFonts w:ascii="Houschka Pro" w:hAnsi="Houschka Pro"/>
          <w:i/>
          <w:sz w:val="22"/>
        </w:rPr>
        <w:t>Social assistance</w:t>
      </w:r>
      <w:r w:rsidR="00F209A7" w:rsidRPr="00A735B1">
        <w:rPr>
          <w:rFonts w:ascii="Houschka Pro" w:hAnsi="Houschka Pro"/>
          <w:sz w:val="22"/>
        </w:rPr>
        <w:t xml:space="preserve"> category. </w:t>
      </w:r>
      <w:r w:rsidRPr="00A735B1">
        <w:rPr>
          <w:rFonts w:ascii="Houschka Pro" w:hAnsi="Houschka Pro"/>
          <w:sz w:val="22"/>
        </w:rPr>
        <w:t>T</w:t>
      </w:r>
      <w:r w:rsidR="00F209A7" w:rsidRPr="00A735B1">
        <w:rPr>
          <w:rFonts w:ascii="Houschka Pro" w:hAnsi="Houschka Pro"/>
          <w:sz w:val="22"/>
        </w:rPr>
        <w:t xml:space="preserve">his category’s share in the GDP </w:t>
      </w:r>
      <w:r w:rsidRPr="00A735B1">
        <w:rPr>
          <w:rFonts w:ascii="Houschka Pro" w:hAnsi="Houschka Pro"/>
          <w:sz w:val="22"/>
        </w:rPr>
        <w:t>steadily decreased</w:t>
      </w:r>
      <w:r w:rsidR="00F209A7" w:rsidRPr="00A735B1">
        <w:rPr>
          <w:rFonts w:ascii="Houschka Pro" w:hAnsi="Houschka Pro"/>
          <w:sz w:val="22"/>
        </w:rPr>
        <w:t xml:space="preserve">, from 3.9% </w:t>
      </w:r>
      <w:r w:rsidRPr="00A735B1">
        <w:rPr>
          <w:rFonts w:ascii="Houschka Pro" w:hAnsi="Houschka Pro"/>
          <w:sz w:val="22"/>
        </w:rPr>
        <w:t xml:space="preserve">of the GDP </w:t>
      </w:r>
      <w:r w:rsidR="00F209A7" w:rsidRPr="00A735B1">
        <w:rPr>
          <w:rFonts w:ascii="Houschka Pro" w:hAnsi="Houschka Pro"/>
          <w:sz w:val="22"/>
        </w:rPr>
        <w:t>in 2015 to a mere 3.1% of GDP in 2019.</w:t>
      </w:r>
      <w:r w:rsidR="00F209A7" w:rsidRPr="00A735B1">
        <w:rPr>
          <w:rFonts w:ascii="Houschka Pro" w:hAnsi="Houschka Pro"/>
        </w:rPr>
        <w:t xml:space="preserve"> </w:t>
      </w:r>
    </w:p>
    <w:p w14:paraId="725F27CE" w14:textId="60F70791" w:rsidR="00701042" w:rsidRPr="00A735B1" w:rsidRDefault="00EF297B" w:rsidP="00C92E69">
      <w:pPr>
        <w:pStyle w:val="NormalWeb"/>
        <w:spacing w:before="0" w:beforeAutospacing="0" w:after="0" w:afterAutospacing="0"/>
        <w:jc w:val="both"/>
        <w:rPr>
          <w:rFonts w:ascii="Houschka Pro" w:hAnsi="Houschka Pro" w:cstheme="minorHAnsi"/>
          <w:b/>
          <w:bCs/>
        </w:rPr>
      </w:pPr>
      <w:r w:rsidRPr="00A735B1">
        <w:rPr>
          <w:rFonts w:ascii="Houschka Pro" w:hAnsi="Houschka Pro"/>
          <w:noProof/>
          <w:lang w:val="en-US" w:eastAsia="en-US"/>
        </w:rPr>
        <w:drawing>
          <wp:inline distT="0" distB="0" distL="0" distR="0" wp14:anchorId="082A4189" wp14:editId="5C2B423D">
            <wp:extent cx="5743575" cy="4143375"/>
            <wp:effectExtent l="0" t="0" r="9525" b="9525"/>
            <wp:docPr id="4" name="Chart 4">
              <a:extLst xmlns:a="http://schemas.openxmlformats.org/drawingml/2006/main">
                <a:ext uri="{FF2B5EF4-FFF2-40B4-BE49-F238E27FC236}">
                  <a16:creationId xmlns:a16="http://schemas.microsoft.com/office/drawing/2014/main" id="{6D94E8A4-B02B-DA4C-B680-14474F935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735B1">
        <w:rPr>
          <w:rFonts w:ascii="Houschka Pro" w:hAnsi="Houschka Pro"/>
        </w:rPr>
        <w:t xml:space="preserve"> </w:t>
      </w:r>
      <w:r w:rsidRPr="00A735B1">
        <w:rPr>
          <w:rFonts w:ascii="Houschka Pro" w:hAnsi="Houschka Pro"/>
          <w:i/>
          <w:iCs/>
          <w:sz w:val="20"/>
          <w:szCs w:val="22"/>
        </w:rPr>
        <w:t>Source: Ministry of Finance, Public Finance Newsletter</w:t>
      </w:r>
    </w:p>
    <w:sectPr w:rsidR="00701042" w:rsidRPr="00A735B1" w:rsidSect="00A735B1">
      <w:pgSz w:w="11906" w:h="16838" w:code="9"/>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5869" w14:textId="77777777" w:rsidR="005F1963" w:rsidRDefault="005F1963" w:rsidP="00404290">
      <w:r>
        <w:separator/>
      </w:r>
    </w:p>
  </w:endnote>
  <w:endnote w:type="continuationSeparator" w:id="0">
    <w:p w14:paraId="00A189E2" w14:textId="77777777" w:rsidR="005F1963" w:rsidRDefault="005F1963" w:rsidP="0040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ouschka Pro">
    <w:panose1 w:val="02000603000000020003"/>
    <w:charset w:val="00"/>
    <w:family w:val="modern"/>
    <w:notTrueType/>
    <w:pitch w:val="variable"/>
    <w:sig w:usb0="800002AF" w:usb1="5000204A"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76BC" w14:textId="77777777" w:rsidR="005F1963" w:rsidRDefault="005F1963" w:rsidP="00404290">
      <w:r>
        <w:separator/>
      </w:r>
    </w:p>
  </w:footnote>
  <w:footnote w:type="continuationSeparator" w:id="0">
    <w:p w14:paraId="58366D20" w14:textId="77777777" w:rsidR="005F1963" w:rsidRDefault="005F1963" w:rsidP="00404290">
      <w:r>
        <w:continuationSeparator/>
      </w:r>
    </w:p>
  </w:footnote>
  <w:footnote w:id="1">
    <w:p w14:paraId="3C70DC55" w14:textId="7F2DC556" w:rsidR="00D80725" w:rsidRPr="00D80725" w:rsidRDefault="00D80725" w:rsidP="00D80725">
      <w:pPr>
        <w:pStyle w:val="FootnoteText"/>
        <w:jc w:val="both"/>
        <w:rPr>
          <w:rFonts w:ascii="Houschka Pro" w:hAnsi="Houschka Pro"/>
          <w:sz w:val="18"/>
        </w:rPr>
      </w:pPr>
      <w:r>
        <w:rPr>
          <w:rStyle w:val="FootnoteReference"/>
          <w:rFonts w:ascii="Houschka Pro" w:hAnsi="Houschka Pro"/>
          <w:sz w:val="18"/>
          <w:lang w:val="sr-Cyrl-RS"/>
        </w:rPr>
        <w:footnoteRef/>
      </w:r>
      <w:r>
        <w:rPr>
          <w:rFonts w:ascii="Houschka Pro" w:hAnsi="Houschka Pro"/>
          <w:sz w:val="18"/>
        </w:rPr>
        <w:t xml:space="preserve"> The value of the AROP threshold (relative poverty line) is set at 60% of median national </w:t>
      </w:r>
      <w:proofErr w:type="spellStart"/>
      <w:r>
        <w:rPr>
          <w:rFonts w:ascii="Houschka Pro" w:hAnsi="Houschka Pro"/>
          <w:sz w:val="18"/>
        </w:rPr>
        <w:t>equivalized</w:t>
      </w:r>
      <w:proofErr w:type="spellEnd"/>
      <w:r>
        <w:rPr>
          <w:rFonts w:ascii="Houschka Pro" w:hAnsi="Houschka Pro"/>
          <w:sz w:val="18"/>
        </w:rPr>
        <w:t xml:space="preserve"> disposable income and is expressed in dinars.</w:t>
      </w:r>
    </w:p>
  </w:footnote>
  <w:footnote w:id="2">
    <w:p w14:paraId="6BEC6AE8" w14:textId="177880C6" w:rsidR="00D80725" w:rsidRPr="00D80725" w:rsidRDefault="00D80725" w:rsidP="00D80725">
      <w:pPr>
        <w:pStyle w:val="FootnoteText"/>
        <w:jc w:val="both"/>
        <w:rPr>
          <w:rFonts w:ascii="Houschka Pro" w:hAnsi="Houschka Pro"/>
          <w:sz w:val="18"/>
        </w:rPr>
      </w:pPr>
      <w:r>
        <w:rPr>
          <w:rStyle w:val="FootnoteReference"/>
          <w:rFonts w:ascii="Houschka Pro" w:hAnsi="Houschka Pro"/>
          <w:sz w:val="18"/>
          <w:lang w:val="sr-Cyrl-RS"/>
        </w:rPr>
        <w:footnoteRef/>
      </w:r>
      <w:r>
        <w:rPr>
          <w:rFonts w:ascii="Houschka Pro" w:hAnsi="Houschka Pro"/>
          <w:sz w:val="18"/>
        </w:rPr>
        <w:t xml:space="preserve"> The reference period for income is 2018, so the comparative analysis of income growth refers to income earned in 2017 and 2018.</w:t>
      </w:r>
    </w:p>
  </w:footnote>
  <w:footnote w:id="3">
    <w:p w14:paraId="019AA3DD" w14:textId="2EBEF3C0" w:rsidR="00D80725" w:rsidRPr="00D80725" w:rsidRDefault="00D80725" w:rsidP="00D80725">
      <w:pPr>
        <w:pStyle w:val="FootnoteText"/>
      </w:pPr>
      <w:r>
        <w:rPr>
          <w:rStyle w:val="FootnoteReference"/>
        </w:rPr>
        <w:footnoteRef/>
      </w:r>
      <w:r>
        <w:t xml:space="preserve"> </w:t>
      </w:r>
      <w:r>
        <w:rPr>
          <w:rFonts w:ascii="Houschka Pro" w:hAnsi="Houschka Pro"/>
          <w:sz w:val="18"/>
        </w:rPr>
        <w:t>According to SORS data for the period 1 December 2018</w:t>
      </w:r>
      <w:r w:rsidR="00C13037">
        <w:rPr>
          <w:rFonts w:ascii="Houschka Pro" w:hAnsi="Houschka Pro"/>
          <w:sz w:val="18"/>
        </w:rPr>
        <w:t xml:space="preserve"> – </w:t>
      </w:r>
      <w:r>
        <w:rPr>
          <w:rFonts w:ascii="Houschka Pro" w:hAnsi="Houschka Pro"/>
          <w:sz w:val="18"/>
        </w:rPr>
        <w:t xml:space="preserve">1 December 2019, </w:t>
      </w:r>
      <w:hyperlink r:id="rId1" w:history="1">
        <w:r>
          <w:rPr>
            <w:rStyle w:val="Hyperlink"/>
            <w:rFonts w:ascii="Houschka Pro" w:hAnsi="Houschka Pro"/>
            <w:sz w:val="18"/>
          </w:rPr>
          <w:t>https://publikacije.stat.gov.rs/G2019/Pdf/G20191041.pdf</w:t>
        </w:r>
      </w:hyperlink>
      <w:r>
        <w:rPr>
          <w:rFonts w:ascii="Houschka Pro" w:hAnsi="Houschka Pro"/>
          <w:sz w:val="18"/>
        </w:rPr>
        <w:t xml:space="preserve"> </w:t>
      </w:r>
    </w:p>
  </w:footnote>
  <w:footnote w:id="4">
    <w:p w14:paraId="77D266E2" w14:textId="491B5B88" w:rsidR="00404290" w:rsidRPr="00D80725" w:rsidRDefault="00404290" w:rsidP="00D80725">
      <w:pPr>
        <w:pStyle w:val="FootnoteText"/>
        <w:jc w:val="both"/>
        <w:rPr>
          <w:rFonts w:ascii="Houschka Pro" w:hAnsi="Houschka Pro"/>
          <w:sz w:val="18"/>
        </w:rPr>
      </w:pPr>
      <w:r>
        <w:rPr>
          <w:rStyle w:val="FootnoteReference"/>
          <w:rFonts w:ascii="Houschka Pro" w:hAnsi="Houschka Pro"/>
          <w:sz w:val="18"/>
          <w:lang w:val="sr-Cyrl-RS"/>
        </w:rPr>
        <w:footnoteRef/>
      </w:r>
      <w:r>
        <w:rPr>
          <w:rFonts w:ascii="Houschka Pro" w:hAnsi="Houschka Pro"/>
          <w:sz w:val="18"/>
        </w:rPr>
        <w:t xml:space="preserve"> According to </w:t>
      </w:r>
      <w:r w:rsidR="007D774E">
        <w:rPr>
          <w:rFonts w:ascii="Houschka Pro" w:hAnsi="Houschka Pro"/>
          <w:sz w:val="18"/>
        </w:rPr>
        <w:t xml:space="preserve">Ministry of </w:t>
      </w:r>
      <w:r>
        <w:rPr>
          <w:rFonts w:ascii="Houschka Pro" w:hAnsi="Houschka Pro"/>
          <w:sz w:val="18"/>
        </w:rPr>
        <w:t xml:space="preserve">Finance </w:t>
      </w:r>
      <w:r w:rsidR="007D774E">
        <w:rPr>
          <w:rFonts w:ascii="Houschka Pro" w:hAnsi="Houschka Pro"/>
          <w:sz w:val="18"/>
        </w:rPr>
        <w:t>data</w:t>
      </w:r>
      <w:r>
        <w:rPr>
          <w:rFonts w:ascii="Houschka Pro" w:hAnsi="Houschka Pro"/>
          <w:sz w:val="18"/>
        </w:rPr>
        <w:t>, Public Finance Newsletter, August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60270"/>
    <w:multiLevelType w:val="hybridMultilevel"/>
    <w:tmpl w:val="F05A39D2"/>
    <w:lvl w:ilvl="0" w:tplc="AA9E01D0">
      <w:start w:val="22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B3"/>
    <w:rsid w:val="00015090"/>
    <w:rsid w:val="0002587D"/>
    <w:rsid w:val="00035CAB"/>
    <w:rsid w:val="00076897"/>
    <w:rsid w:val="00090F06"/>
    <w:rsid w:val="00094E26"/>
    <w:rsid w:val="000A3C23"/>
    <w:rsid w:val="000B1BBD"/>
    <w:rsid w:val="000C5AFB"/>
    <w:rsid w:val="000D2675"/>
    <w:rsid w:val="000D7B44"/>
    <w:rsid w:val="000E5B3A"/>
    <w:rsid w:val="000F27A6"/>
    <w:rsid w:val="00102619"/>
    <w:rsid w:val="00105ED3"/>
    <w:rsid w:val="001330DE"/>
    <w:rsid w:val="001445C6"/>
    <w:rsid w:val="00153937"/>
    <w:rsid w:val="00165231"/>
    <w:rsid w:val="00166D74"/>
    <w:rsid w:val="0019706B"/>
    <w:rsid w:val="001A50E1"/>
    <w:rsid w:val="001D306D"/>
    <w:rsid w:val="001D73A6"/>
    <w:rsid w:val="001D7A91"/>
    <w:rsid w:val="001E0941"/>
    <w:rsid w:val="002269AF"/>
    <w:rsid w:val="002346F7"/>
    <w:rsid w:val="00247FE5"/>
    <w:rsid w:val="00262EA3"/>
    <w:rsid w:val="00283C48"/>
    <w:rsid w:val="00286E34"/>
    <w:rsid w:val="002F16B3"/>
    <w:rsid w:val="002F3C99"/>
    <w:rsid w:val="003014C0"/>
    <w:rsid w:val="003056FA"/>
    <w:rsid w:val="003306B5"/>
    <w:rsid w:val="00362883"/>
    <w:rsid w:val="0037365F"/>
    <w:rsid w:val="00384B4B"/>
    <w:rsid w:val="00387D01"/>
    <w:rsid w:val="003A37D2"/>
    <w:rsid w:val="003A529C"/>
    <w:rsid w:val="003B0A40"/>
    <w:rsid w:val="003B4731"/>
    <w:rsid w:val="003C2A95"/>
    <w:rsid w:val="003F34D5"/>
    <w:rsid w:val="00404290"/>
    <w:rsid w:val="0045135F"/>
    <w:rsid w:val="0046042A"/>
    <w:rsid w:val="00474495"/>
    <w:rsid w:val="004A7EBE"/>
    <w:rsid w:val="004C22D6"/>
    <w:rsid w:val="004C5670"/>
    <w:rsid w:val="004F4A15"/>
    <w:rsid w:val="00502CDF"/>
    <w:rsid w:val="00514276"/>
    <w:rsid w:val="005371BE"/>
    <w:rsid w:val="00540F7E"/>
    <w:rsid w:val="00542219"/>
    <w:rsid w:val="005A509B"/>
    <w:rsid w:val="005C6E1B"/>
    <w:rsid w:val="005E5BD9"/>
    <w:rsid w:val="005E6EE0"/>
    <w:rsid w:val="005F1963"/>
    <w:rsid w:val="00642B20"/>
    <w:rsid w:val="00645C1C"/>
    <w:rsid w:val="00647BAD"/>
    <w:rsid w:val="006635C3"/>
    <w:rsid w:val="00685F99"/>
    <w:rsid w:val="006943FA"/>
    <w:rsid w:val="00695A71"/>
    <w:rsid w:val="006960B4"/>
    <w:rsid w:val="006971AB"/>
    <w:rsid w:val="006C75FC"/>
    <w:rsid w:val="006D79A4"/>
    <w:rsid w:val="006F2372"/>
    <w:rsid w:val="00701042"/>
    <w:rsid w:val="007225F5"/>
    <w:rsid w:val="0074081F"/>
    <w:rsid w:val="00757563"/>
    <w:rsid w:val="0079355F"/>
    <w:rsid w:val="00794A19"/>
    <w:rsid w:val="007B4E39"/>
    <w:rsid w:val="007B5053"/>
    <w:rsid w:val="007D774E"/>
    <w:rsid w:val="0081290E"/>
    <w:rsid w:val="0082627C"/>
    <w:rsid w:val="00835864"/>
    <w:rsid w:val="00841BC7"/>
    <w:rsid w:val="0085250F"/>
    <w:rsid w:val="00881818"/>
    <w:rsid w:val="008924EE"/>
    <w:rsid w:val="008B4FC8"/>
    <w:rsid w:val="008E6904"/>
    <w:rsid w:val="008E6E78"/>
    <w:rsid w:val="008F2C37"/>
    <w:rsid w:val="00904FF2"/>
    <w:rsid w:val="00906EC5"/>
    <w:rsid w:val="009666D0"/>
    <w:rsid w:val="0097700D"/>
    <w:rsid w:val="00982FC7"/>
    <w:rsid w:val="009B0636"/>
    <w:rsid w:val="009B3845"/>
    <w:rsid w:val="009C123F"/>
    <w:rsid w:val="009E220E"/>
    <w:rsid w:val="00A2012B"/>
    <w:rsid w:val="00A30B9C"/>
    <w:rsid w:val="00A37774"/>
    <w:rsid w:val="00A61992"/>
    <w:rsid w:val="00A735B1"/>
    <w:rsid w:val="00AC63DA"/>
    <w:rsid w:val="00AE50C0"/>
    <w:rsid w:val="00B148A7"/>
    <w:rsid w:val="00B33007"/>
    <w:rsid w:val="00B63CA6"/>
    <w:rsid w:val="00B772B7"/>
    <w:rsid w:val="00B866A6"/>
    <w:rsid w:val="00BB2BB3"/>
    <w:rsid w:val="00BC2D80"/>
    <w:rsid w:val="00BE726C"/>
    <w:rsid w:val="00BF1C5F"/>
    <w:rsid w:val="00C026BB"/>
    <w:rsid w:val="00C05C6D"/>
    <w:rsid w:val="00C13037"/>
    <w:rsid w:val="00C17CC7"/>
    <w:rsid w:val="00C23279"/>
    <w:rsid w:val="00C528FE"/>
    <w:rsid w:val="00C75D2F"/>
    <w:rsid w:val="00C92E69"/>
    <w:rsid w:val="00CA5AF3"/>
    <w:rsid w:val="00CA69B3"/>
    <w:rsid w:val="00D23B9D"/>
    <w:rsid w:val="00D62575"/>
    <w:rsid w:val="00D80725"/>
    <w:rsid w:val="00DA7D0E"/>
    <w:rsid w:val="00DB3111"/>
    <w:rsid w:val="00DB36B0"/>
    <w:rsid w:val="00DE258A"/>
    <w:rsid w:val="00E14A7F"/>
    <w:rsid w:val="00E20763"/>
    <w:rsid w:val="00E26755"/>
    <w:rsid w:val="00E32495"/>
    <w:rsid w:val="00E80CA8"/>
    <w:rsid w:val="00E84326"/>
    <w:rsid w:val="00E9220F"/>
    <w:rsid w:val="00E9228C"/>
    <w:rsid w:val="00EA2967"/>
    <w:rsid w:val="00EA472B"/>
    <w:rsid w:val="00EA5709"/>
    <w:rsid w:val="00EF297B"/>
    <w:rsid w:val="00F10378"/>
    <w:rsid w:val="00F10A5F"/>
    <w:rsid w:val="00F209A7"/>
    <w:rsid w:val="00F21569"/>
    <w:rsid w:val="00FD024D"/>
    <w:rsid w:val="00FD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564C"/>
  <w15:docId w15:val="{19BB1202-8134-404E-BA57-3176CDE2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B3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E5B3A"/>
    <w:rPr>
      <w:color w:val="0563C1" w:themeColor="hyperlink"/>
      <w:u w:val="single"/>
    </w:rPr>
  </w:style>
  <w:style w:type="character" w:customStyle="1" w:styleId="UnresolvedMention1">
    <w:name w:val="Unresolved Mention1"/>
    <w:basedOn w:val="DefaultParagraphFont"/>
    <w:uiPriority w:val="99"/>
    <w:semiHidden/>
    <w:unhideWhenUsed/>
    <w:rsid w:val="000E5B3A"/>
    <w:rPr>
      <w:color w:val="605E5C"/>
      <w:shd w:val="clear" w:color="auto" w:fill="E1DFDD"/>
    </w:rPr>
  </w:style>
  <w:style w:type="character" w:styleId="FollowedHyperlink">
    <w:name w:val="FollowedHyperlink"/>
    <w:basedOn w:val="DefaultParagraphFont"/>
    <w:uiPriority w:val="99"/>
    <w:semiHidden/>
    <w:unhideWhenUsed/>
    <w:rsid w:val="00DB3111"/>
    <w:rPr>
      <w:color w:val="954F72" w:themeColor="followedHyperlink"/>
      <w:u w:val="single"/>
    </w:rPr>
  </w:style>
  <w:style w:type="character" w:styleId="CommentReference">
    <w:name w:val="annotation reference"/>
    <w:basedOn w:val="DefaultParagraphFont"/>
    <w:uiPriority w:val="99"/>
    <w:semiHidden/>
    <w:unhideWhenUsed/>
    <w:rsid w:val="00DB3111"/>
    <w:rPr>
      <w:sz w:val="16"/>
      <w:szCs w:val="16"/>
    </w:rPr>
  </w:style>
  <w:style w:type="paragraph" w:styleId="CommentText">
    <w:name w:val="annotation text"/>
    <w:basedOn w:val="Normal"/>
    <w:link w:val="CommentTextChar"/>
    <w:uiPriority w:val="99"/>
    <w:semiHidden/>
    <w:unhideWhenUsed/>
    <w:rsid w:val="00DB3111"/>
    <w:rPr>
      <w:sz w:val="20"/>
      <w:szCs w:val="20"/>
    </w:rPr>
  </w:style>
  <w:style w:type="character" w:customStyle="1" w:styleId="CommentTextChar">
    <w:name w:val="Comment Text Char"/>
    <w:basedOn w:val="DefaultParagraphFont"/>
    <w:link w:val="CommentText"/>
    <w:uiPriority w:val="99"/>
    <w:semiHidden/>
    <w:rsid w:val="00DB3111"/>
    <w:rPr>
      <w:sz w:val="20"/>
      <w:szCs w:val="20"/>
    </w:rPr>
  </w:style>
  <w:style w:type="paragraph" w:styleId="CommentSubject">
    <w:name w:val="annotation subject"/>
    <w:basedOn w:val="CommentText"/>
    <w:next w:val="CommentText"/>
    <w:link w:val="CommentSubjectChar"/>
    <w:uiPriority w:val="99"/>
    <w:semiHidden/>
    <w:unhideWhenUsed/>
    <w:rsid w:val="00DB3111"/>
    <w:rPr>
      <w:b/>
      <w:bCs/>
    </w:rPr>
  </w:style>
  <w:style w:type="character" w:customStyle="1" w:styleId="CommentSubjectChar">
    <w:name w:val="Comment Subject Char"/>
    <w:basedOn w:val="CommentTextChar"/>
    <w:link w:val="CommentSubject"/>
    <w:uiPriority w:val="99"/>
    <w:semiHidden/>
    <w:rsid w:val="00DB3111"/>
    <w:rPr>
      <w:b/>
      <w:bCs/>
      <w:sz w:val="20"/>
      <w:szCs w:val="20"/>
    </w:rPr>
  </w:style>
  <w:style w:type="paragraph" w:styleId="BalloonText">
    <w:name w:val="Balloon Text"/>
    <w:basedOn w:val="Normal"/>
    <w:link w:val="BalloonTextChar"/>
    <w:uiPriority w:val="99"/>
    <w:semiHidden/>
    <w:unhideWhenUsed/>
    <w:rsid w:val="00DB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11"/>
    <w:rPr>
      <w:rFonts w:ascii="Segoe UI" w:hAnsi="Segoe UI" w:cs="Segoe UI"/>
      <w:sz w:val="18"/>
      <w:szCs w:val="18"/>
    </w:rPr>
  </w:style>
  <w:style w:type="character" w:customStyle="1" w:styleId="UnresolvedMention2">
    <w:name w:val="Unresolved Mention2"/>
    <w:basedOn w:val="DefaultParagraphFont"/>
    <w:uiPriority w:val="99"/>
    <w:semiHidden/>
    <w:unhideWhenUsed/>
    <w:rsid w:val="001D73A6"/>
    <w:rPr>
      <w:color w:val="605E5C"/>
      <w:shd w:val="clear" w:color="auto" w:fill="E1DFDD"/>
    </w:rPr>
  </w:style>
  <w:style w:type="paragraph" w:styleId="FootnoteText">
    <w:name w:val="footnote text"/>
    <w:basedOn w:val="Normal"/>
    <w:link w:val="FootnoteTextChar"/>
    <w:uiPriority w:val="99"/>
    <w:semiHidden/>
    <w:unhideWhenUsed/>
    <w:rsid w:val="00404290"/>
    <w:rPr>
      <w:sz w:val="20"/>
      <w:szCs w:val="20"/>
    </w:rPr>
  </w:style>
  <w:style w:type="character" w:customStyle="1" w:styleId="FootnoteTextChar">
    <w:name w:val="Footnote Text Char"/>
    <w:basedOn w:val="DefaultParagraphFont"/>
    <w:link w:val="FootnoteText"/>
    <w:uiPriority w:val="99"/>
    <w:semiHidden/>
    <w:rsid w:val="00404290"/>
    <w:rPr>
      <w:sz w:val="20"/>
      <w:szCs w:val="20"/>
    </w:rPr>
  </w:style>
  <w:style w:type="character" w:styleId="FootnoteReference">
    <w:name w:val="footnote reference"/>
    <w:basedOn w:val="DefaultParagraphFont"/>
    <w:uiPriority w:val="99"/>
    <w:semiHidden/>
    <w:unhideWhenUsed/>
    <w:rsid w:val="00404290"/>
    <w:rPr>
      <w:vertAlign w:val="superscript"/>
    </w:rPr>
  </w:style>
  <w:style w:type="paragraph" w:styleId="ListParagraph">
    <w:name w:val="List Paragraph"/>
    <w:basedOn w:val="Normal"/>
    <w:uiPriority w:val="34"/>
    <w:qFormat/>
    <w:rsid w:val="00387D01"/>
    <w:pPr>
      <w:ind w:left="720"/>
      <w:contextualSpacing/>
    </w:pPr>
  </w:style>
  <w:style w:type="paragraph" w:styleId="Footer">
    <w:name w:val="footer"/>
    <w:basedOn w:val="Normal"/>
    <w:link w:val="FooterChar"/>
    <w:uiPriority w:val="99"/>
    <w:semiHidden/>
    <w:unhideWhenUsed/>
    <w:rsid w:val="00BE726C"/>
    <w:pPr>
      <w:tabs>
        <w:tab w:val="center" w:pos="4680"/>
        <w:tab w:val="right" w:pos="9360"/>
      </w:tabs>
    </w:pPr>
  </w:style>
  <w:style w:type="character" w:customStyle="1" w:styleId="FooterChar">
    <w:name w:val="Footer Char"/>
    <w:basedOn w:val="DefaultParagraphFont"/>
    <w:link w:val="Footer"/>
    <w:uiPriority w:val="99"/>
    <w:semiHidden/>
    <w:rsid w:val="00BE726C"/>
  </w:style>
  <w:style w:type="character" w:styleId="PageNumber">
    <w:name w:val="page number"/>
    <w:basedOn w:val="DefaultParagraphFont"/>
    <w:uiPriority w:val="99"/>
    <w:semiHidden/>
    <w:unhideWhenUsed/>
    <w:rsid w:val="00BE726C"/>
  </w:style>
  <w:style w:type="paragraph" w:styleId="Revision">
    <w:name w:val="Revision"/>
    <w:hidden/>
    <w:uiPriority w:val="99"/>
    <w:semiHidden/>
    <w:rsid w:val="00906EC5"/>
  </w:style>
  <w:style w:type="character" w:customStyle="1" w:styleId="UnresolvedMention3">
    <w:name w:val="Unresolved Mention3"/>
    <w:basedOn w:val="DefaultParagraphFont"/>
    <w:uiPriority w:val="99"/>
    <w:semiHidden/>
    <w:unhideWhenUsed/>
    <w:rsid w:val="00E32495"/>
    <w:rPr>
      <w:color w:val="605E5C"/>
      <w:shd w:val="clear" w:color="auto" w:fill="E1DFDD"/>
    </w:rPr>
  </w:style>
  <w:style w:type="paragraph" w:styleId="Header">
    <w:name w:val="header"/>
    <w:basedOn w:val="Normal"/>
    <w:link w:val="HeaderChar"/>
    <w:uiPriority w:val="99"/>
    <w:unhideWhenUsed/>
    <w:rsid w:val="00C75D2F"/>
    <w:pPr>
      <w:tabs>
        <w:tab w:val="center" w:pos="4536"/>
        <w:tab w:val="right" w:pos="9072"/>
      </w:tabs>
      <w:spacing w:before="120"/>
    </w:pPr>
    <w:rPr>
      <w:rFonts w:ascii="Times New Roman" w:eastAsia="Calibri" w:hAnsi="Times New Roman" w:cs="Arial"/>
      <w:sz w:val="22"/>
      <w:szCs w:val="22"/>
    </w:rPr>
  </w:style>
  <w:style w:type="character" w:customStyle="1" w:styleId="HeaderChar">
    <w:name w:val="Header Char"/>
    <w:basedOn w:val="DefaultParagraphFont"/>
    <w:link w:val="Header"/>
    <w:uiPriority w:val="99"/>
    <w:rsid w:val="00C75D2F"/>
    <w:rPr>
      <w:rFonts w:ascii="Times New Roman" w:eastAsia="Calibri" w:hAnsi="Times New Roman"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76331">
      <w:bodyDiv w:val="1"/>
      <w:marLeft w:val="0"/>
      <w:marRight w:val="0"/>
      <w:marTop w:val="0"/>
      <w:marBottom w:val="0"/>
      <w:divBdr>
        <w:top w:val="none" w:sz="0" w:space="0" w:color="auto"/>
        <w:left w:val="none" w:sz="0" w:space="0" w:color="auto"/>
        <w:bottom w:val="none" w:sz="0" w:space="0" w:color="auto"/>
        <w:right w:val="none" w:sz="0" w:space="0" w:color="auto"/>
      </w:divBdr>
    </w:div>
    <w:div w:id="1028599095">
      <w:bodyDiv w:val="1"/>
      <w:marLeft w:val="0"/>
      <w:marRight w:val="0"/>
      <w:marTop w:val="0"/>
      <w:marBottom w:val="0"/>
      <w:divBdr>
        <w:top w:val="none" w:sz="0" w:space="0" w:color="auto"/>
        <w:left w:val="none" w:sz="0" w:space="0" w:color="auto"/>
        <w:bottom w:val="none" w:sz="0" w:space="0" w:color="auto"/>
        <w:right w:val="none" w:sz="0" w:space="0" w:color="auto"/>
      </w:divBdr>
      <w:divsChild>
        <w:div w:id="1838694336">
          <w:marLeft w:val="0"/>
          <w:marRight w:val="0"/>
          <w:marTop w:val="0"/>
          <w:marBottom w:val="0"/>
          <w:divBdr>
            <w:top w:val="none" w:sz="0" w:space="0" w:color="auto"/>
            <w:left w:val="none" w:sz="0" w:space="0" w:color="auto"/>
            <w:bottom w:val="none" w:sz="0" w:space="0" w:color="auto"/>
            <w:right w:val="none" w:sz="0" w:space="0" w:color="auto"/>
          </w:divBdr>
          <w:divsChild>
            <w:div w:id="1776368717">
              <w:marLeft w:val="0"/>
              <w:marRight w:val="0"/>
              <w:marTop w:val="0"/>
              <w:marBottom w:val="0"/>
              <w:divBdr>
                <w:top w:val="none" w:sz="0" w:space="0" w:color="auto"/>
                <w:left w:val="none" w:sz="0" w:space="0" w:color="auto"/>
                <w:bottom w:val="none" w:sz="0" w:space="0" w:color="auto"/>
                <w:right w:val="none" w:sz="0" w:space="0" w:color="auto"/>
              </w:divBdr>
              <w:divsChild>
                <w:div w:id="15325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323">
      <w:bodyDiv w:val="1"/>
      <w:marLeft w:val="0"/>
      <w:marRight w:val="0"/>
      <w:marTop w:val="0"/>
      <w:marBottom w:val="0"/>
      <w:divBdr>
        <w:top w:val="none" w:sz="0" w:space="0" w:color="auto"/>
        <w:left w:val="none" w:sz="0" w:space="0" w:color="auto"/>
        <w:bottom w:val="none" w:sz="0" w:space="0" w:color="auto"/>
        <w:right w:val="none" w:sz="0" w:space="0" w:color="auto"/>
      </w:divBdr>
      <w:divsChild>
        <w:div w:id="1573537712">
          <w:marLeft w:val="0"/>
          <w:marRight w:val="0"/>
          <w:marTop w:val="0"/>
          <w:marBottom w:val="0"/>
          <w:divBdr>
            <w:top w:val="none" w:sz="0" w:space="0" w:color="auto"/>
            <w:left w:val="none" w:sz="0" w:space="0" w:color="auto"/>
            <w:bottom w:val="none" w:sz="0" w:space="0" w:color="auto"/>
            <w:right w:val="none" w:sz="0" w:space="0" w:color="auto"/>
          </w:divBdr>
          <w:divsChild>
            <w:div w:id="674456579">
              <w:marLeft w:val="0"/>
              <w:marRight w:val="0"/>
              <w:marTop w:val="0"/>
              <w:marBottom w:val="0"/>
              <w:divBdr>
                <w:top w:val="none" w:sz="0" w:space="0" w:color="auto"/>
                <w:left w:val="none" w:sz="0" w:space="0" w:color="auto"/>
                <w:bottom w:val="none" w:sz="0" w:space="0" w:color="auto"/>
                <w:right w:val="none" w:sz="0" w:space="0" w:color="auto"/>
              </w:divBdr>
              <w:divsChild>
                <w:div w:id="15393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0069">
      <w:bodyDiv w:val="1"/>
      <w:marLeft w:val="0"/>
      <w:marRight w:val="0"/>
      <w:marTop w:val="0"/>
      <w:marBottom w:val="0"/>
      <w:divBdr>
        <w:top w:val="none" w:sz="0" w:space="0" w:color="auto"/>
        <w:left w:val="none" w:sz="0" w:space="0" w:color="auto"/>
        <w:bottom w:val="none" w:sz="0" w:space="0" w:color="auto"/>
        <w:right w:val="none" w:sz="0" w:space="0" w:color="auto"/>
      </w:divBdr>
      <w:divsChild>
        <w:div w:id="1980575590">
          <w:marLeft w:val="0"/>
          <w:marRight w:val="0"/>
          <w:marTop w:val="0"/>
          <w:marBottom w:val="0"/>
          <w:divBdr>
            <w:top w:val="none" w:sz="0" w:space="0" w:color="auto"/>
            <w:left w:val="none" w:sz="0" w:space="0" w:color="auto"/>
            <w:bottom w:val="none" w:sz="0" w:space="0" w:color="auto"/>
            <w:right w:val="none" w:sz="0" w:space="0" w:color="auto"/>
          </w:divBdr>
          <w:divsChild>
            <w:div w:id="1396925910">
              <w:marLeft w:val="0"/>
              <w:marRight w:val="0"/>
              <w:marTop w:val="0"/>
              <w:marBottom w:val="0"/>
              <w:divBdr>
                <w:top w:val="none" w:sz="0" w:space="0" w:color="auto"/>
                <w:left w:val="none" w:sz="0" w:space="0" w:color="auto"/>
                <w:bottom w:val="none" w:sz="0" w:space="0" w:color="auto"/>
                <w:right w:val="none" w:sz="0" w:space="0" w:color="auto"/>
              </w:divBdr>
              <w:divsChild>
                <w:div w:id="352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3742">
      <w:bodyDiv w:val="1"/>
      <w:marLeft w:val="0"/>
      <w:marRight w:val="0"/>
      <w:marTop w:val="0"/>
      <w:marBottom w:val="0"/>
      <w:divBdr>
        <w:top w:val="none" w:sz="0" w:space="0" w:color="auto"/>
        <w:left w:val="none" w:sz="0" w:space="0" w:color="auto"/>
        <w:bottom w:val="none" w:sz="0" w:space="0" w:color="auto"/>
        <w:right w:val="none" w:sz="0" w:space="0" w:color="auto"/>
      </w:divBdr>
      <w:divsChild>
        <w:div w:id="1810201241">
          <w:marLeft w:val="0"/>
          <w:marRight w:val="0"/>
          <w:marTop w:val="0"/>
          <w:marBottom w:val="0"/>
          <w:divBdr>
            <w:top w:val="none" w:sz="0" w:space="0" w:color="auto"/>
            <w:left w:val="none" w:sz="0" w:space="0" w:color="auto"/>
            <w:bottom w:val="none" w:sz="0" w:space="0" w:color="auto"/>
            <w:right w:val="none" w:sz="0" w:space="0" w:color="auto"/>
          </w:divBdr>
          <w:divsChild>
            <w:div w:id="833568638">
              <w:marLeft w:val="0"/>
              <w:marRight w:val="0"/>
              <w:marTop w:val="0"/>
              <w:marBottom w:val="0"/>
              <w:divBdr>
                <w:top w:val="none" w:sz="0" w:space="0" w:color="auto"/>
                <w:left w:val="none" w:sz="0" w:space="0" w:color="auto"/>
                <w:bottom w:val="none" w:sz="0" w:space="0" w:color="auto"/>
                <w:right w:val="none" w:sz="0" w:space="0" w:color="auto"/>
              </w:divBdr>
              <w:divsChild>
                <w:div w:id="5773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1800">
      <w:bodyDiv w:val="1"/>
      <w:marLeft w:val="0"/>
      <w:marRight w:val="0"/>
      <w:marTop w:val="0"/>
      <w:marBottom w:val="0"/>
      <w:divBdr>
        <w:top w:val="none" w:sz="0" w:space="0" w:color="auto"/>
        <w:left w:val="none" w:sz="0" w:space="0" w:color="auto"/>
        <w:bottom w:val="none" w:sz="0" w:space="0" w:color="auto"/>
        <w:right w:val="none" w:sz="0" w:space="0" w:color="auto"/>
      </w:divBdr>
      <w:divsChild>
        <w:div w:id="1705398240">
          <w:marLeft w:val="0"/>
          <w:marRight w:val="0"/>
          <w:marTop w:val="0"/>
          <w:marBottom w:val="0"/>
          <w:divBdr>
            <w:top w:val="none" w:sz="0" w:space="0" w:color="auto"/>
            <w:left w:val="none" w:sz="0" w:space="0" w:color="auto"/>
            <w:bottom w:val="none" w:sz="0" w:space="0" w:color="auto"/>
            <w:right w:val="none" w:sz="0" w:space="0" w:color="auto"/>
          </w:divBdr>
          <w:divsChild>
            <w:div w:id="870916107">
              <w:marLeft w:val="0"/>
              <w:marRight w:val="0"/>
              <w:marTop w:val="0"/>
              <w:marBottom w:val="0"/>
              <w:divBdr>
                <w:top w:val="none" w:sz="0" w:space="0" w:color="auto"/>
                <w:left w:val="none" w:sz="0" w:space="0" w:color="auto"/>
                <w:bottom w:val="none" w:sz="0" w:space="0" w:color="auto"/>
                <w:right w:val="none" w:sz="0" w:space="0" w:color="auto"/>
              </w:divBdr>
              <w:divsChild>
                <w:div w:id="5864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350">
      <w:bodyDiv w:val="1"/>
      <w:marLeft w:val="0"/>
      <w:marRight w:val="0"/>
      <w:marTop w:val="0"/>
      <w:marBottom w:val="0"/>
      <w:divBdr>
        <w:top w:val="none" w:sz="0" w:space="0" w:color="auto"/>
        <w:left w:val="none" w:sz="0" w:space="0" w:color="auto"/>
        <w:bottom w:val="none" w:sz="0" w:space="0" w:color="auto"/>
        <w:right w:val="none" w:sz="0" w:space="0" w:color="auto"/>
      </w:divBdr>
      <w:divsChild>
        <w:div w:id="86043958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7530780">
              <w:marLeft w:val="0"/>
              <w:marRight w:val="0"/>
              <w:marTop w:val="0"/>
              <w:marBottom w:val="0"/>
              <w:divBdr>
                <w:top w:val="none" w:sz="0" w:space="0" w:color="auto"/>
                <w:left w:val="none" w:sz="0" w:space="0" w:color="auto"/>
                <w:bottom w:val="none" w:sz="0" w:space="0" w:color="auto"/>
                <w:right w:val="none" w:sz="0" w:space="0" w:color="auto"/>
              </w:divBdr>
              <w:divsChild>
                <w:div w:id="13347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440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4788513">
              <w:marLeft w:val="0"/>
              <w:marRight w:val="0"/>
              <w:marTop w:val="0"/>
              <w:marBottom w:val="0"/>
              <w:divBdr>
                <w:top w:val="none" w:sz="0" w:space="0" w:color="auto"/>
                <w:left w:val="none" w:sz="0" w:space="0" w:color="auto"/>
                <w:bottom w:val="none" w:sz="0" w:space="0" w:color="auto"/>
                <w:right w:val="none" w:sz="0" w:space="0" w:color="auto"/>
              </w:divBdr>
              <w:divsChild>
                <w:div w:id="11282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fin.gov.rs/wp-content/uploads/2020/09/Tabela-1-Osnovni-makroekonomski-indikatori-2020.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kacije.stat.gov.rs/G2019/Pdf/G2019108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jalnoukljucivanje.gov.rs/wp-content/uploads/2020/10/HBS_Absolute_Poverty_2006-2019.xlsx"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cijalnoukljucivanje.gov.rs/wp-content/uploads/2020/07/Income_of_the_Poorest_Deciles_of_Serbias_Population_Focus_on_Agricultural_Activiti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blikacije.stat.gov.rs/G2019/Pdf/G20191041.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epaJo\Documents\SIPRU%20Corona\Sajt\Vesti\39.%20Medjunarodni%20dan%20siromastva\2.%20paket\Saopstenje%20SIP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200">
                <a:latin typeface="+mn-lt"/>
              </a:rPr>
              <a:t>Public</a:t>
            </a:r>
            <a:r>
              <a:rPr lang="sr-Latn-RS" sz="1200" baseline="0">
                <a:latin typeface="+mn-lt"/>
              </a:rPr>
              <a:t> spending </a:t>
            </a:r>
            <a:r>
              <a:rPr lang="en-GB" sz="1200">
                <a:latin typeface="+mn-lt"/>
              </a:rPr>
              <a:t>- </a:t>
            </a:r>
            <a:r>
              <a:rPr lang="sr-Latn-RS" sz="1200">
                <a:latin typeface="+mn-lt"/>
              </a:rPr>
              <a:t>Social </a:t>
            </a:r>
            <a:r>
              <a:rPr lang="sr-Latn-RS" sz="1200" baseline="0">
                <a:latin typeface="+mn-lt"/>
              </a:rPr>
              <a:t>assistance and transfers</a:t>
            </a:r>
            <a:r>
              <a:rPr lang="sr-Cyrl-RS" sz="1200" baseline="0">
                <a:latin typeface="+mn-lt"/>
              </a:rPr>
              <a:t>, </a:t>
            </a:r>
            <a:r>
              <a:rPr lang="sr-Latn-RS" sz="1200" baseline="0">
                <a:latin typeface="+mn-lt"/>
              </a:rPr>
              <a:t>RSD (billions)</a:t>
            </a:r>
            <a:endParaRPr lang="en-GB" sz="1200">
              <a:latin typeface="+mn-lt"/>
            </a:endParaRPr>
          </a:p>
        </c:rich>
      </c:tx>
      <c:overlay val="0"/>
      <c:spPr>
        <a:noFill/>
        <a:ln>
          <a:noFill/>
        </a:ln>
        <a:effectLst/>
      </c:spPr>
    </c:title>
    <c:autoTitleDeleted val="0"/>
    <c:plotArea>
      <c:layout/>
      <c:areaChart>
        <c:grouping val="stacked"/>
        <c:varyColors val="0"/>
        <c:ser>
          <c:idx val="0"/>
          <c:order val="0"/>
          <c:tx>
            <c:strRef>
              <c:f>Sheet2!$V$2</c:f>
              <c:strCache>
                <c:ptCount val="1"/>
                <c:pt idx="0">
                  <c:v>Пензије</c:v>
                </c:pt>
              </c:strCache>
            </c:strRef>
          </c:tx>
          <c:spPr>
            <a:solidFill>
              <a:schemeClr val="accent1"/>
            </a:solidFill>
            <a:ln w="25400">
              <a:noFill/>
            </a:ln>
            <a:effectLst/>
          </c:spPr>
          <c:cat>
            <c:strRef>
              <c:f>Sheet2!$W$1:$AB$1</c:f>
              <c:strCache>
                <c:ptCount val="6"/>
                <c:pt idx="0">
                  <c:v>Јануар</c:v>
                </c:pt>
                <c:pt idx="1">
                  <c:v>Фебруар</c:v>
                </c:pt>
                <c:pt idx="2">
                  <c:v>Март</c:v>
                </c:pt>
                <c:pt idx="3">
                  <c:v>Април</c:v>
                </c:pt>
                <c:pt idx="4">
                  <c:v>Мај</c:v>
                </c:pt>
                <c:pt idx="5">
                  <c:v>Јун</c:v>
                </c:pt>
              </c:strCache>
            </c:strRef>
          </c:cat>
          <c:val>
            <c:numRef>
              <c:f>Sheet2!$W$2:$AB$2</c:f>
              <c:numCache>
                <c:formatCode>_ * #.##00_)_ ;_ * \(#.##00\)_ ;_ * "-"_)_ ;_ @_ </c:formatCode>
                <c:ptCount val="6"/>
                <c:pt idx="0">
                  <c:v>47.092400000000005</c:v>
                </c:pt>
                <c:pt idx="1">
                  <c:v>48.8386</c:v>
                </c:pt>
                <c:pt idx="2">
                  <c:v>48.9283</c:v>
                </c:pt>
                <c:pt idx="3">
                  <c:v>48.940199999999997</c:v>
                </c:pt>
                <c:pt idx="4">
                  <c:v>48.767499999999998</c:v>
                </c:pt>
                <c:pt idx="5">
                  <c:v>48.6404</c:v>
                </c:pt>
              </c:numCache>
            </c:numRef>
          </c:val>
          <c:extLst>
            <c:ext xmlns:c16="http://schemas.microsoft.com/office/drawing/2014/chart" uri="{C3380CC4-5D6E-409C-BE32-E72D297353CC}">
              <c16:uniqueId val="{00000000-135C-4C30-99D5-10F7DF80BDE5}"/>
            </c:ext>
          </c:extLst>
        </c:ser>
        <c:ser>
          <c:idx val="1"/>
          <c:order val="1"/>
          <c:tx>
            <c:strRef>
              <c:f>Sheet2!$V$3</c:f>
              <c:strCache>
                <c:ptCount val="1"/>
                <c:pt idx="0">
                  <c:v>Накнаде незапосленим лицима</c:v>
                </c:pt>
              </c:strCache>
            </c:strRef>
          </c:tx>
          <c:spPr>
            <a:solidFill>
              <a:schemeClr val="accent2"/>
            </a:solidFill>
            <a:ln w="25400">
              <a:noFill/>
            </a:ln>
            <a:effectLst/>
          </c:spPr>
          <c:cat>
            <c:strRef>
              <c:f>Sheet2!$W$1:$AB$1</c:f>
              <c:strCache>
                <c:ptCount val="6"/>
                <c:pt idx="0">
                  <c:v>Јануар</c:v>
                </c:pt>
                <c:pt idx="1">
                  <c:v>Фебруар</c:v>
                </c:pt>
                <c:pt idx="2">
                  <c:v>Март</c:v>
                </c:pt>
                <c:pt idx="3">
                  <c:v>Април</c:v>
                </c:pt>
                <c:pt idx="4">
                  <c:v>Мај</c:v>
                </c:pt>
                <c:pt idx="5">
                  <c:v>Јун</c:v>
                </c:pt>
              </c:strCache>
            </c:strRef>
          </c:cat>
          <c:val>
            <c:numRef>
              <c:f>Sheet2!$W$3:$AB$3</c:f>
              <c:numCache>
                <c:formatCode>_ * #.##00_)_ ;_ * \(#.##00\)_ ;_ * "-"_)_ ;_ @_ </c:formatCode>
                <c:ptCount val="6"/>
                <c:pt idx="0">
                  <c:v>0.63790000000000002</c:v>
                </c:pt>
                <c:pt idx="1">
                  <c:v>0.68229999999999991</c:v>
                </c:pt>
                <c:pt idx="2">
                  <c:v>0.67320000000000002</c:v>
                </c:pt>
                <c:pt idx="3">
                  <c:v>0.63109999999999999</c:v>
                </c:pt>
                <c:pt idx="4">
                  <c:v>0.64129999999999998</c:v>
                </c:pt>
                <c:pt idx="5">
                  <c:v>0.6825</c:v>
                </c:pt>
              </c:numCache>
            </c:numRef>
          </c:val>
          <c:extLst>
            <c:ext xmlns:c16="http://schemas.microsoft.com/office/drawing/2014/chart" uri="{C3380CC4-5D6E-409C-BE32-E72D297353CC}">
              <c16:uniqueId val="{00000001-135C-4C30-99D5-10F7DF80BDE5}"/>
            </c:ext>
          </c:extLst>
        </c:ser>
        <c:ser>
          <c:idx val="2"/>
          <c:order val="2"/>
          <c:tx>
            <c:strRef>
              <c:f>Sheet2!$V$4</c:f>
              <c:strCache>
                <c:ptCount val="1"/>
                <c:pt idx="0">
                  <c:v>Накнаде за боловања</c:v>
                </c:pt>
              </c:strCache>
            </c:strRef>
          </c:tx>
          <c:spPr>
            <a:solidFill>
              <a:schemeClr val="accent3"/>
            </a:solidFill>
            <a:ln w="25400">
              <a:noFill/>
            </a:ln>
            <a:effectLst/>
          </c:spPr>
          <c:cat>
            <c:strRef>
              <c:f>Sheet2!$W$1:$AB$1</c:f>
              <c:strCache>
                <c:ptCount val="6"/>
                <c:pt idx="0">
                  <c:v>Јануар</c:v>
                </c:pt>
                <c:pt idx="1">
                  <c:v>Фебруар</c:v>
                </c:pt>
                <c:pt idx="2">
                  <c:v>Март</c:v>
                </c:pt>
                <c:pt idx="3">
                  <c:v>Април</c:v>
                </c:pt>
                <c:pt idx="4">
                  <c:v>Мај</c:v>
                </c:pt>
                <c:pt idx="5">
                  <c:v>Јун</c:v>
                </c:pt>
              </c:strCache>
            </c:strRef>
          </c:cat>
          <c:val>
            <c:numRef>
              <c:f>Sheet2!$W$4:$AB$4</c:f>
              <c:numCache>
                <c:formatCode>_ * #.##00_)_ ;_ * \(#.##00\)_ ;_ * "-"_)_ ;_ @_ </c:formatCode>
                <c:ptCount val="6"/>
                <c:pt idx="0">
                  <c:v>0.91079999999999994</c:v>
                </c:pt>
                <c:pt idx="1">
                  <c:v>0.84639999999999993</c:v>
                </c:pt>
                <c:pt idx="2">
                  <c:v>0.89629999999999999</c:v>
                </c:pt>
                <c:pt idx="3">
                  <c:v>0.63339999999999996</c:v>
                </c:pt>
                <c:pt idx="4">
                  <c:v>0.6362000000000001</c:v>
                </c:pt>
                <c:pt idx="5">
                  <c:v>1.1832</c:v>
                </c:pt>
              </c:numCache>
            </c:numRef>
          </c:val>
          <c:extLst>
            <c:ext xmlns:c16="http://schemas.microsoft.com/office/drawing/2014/chart" uri="{C3380CC4-5D6E-409C-BE32-E72D297353CC}">
              <c16:uniqueId val="{00000002-135C-4C30-99D5-10F7DF80BDE5}"/>
            </c:ext>
          </c:extLst>
        </c:ser>
        <c:ser>
          <c:idx val="3"/>
          <c:order val="3"/>
          <c:tx>
            <c:strRef>
              <c:f>Sheet2!$V$5</c:f>
              <c:strCache>
                <c:ptCount val="1"/>
                <c:pt idx="0">
                  <c:v>Социјална помоћ</c:v>
                </c:pt>
              </c:strCache>
            </c:strRef>
          </c:tx>
          <c:spPr>
            <a:solidFill>
              <a:schemeClr val="accent4"/>
            </a:solidFill>
            <a:ln w="25400">
              <a:noFill/>
            </a:ln>
            <a:effectLst/>
          </c:spPr>
          <c:cat>
            <c:strRef>
              <c:f>Sheet2!$W$1:$AB$1</c:f>
              <c:strCache>
                <c:ptCount val="6"/>
                <c:pt idx="0">
                  <c:v>Јануар</c:v>
                </c:pt>
                <c:pt idx="1">
                  <c:v>Фебруар</c:v>
                </c:pt>
                <c:pt idx="2">
                  <c:v>Март</c:v>
                </c:pt>
                <c:pt idx="3">
                  <c:v>Април</c:v>
                </c:pt>
                <c:pt idx="4">
                  <c:v>Мај</c:v>
                </c:pt>
                <c:pt idx="5">
                  <c:v>Јун</c:v>
                </c:pt>
              </c:strCache>
            </c:strRef>
          </c:cat>
          <c:val>
            <c:numRef>
              <c:f>Sheet2!$W$5:$AB$5</c:f>
              <c:numCache>
                <c:formatCode>_ * #.##00_)_ ;_ * \(#.##00\)_ ;_ * "-"_)_ ;_ @_ </c:formatCode>
                <c:ptCount val="6"/>
                <c:pt idx="0">
                  <c:v>11.9504</c:v>
                </c:pt>
                <c:pt idx="1">
                  <c:v>13.0626</c:v>
                </c:pt>
                <c:pt idx="2">
                  <c:v>12.728399999999999</c:v>
                </c:pt>
                <c:pt idx="3">
                  <c:v>12.989100000000001</c:v>
                </c:pt>
                <c:pt idx="4">
                  <c:v>12.490399999999999</c:v>
                </c:pt>
                <c:pt idx="5">
                  <c:v>12.457799999999999</c:v>
                </c:pt>
              </c:numCache>
            </c:numRef>
          </c:val>
          <c:extLst>
            <c:ext xmlns:c16="http://schemas.microsoft.com/office/drawing/2014/chart" uri="{C3380CC4-5D6E-409C-BE32-E72D297353CC}">
              <c16:uniqueId val="{00000003-135C-4C30-99D5-10F7DF80BDE5}"/>
            </c:ext>
          </c:extLst>
        </c:ser>
        <c:ser>
          <c:idx val="4"/>
          <c:order val="4"/>
          <c:tx>
            <c:strRef>
              <c:f>Sheet2!$V$6</c:f>
              <c:strCache>
                <c:ptCount val="1"/>
                <c:pt idx="0">
                  <c:v>Остали трансфери домаћинствима</c:v>
                </c:pt>
              </c:strCache>
            </c:strRef>
          </c:tx>
          <c:spPr>
            <a:solidFill>
              <a:schemeClr val="accent5"/>
            </a:solidFill>
            <a:ln w="25400">
              <a:noFill/>
            </a:ln>
            <a:effectLst/>
          </c:spPr>
          <c:cat>
            <c:strRef>
              <c:f>Sheet2!$W$1:$AB$1</c:f>
              <c:strCache>
                <c:ptCount val="6"/>
                <c:pt idx="0">
                  <c:v>Јануар</c:v>
                </c:pt>
                <c:pt idx="1">
                  <c:v>Фебруар</c:v>
                </c:pt>
                <c:pt idx="2">
                  <c:v>Март</c:v>
                </c:pt>
                <c:pt idx="3">
                  <c:v>Април</c:v>
                </c:pt>
                <c:pt idx="4">
                  <c:v>Мај</c:v>
                </c:pt>
                <c:pt idx="5">
                  <c:v>Јун</c:v>
                </c:pt>
              </c:strCache>
            </c:strRef>
          </c:cat>
          <c:val>
            <c:numRef>
              <c:f>Sheet2!$W$6:$AB$6</c:f>
              <c:numCache>
                <c:formatCode>_ * #.##00_)_ ;_ * \(#.##00\)_ ;_ * "-"_)_ ;_ @_ </c:formatCode>
                <c:ptCount val="6"/>
                <c:pt idx="0">
                  <c:v>2.4485999999999999</c:v>
                </c:pt>
                <c:pt idx="1">
                  <c:v>2.5393000000000003</c:v>
                </c:pt>
                <c:pt idx="2">
                  <c:v>2.4041999999999999</c:v>
                </c:pt>
                <c:pt idx="3">
                  <c:v>8.8574000000000002</c:v>
                </c:pt>
                <c:pt idx="4">
                  <c:v>2.3044000000000002</c:v>
                </c:pt>
                <c:pt idx="5">
                  <c:v>2.8210000000000002</c:v>
                </c:pt>
              </c:numCache>
            </c:numRef>
          </c:val>
          <c:extLst>
            <c:ext xmlns:c16="http://schemas.microsoft.com/office/drawing/2014/chart" uri="{C3380CC4-5D6E-409C-BE32-E72D297353CC}">
              <c16:uniqueId val="{00000004-135C-4C30-99D5-10F7DF80BDE5}"/>
            </c:ext>
          </c:extLst>
        </c:ser>
        <c:dLbls>
          <c:showLegendKey val="0"/>
          <c:showVal val="0"/>
          <c:showCatName val="0"/>
          <c:showSerName val="0"/>
          <c:showPercent val="0"/>
          <c:showBubbleSize val="0"/>
        </c:dLbls>
        <c:axId val="80437632"/>
        <c:axId val="80439168"/>
      </c:areaChart>
      <c:catAx>
        <c:axId val="80437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39168"/>
        <c:crosses val="autoZero"/>
        <c:auto val="1"/>
        <c:lblAlgn val="ctr"/>
        <c:lblOffset val="100"/>
        <c:noMultiLvlLbl val="0"/>
      </c:catAx>
      <c:valAx>
        <c:axId val="80439168"/>
        <c:scaling>
          <c:orientation val="minMax"/>
        </c:scaling>
        <c:delete val="0"/>
        <c:axPos val="l"/>
        <c:majorGridlines>
          <c:spPr>
            <a:ln w="9525" cap="flat" cmpd="sng" algn="ctr">
              <a:solidFill>
                <a:schemeClr val="tx1">
                  <a:lumMod val="15000"/>
                  <a:lumOff val="85000"/>
                </a:schemeClr>
              </a:solidFill>
              <a:round/>
            </a:ln>
            <a:effectLst/>
          </c:spPr>
        </c:majorGridlines>
        <c:numFmt formatCode="_ * #.##00_)_ ;_ * \(#.##00\)_ ;_ * &quot;-&quot;_)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376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0.16915</cdr:x>
      <cdr:y>0.81149</cdr:y>
    </cdr:from>
    <cdr:to>
      <cdr:x>0.5058</cdr:x>
      <cdr:y>0.9908</cdr:y>
    </cdr:to>
    <cdr:sp macro="" textlink="">
      <cdr:nvSpPr>
        <cdr:cNvPr id="2" name="Text Box 1"/>
        <cdr:cNvSpPr txBox="1"/>
      </cdr:nvSpPr>
      <cdr:spPr>
        <a:xfrm xmlns:a="http://schemas.openxmlformats.org/drawingml/2006/main">
          <a:off x="971549" y="3362324"/>
          <a:ext cx="1933576" cy="742951"/>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pPr>
            <a:lnSpc>
              <a:spcPct val="150000"/>
            </a:lnSpc>
          </a:pPr>
          <a:r>
            <a:rPr lang="sr-Latn-RS" sz="900"/>
            <a:t>Pensions</a:t>
          </a:r>
        </a:p>
        <a:p xmlns:a="http://schemas.openxmlformats.org/drawingml/2006/main">
          <a:pPr>
            <a:lnSpc>
              <a:spcPct val="150000"/>
            </a:lnSpc>
          </a:pPr>
          <a:r>
            <a:rPr lang="sr-Latn-RS" sz="900"/>
            <a:t>Sick leave</a:t>
          </a:r>
          <a:r>
            <a:rPr lang="sr-Latn-RS" sz="900" baseline="0"/>
            <a:t> benefits</a:t>
          </a:r>
        </a:p>
        <a:p xmlns:a="http://schemas.openxmlformats.org/drawingml/2006/main">
          <a:pPr>
            <a:lnSpc>
              <a:spcPct val="150000"/>
            </a:lnSpc>
          </a:pPr>
          <a:r>
            <a:rPr lang="sr-Latn-RS" sz="900" baseline="0"/>
            <a:t>Other transfers to households</a:t>
          </a:r>
          <a:endParaRPr lang="sr-Latn-RS" sz="900"/>
        </a:p>
      </cdr:txBody>
    </cdr:sp>
  </cdr:relSizeAnchor>
  <cdr:relSizeAnchor xmlns:cdr="http://schemas.openxmlformats.org/drawingml/2006/chartDrawing">
    <cdr:from>
      <cdr:x>0.52294</cdr:x>
      <cdr:y>0.81149</cdr:y>
    </cdr:from>
    <cdr:to>
      <cdr:x>0.85959</cdr:x>
      <cdr:y>0.9908</cdr:y>
    </cdr:to>
    <cdr:sp macro="" textlink="">
      <cdr:nvSpPr>
        <cdr:cNvPr id="3" name="Text Box 1"/>
        <cdr:cNvSpPr txBox="1"/>
      </cdr:nvSpPr>
      <cdr:spPr>
        <a:xfrm xmlns:a="http://schemas.openxmlformats.org/drawingml/2006/main">
          <a:off x="3003549" y="3362324"/>
          <a:ext cx="1933576" cy="742951"/>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50000"/>
            </a:lnSpc>
          </a:pPr>
          <a:r>
            <a:rPr lang="sr-Latn-RS" sz="900"/>
            <a:t>Unemployment</a:t>
          </a:r>
          <a:r>
            <a:rPr lang="sr-Latn-RS" sz="900" baseline="0"/>
            <a:t> benefits</a:t>
          </a:r>
          <a:endParaRPr lang="sr-Latn-RS" sz="900"/>
        </a:p>
        <a:p xmlns:a="http://schemas.openxmlformats.org/drawingml/2006/main">
          <a:pPr>
            <a:lnSpc>
              <a:spcPct val="150000"/>
            </a:lnSpc>
          </a:pPr>
          <a:r>
            <a:rPr lang="sr-Latn-RS" sz="900"/>
            <a:t>Social assistance</a:t>
          </a:r>
        </a:p>
      </cdr:txBody>
    </cdr:sp>
  </cdr:relSizeAnchor>
  <cdr:relSizeAnchor xmlns:cdr="http://schemas.openxmlformats.org/drawingml/2006/chartDrawing">
    <cdr:from>
      <cdr:x>0.04146</cdr:x>
      <cdr:y>0.76322</cdr:y>
    </cdr:from>
    <cdr:to>
      <cdr:x>1</cdr:x>
      <cdr:y>0.82759</cdr:y>
    </cdr:to>
    <cdr:sp macro="" textlink="">
      <cdr:nvSpPr>
        <cdr:cNvPr id="4" name="Text Box 3"/>
        <cdr:cNvSpPr txBox="1"/>
      </cdr:nvSpPr>
      <cdr:spPr>
        <a:xfrm xmlns:a="http://schemas.openxmlformats.org/drawingml/2006/main">
          <a:off x="238125" y="3162301"/>
          <a:ext cx="5505450" cy="2667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sr-Latn-RS" sz="1100"/>
            <a:t>  Jan                          Feb                         Mar                         Apr</a:t>
          </a:r>
          <a:r>
            <a:rPr lang="sr-Latn-RS" sz="1100" baseline="0"/>
            <a:t>                         May                       Jun    </a:t>
          </a:r>
          <a:endParaRPr lang="sr-Latn-R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5641E-8BD4-4ACB-A2B0-49E8F185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Mladenovic</dc:creator>
  <cp:keywords/>
  <dc:description/>
  <cp:lastModifiedBy>Jovana Ilic</cp:lastModifiedBy>
  <cp:revision>3</cp:revision>
  <cp:lastPrinted>2020-10-19T15:13:00Z</cp:lastPrinted>
  <dcterms:created xsi:type="dcterms:W3CDTF">2020-10-23T07:30:00Z</dcterms:created>
  <dcterms:modified xsi:type="dcterms:W3CDTF">2020-10-23T11:40:00Z</dcterms:modified>
</cp:coreProperties>
</file>