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2304425C" w:rsidR="003A42A0" w:rsidRPr="00C62B0E" w:rsidRDefault="00D44620" w:rsidP="008571DE">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8571DE">
        <w:rPr>
          <w:b/>
          <w:sz w:val="22"/>
          <w:szCs w:val="22"/>
          <w:shd w:val="clear" w:color="auto" w:fill="FFFFFF"/>
          <w:lang w:val="sr-Latn-RS"/>
        </w:rPr>
        <w:t>angažovanje konsultanta/kinje za pripremu tematskog fokusa Indeksa rodne ravnopravnosti u Republici Srbiji</w:t>
      </w:r>
    </w:p>
    <w:p w14:paraId="62EBBF07" w14:textId="5B72CE1A"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 objavljuje konkurs za izbor konsultanta</w:t>
      </w:r>
      <w:r w:rsidR="002A4D28" w:rsidRPr="00C62B0E">
        <w:rPr>
          <w:sz w:val="22"/>
          <w:szCs w:val="22"/>
          <w:lang w:val="sr-Latn-RS"/>
        </w:rPr>
        <w:t>/konsultantkinje za</w:t>
      </w:r>
      <w:r w:rsidR="0085555C">
        <w:rPr>
          <w:sz w:val="22"/>
          <w:szCs w:val="22"/>
          <w:lang w:val="sr-Latn-RS"/>
        </w:rPr>
        <w:t xml:space="preserve"> pripremu </w:t>
      </w:r>
      <w:r w:rsidR="0085555C" w:rsidRPr="0085555C">
        <w:rPr>
          <w:sz w:val="22"/>
          <w:szCs w:val="22"/>
          <w:lang w:val="sr-Latn-RS"/>
        </w:rPr>
        <w:t>tematskog fokusa Indeksa rodne ravnopravnosti u Republici Srbiji</w:t>
      </w:r>
      <w:r w:rsidR="002A4D28" w:rsidRPr="003E2493">
        <w:rPr>
          <w:sz w:val="22"/>
          <w:szCs w:val="22"/>
          <w:lang w:val="sr-Latn-RS"/>
        </w:rPr>
        <w:t>.</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1E5AB25F" w14:textId="78A6CA67" w:rsidR="008571DE" w:rsidRPr="008571DE" w:rsidRDefault="008571DE" w:rsidP="008571DE">
      <w:pPr>
        <w:spacing w:line="276" w:lineRule="auto"/>
        <w:jc w:val="both"/>
        <w:rPr>
          <w:sz w:val="22"/>
          <w:szCs w:val="22"/>
          <w:lang w:val="sr-Latn-RS"/>
        </w:rPr>
      </w:pPr>
      <w:r w:rsidRPr="008571DE">
        <w:rPr>
          <w:sz w:val="22"/>
          <w:szCs w:val="22"/>
          <w:lang w:val="sr-Latn-RS"/>
        </w:rPr>
        <w:t xml:space="preserve">Glavni cilj </w:t>
      </w:r>
      <w:r>
        <w:rPr>
          <w:sz w:val="22"/>
          <w:szCs w:val="22"/>
          <w:lang w:val="sr-Latn-RS"/>
        </w:rPr>
        <w:t xml:space="preserve">projektnog zadatka je priprema </w:t>
      </w:r>
      <w:r w:rsidRPr="008571DE">
        <w:rPr>
          <w:i/>
          <w:sz w:val="22"/>
          <w:szCs w:val="22"/>
          <w:lang w:val="sr-Latn-RS"/>
        </w:rPr>
        <w:t>t</w:t>
      </w:r>
      <w:r>
        <w:rPr>
          <w:i/>
          <w:sz w:val="22"/>
          <w:szCs w:val="22"/>
          <w:lang w:val="sr-Latn-RS"/>
        </w:rPr>
        <w:t>ematskog</w:t>
      </w:r>
      <w:r w:rsidRPr="008571DE">
        <w:rPr>
          <w:i/>
          <w:sz w:val="22"/>
          <w:szCs w:val="22"/>
          <w:lang w:val="sr-Latn-RS"/>
        </w:rPr>
        <w:t xml:space="preserve"> fokusa: Digitalizacija u svetu rada</w:t>
      </w:r>
      <w:r w:rsidR="0085555C">
        <w:rPr>
          <w:sz w:val="22"/>
          <w:szCs w:val="22"/>
          <w:lang w:val="sr-Latn-RS"/>
        </w:rPr>
        <w:t>, kao dela</w:t>
      </w:r>
      <w:r w:rsidRPr="008571DE">
        <w:rPr>
          <w:sz w:val="22"/>
          <w:szCs w:val="22"/>
          <w:lang w:val="sr-Latn-RS"/>
        </w:rPr>
        <w:t xml:space="preserve"> narativnog izveštaja trećeg Indeksa rodne ravnopravnosti </w:t>
      </w:r>
      <w:r w:rsidR="0085555C">
        <w:rPr>
          <w:sz w:val="22"/>
          <w:szCs w:val="22"/>
          <w:lang w:val="sr-Latn-RS"/>
        </w:rPr>
        <w:t>u Republici Srbiji</w:t>
      </w:r>
      <w:r w:rsidRPr="008571DE">
        <w:rPr>
          <w:sz w:val="22"/>
          <w:szCs w:val="22"/>
          <w:lang w:val="sr-Latn-RS"/>
        </w:rPr>
        <w:t xml:space="preserve"> (u daljem tekstu </w:t>
      </w:r>
      <w:r>
        <w:rPr>
          <w:sz w:val="22"/>
          <w:szCs w:val="22"/>
          <w:lang w:val="sr-Latn-RS"/>
        </w:rPr>
        <w:t>IRR</w:t>
      </w:r>
      <w:r w:rsidR="0085555C">
        <w:rPr>
          <w:sz w:val="22"/>
          <w:szCs w:val="22"/>
          <w:lang w:val="sr-Latn-RS"/>
        </w:rPr>
        <w:t>). Tematski fokus, kao novi</w:t>
      </w:r>
      <w:r w:rsidRPr="008571DE">
        <w:rPr>
          <w:sz w:val="22"/>
          <w:szCs w:val="22"/>
          <w:lang w:val="sr-Latn-RS"/>
        </w:rPr>
        <w:t xml:space="preserve"> </w:t>
      </w:r>
      <w:r>
        <w:rPr>
          <w:sz w:val="22"/>
          <w:szCs w:val="22"/>
          <w:lang w:val="sr-Latn-RS"/>
        </w:rPr>
        <w:t>segment</w:t>
      </w:r>
      <w:r w:rsidRPr="008571DE">
        <w:rPr>
          <w:sz w:val="22"/>
          <w:szCs w:val="22"/>
          <w:lang w:val="sr-Latn-RS"/>
        </w:rPr>
        <w:t xml:space="preserve"> Indeksa na nivou EU, biće uveden u nacionalni </w:t>
      </w:r>
      <w:r>
        <w:rPr>
          <w:sz w:val="22"/>
          <w:szCs w:val="22"/>
          <w:lang w:val="sr-Latn-RS"/>
        </w:rPr>
        <w:t>IRR</w:t>
      </w:r>
      <w:r w:rsidRPr="008571DE">
        <w:rPr>
          <w:sz w:val="22"/>
          <w:szCs w:val="22"/>
          <w:lang w:val="sr-Latn-RS"/>
        </w:rPr>
        <w:t xml:space="preserve"> sa posebnim fokusom na efekte digitalizacije na život žena i muškaraca. Preciznije, tematski fokus se odnosi na tri oblasti: upotrebu i razvoj digitalnih veština i tehnologija, digitalnu transformaciju sveta rada i šire posledice digitalizacije </w:t>
      </w:r>
      <w:r>
        <w:rPr>
          <w:sz w:val="22"/>
          <w:szCs w:val="22"/>
          <w:lang w:val="sr-Latn-RS"/>
        </w:rPr>
        <w:t>po</w:t>
      </w:r>
      <w:r w:rsidRPr="008571DE">
        <w:rPr>
          <w:sz w:val="22"/>
          <w:szCs w:val="22"/>
          <w:lang w:val="sr-Latn-RS"/>
        </w:rPr>
        <w:t xml:space="preserve"> ljudska prava, nasilje nad ženama i aktivnosti</w:t>
      </w:r>
      <w:r>
        <w:rPr>
          <w:sz w:val="22"/>
          <w:szCs w:val="22"/>
          <w:lang w:val="sr-Latn-RS"/>
        </w:rPr>
        <w:t xml:space="preserve"> brige i nege</w:t>
      </w:r>
      <w:r w:rsidRPr="008571DE">
        <w:rPr>
          <w:sz w:val="22"/>
          <w:szCs w:val="22"/>
          <w:lang w:val="sr-Latn-RS"/>
        </w:rPr>
        <w:t>.</w:t>
      </w:r>
    </w:p>
    <w:p w14:paraId="1879A408" w14:textId="2950E34F" w:rsidR="008571DE" w:rsidRPr="008571DE" w:rsidRDefault="008571DE" w:rsidP="008571DE">
      <w:pPr>
        <w:spacing w:line="276" w:lineRule="auto"/>
        <w:jc w:val="both"/>
        <w:rPr>
          <w:sz w:val="22"/>
          <w:szCs w:val="22"/>
          <w:lang w:val="sr-Latn-RS"/>
        </w:rPr>
      </w:pPr>
      <w:r w:rsidRPr="008571DE">
        <w:rPr>
          <w:sz w:val="22"/>
          <w:szCs w:val="22"/>
          <w:lang w:val="sr-Latn-RS"/>
        </w:rPr>
        <w:t xml:space="preserve">Ovaj deo </w:t>
      </w:r>
      <w:r w:rsidR="0085555C">
        <w:rPr>
          <w:sz w:val="22"/>
          <w:szCs w:val="22"/>
          <w:lang w:val="sr-Latn-RS"/>
        </w:rPr>
        <w:t xml:space="preserve">IRR </w:t>
      </w:r>
      <w:r w:rsidRPr="008571DE">
        <w:rPr>
          <w:sz w:val="22"/>
          <w:szCs w:val="22"/>
          <w:lang w:val="sr-Latn-RS"/>
        </w:rPr>
        <w:t xml:space="preserve">izveštaja zasnivaće se na podacima Republičkog zavoda za statistiku, kao i na drugim </w:t>
      </w:r>
      <w:r>
        <w:rPr>
          <w:sz w:val="22"/>
          <w:szCs w:val="22"/>
          <w:lang w:val="sr-Latn-RS"/>
        </w:rPr>
        <w:t>izvorima: sekundarni podaci, istraživanja, analize</w:t>
      </w:r>
      <w:r w:rsidRPr="008571DE">
        <w:rPr>
          <w:sz w:val="22"/>
          <w:szCs w:val="22"/>
          <w:lang w:val="sr-Latn-RS"/>
        </w:rPr>
        <w:t xml:space="preserve"> itd.</w:t>
      </w:r>
    </w:p>
    <w:p w14:paraId="0C2C85CB" w14:textId="4886DF8D" w:rsidR="00DD0A8F" w:rsidRPr="00C62B0E" w:rsidRDefault="008571DE" w:rsidP="008571DE">
      <w:pPr>
        <w:spacing w:line="276" w:lineRule="auto"/>
        <w:jc w:val="both"/>
        <w:rPr>
          <w:sz w:val="22"/>
          <w:szCs w:val="22"/>
          <w:lang w:val="sr-Latn-RS"/>
        </w:rPr>
      </w:pPr>
      <w:r>
        <w:rPr>
          <w:sz w:val="22"/>
          <w:szCs w:val="22"/>
          <w:lang w:val="sr-Latn-RS"/>
        </w:rPr>
        <w:t>Izrada IRR u Republici Srbiji</w:t>
      </w:r>
      <w:r w:rsidRPr="008571DE">
        <w:rPr>
          <w:sz w:val="22"/>
          <w:szCs w:val="22"/>
          <w:lang w:val="sr-Latn-RS"/>
        </w:rPr>
        <w:t xml:space="preserve"> </w:t>
      </w:r>
      <w:r>
        <w:rPr>
          <w:sz w:val="22"/>
          <w:szCs w:val="22"/>
          <w:lang w:val="sr-Latn-RS"/>
        </w:rPr>
        <w:t>sprovodi se</w:t>
      </w:r>
      <w:r w:rsidRPr="008571DE">
        <w:rPr>
          <w:sz w:val="22"/>
          <w:szCs w:val="22"/>
          <w:lang w:val="sr-Latn-RS"/>
        </w:rPr>
        <w:t xml:space="preserve"> u saradnji sledećih institucija i organizacija: Koordinaciono telo za rodnu ravnopravnost, </w:t>
      </w:r>
      <w:r>
        <w:rPr>
          <w:sz w:val="22"/>
          <w:szCs w:val="22"/>
          <w:lang w:val="sr-Latn-RS"/>
        </w:rPr>
        <w:t>Tim za socijalno uključivanje i smanjenje siromaštva Vlade Republike Srbije</w:t>
      </w:r>
      <w:r w:rsidRPr="008571DE">
        <w:rPr>
          <w:sz w:val="22"/>
          <w:szCs w:val="22"/>
          <w:lang w:val="sr-Latn-RS"/>
        </w:rPr>
        <w:t xml:space="preserve"> (SIPRU), UN </w:t>
      </w:r>
      <w:r>
        <w:rPr>
          <w:sz w:val="22"/>
          <w:szCs w:val="22"/>
          <w:lang w:val="sr-Latn-RS"/>
        </w:rPr>
        <w:t>W</w:t>
      </w:r>
      <w:r w:rsidRPr="008571DE">
        <w:rPr>
          <w:sz w:val="22"/>
          <w:szCs w:val="22"/>
          <w:lang w:val="sr-Latn-RS"/>
        </w:rPr>
        <w:t>omen, Republički zavod za statisti</w:t>
      </w:r>
      <w:r w:rsidR="0085555C">
        <w:rPr>
          <w:sz w:val="22"/>
          <w:szCs w:val="22"/>
          <w:lang w:val="sr-Latn-RS"/>
        </w:rPr>
        <w:t>ku (RZS), uz podršku Evropskog i</w:t>
      </w:r>
      <w:r w:rsidRPr="008571DE">
        <w:rPr>
          <w:sz w:val="22"/>
          <w:szCs w:val="22"/>
          <w:lang w:val="sr-Latn-RS"/>
        </w:rPr>
        <w:t>nstitut</w:t>
      </w:r>
      <w:r w:rsidR="0085555C">
        <w:rPr>
          <w:sz w:val="22"/>
          <w:szCs w:val="22"/>
          <w:lang w:val="sr-Latn-RS"/>
        </w:rPr>
        <w:t>a</w:t>
      </w:r>
      <w:r w:rsidRPr="008571DE">
        <w:rPr>
          <w:sz w:val="22"/>
          <w:szCs w:val="22"/>
          <w:lang w:val="sr-Latn-RS"/>
        </w:rPr>
        <w:t xml:space="preserve"> za </w:t>
      </w:r>
      <w:r w:rsidR="0085555C">
        <w:rPr>
          <w:sz w:val="22"/>
          <w:szCs w:val="22"/>
          <w:lang w:val="sr-Latn-RS"/>
        </w:rPr>
        <w:t>rodnu ravnopravnost</w:t>
      </w:r>
      <w:r w:rsidRPr="008571DE">
        <w:rPr>
          <w:sz w:val="22"/>
          <w:szCs w:val="22"/>
          <w:lang w:val="sr-Latn-RS"/>
        </w:rPr>
        <w:t xml:space="preserve"> (EIGE).</w:t>
      </w:r>
    </w:p>
    <w:p w14:paraId="760F883E" w14:textId="177DF5DE" w:rsidR="007A2A88" w:rsidRPr="00C62B0E" w:rsidRDefault="007A2A88"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lastRenderedPageBreak/>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1F10D36E" w14:textId="1EBD034B" w:rsidR="0085555C" w:rsidRPr="0085555C" w:rsidRDefault="0085555C" w:rsidP="0085555C">
      <w:pPr>
        <w:spacing w:after="120" w:line="276" w:lineRule="auto"/>
        <w:jc w:val="both"/>
        <w:rPr>
          <w:sz w:val="22"/>
          <w:szCs w:val="22"/>
          <w:lang w:val="sr-Latn-RS"/>
        </w:rPr>
      </w:pPr>
      <w:r w:rsidRPr="00925613">
        <w:rPr>
          <w:sz w:val="22"/>
          <w:szCs w:val="22"/>
          <w:lang w:val="sr-Latn-RS"/>
        </w:rPr>
        <w:t xml:space="preserve">Konsultant/kinja će </w:t>
      </w:r>
      <w:r>
        <w:rPr>
          <w:sz w:val="22"/>
          <w:szCs w:val="22"/>
          <w:lang w:val="sr-Latn-RS"/>
        </w:rPr>
        <w:t>raditi na pripremi tematskog fokusa IRR u Republici Srbiji</w:t>
      </w:r>
      <w:r w:rsidRPr="00925613">
        <w:rPr>
          <w:sz w:val="22"/>
          <w:szCs w:val="22"/>
          <w:lang w:val="sr-Latn-RS"/>
        </w:rPr>
        <w:t xml:space="preserve"> kroz:</w:t>
      </w:r>
    </w:p>
    <w:p w14:paraId="4C30B5A3" w14:textId="116F2FCB" w:rsidR="0085555C" w:rsidRDefault="0085555C" w:rsidP="0085555C">
      <w:pPr>
        <w:pStyle w:val="ListParagraph"/>
        <w:numPr>
          <w:ilvl w:val="0"/>
          <w:numId w:val="43"/>
        </w:numPr>
        <w:spacing w:after="120" w:line="276" w:lineRule="auto"/>
        <w:jc w:val="both"/>
        <w:rPr>
          <w:sz w:val="22"/>
          <w:szCs w:val="22"/>
          <w:lang w:val="sr-Latn-RS"/>
        </w:rPr>
      </w:pPr>
      <w:r>
        <w:rPr>
          <w:sz w:val="22"/>
          <w:szCs w:val="22"/>
          <w:lang w:val="sr-Latn-RS"/>
        </w:rPr>
        <w:t xml:space="preserve">redovne </w:t>
      </w:r>
      <w:r w:rsidRPr="0085555C">
        <w:rPr>
          <w:sz w:val="22"/>
          <w:szCs w:val="22"/>
          <w:lang w:val="sr-Latn-RS"/>
        </w:rPr>
        <w:t xml:space="preserve">konsultacije sa </w:t>
      </w:r>
      <w:r>
        <w:rPr>
          <w:sz w:val="22"/>
          <w:szCs w:val="22"/>
          <w:lang w:val="sr-Latn-RS"/>
        </w:rPr>
        <w:t>Timom za socijalno uključivanje i smanjenje siromaštva Vlade Republike Srbije</w:t>
      </w:r>
      <w:r w:rsidRPr="008571DE">
        <w:rPr>
          <w:sz w:val="22"/>
          <w:szCs w:val="22"/>
          <w:lang w:val="sr-Latn-RS"/>
        </w:rPr>
        <w:t xml:space="preserve"> (SIPRU)</w:t>
      </w:r>
      <w:r w:rsidRPr="0085555C">
        <w:rPr>
          <w:sz w:val="22"/>
          <w:szCs w:val="22"/>
          <w:lang w:val="sr-Latn-RS"/>
        </w:rPr>
        <w:t xml:space="preserve">, </w:t>
      </w:r>
      <w:r>
        <w:rPr>
          <w:sz w:val="22"/>
          <w:szCs w:val="22"/>
          <w:lang w:val="sr-Latn-RS"/>
        </w:rPr>
        <w:t xml:space="preserve">Republičkim zavodom za statistiku (RZS), </w:t>
      </w:r>
      <w:r w:rsidRPr="0085555C">
        <w:rPr>
          <w:sz w:val="22"/>
          <w:szCs w:val="22"/>
          <w:lang w:val="sr-Latn-RS"/>
        </w:rPr>
        <w:t>Koordinacionim telom za rodnu ravnopravnost (</w:t>
      </w:r>
      <w:r>
        <w:rPr>
          <w:sz w:val="22"/>
          <w:szCs w:val="22"/>
          <w:lang w:val="sr-Latn-RS"/>
        </w:rPr>
        <w:t>KTRR</w:t>
      </w:r>
      <w:r w:rsidRPr="0085555C">
        <w:rPr>
          <w:sz w:val="22"/>
          <w:szCs w:val="22"/>
          <w:lang w:val="sr-Latn-RS"/>
        </w:rPr>
        <w:t xml:space="preserve">), UN </w:t>
      </w:r>
      <w:r>
        <w:rPr>
          <w:sz w:val="22"/>
          <w:szCs w:val="22"/>
          <w:lang w:val="sr-Latn-RS"/>
        </w:rPr>
        <w:t>W</w:t>
      </w:r>
      <w:r w:rsidRPr="0085555C">
        <w:rPr>
          <w:sz w:val="22"/>
          <w:szCs w:val="22"/>
          <w:lang w:val="sr-Latn-RS"/>
        </w:rPr>
        <w:t xml:space="preserve">omen i drugim </w:t>
      </w:r>
      <w:r>
        <w:rPr>
          <w:sz w:val="22"/>
          <w:szCs w:val="22"/>
          <w:lang w:val="sr-Latn-RS"/>
        </w:rPr>
        <w:t>akterima</w:t>
      </w:r>
      <w:r w:rsidRPr="0085555C">
        <w:rPr>
          <w:sz w:val="22"/>
          <w:szCs w:val="22"/>
          <w:lang w:val="sr-Latn-RS"/>
        </w:rPr>
        <w:t>, ako je potrebno;</w:t>
      </w:r>
    </w:p>
    <w:p w14:paraId="504BAA2D" w14:textId="350E6C43" w:rsidR="0085555C" w:rsidRDefault="0085555C" w:rsidP="0085555C">
      <w:pPr>
        <w:pStyle w:val="ListParagraph"/>
        <w:numPr>
          <w:ilvl w:val="0"/>
          <w:numId w:val="43"/>
        </w:numPr>
        <w:spacing w:after="120" w:line="276" w:lineRule="auto"/>
        <w:jc w:val="both"/>
        <w:rPr>
          <w:sz w:val="22"/>
          <w:szCs w:val="22"/>
          <w:lang w:val="sr-Latn-RS"/>
        </w:rPr>
      </w:pPr>
      <w:r>
        <w:rPr>
          <w:sz w:val="22"/>
          <w:szCs w:val="22"/>
          <w:lang w:val="sr-Latn-RS"/>
        </w:rPr>
        <w:t xml:space="preserve">prikupljanje i klasifikaciju dostupnih </w:t>
      </w:r>
      <w:r w:rsidR="002D2F94">
        <w:rPr>
          <w:sz w:val="22"/>
          <w:szCs w:val="22"/>
          <w:lang w:val="sr-Latn-RS"/>
        </w:rPr>
        <w:t xml:space="preserve">podataka i </w:t>
      </w:r>
      <w:r>
        <w:rPr>
          <w:sz w:val="22"/>
          <w:szCs w:val="22"/>
          <w:lang w:val="sr-Latn-RS"/>
        </w:rPr>
        <w:t>informacija neophodnih</w:t>
      </w:r>
      <w:r w:rsidRPr="0085555C">
        <w:rPr>
          <w:sz w:val="22"/>
          <w:szCs w:val="22"/>
          <w:lang w:val="sr-Latn-RS"/>
        </w:rPr>
        <w:t xml:space="preserve"> za </w:t>
      </w:r>
      <w:r>
        <w:rPr>
          <w:sz w:val="22"/>
          <w:szCs w:val="22"/>
          <w:lang w:val="sr-Latn-RS"/>
        </w:rPr>
        <w:t>izradu tematskog fokusa, kao dela</w:t>
      </w:r>
      <w:r w:rsidRPr="0085555C">
        <w:rPr>
          <w:sz w:val="22"/>
          <w:szCs w:val="22"/>
          <w:lang w:val="sr-Latn-RS"/>
        </w:rPr>
        <w:t xml:space="preserve"> narativnog izveštaja trećeg </w:t>
      </w:r>
      <w:r>
        <w:rPr>
          <w:sz w:val="22"/>
          <w:szCs w:val="22"/>
          <w:lang w:val="sr-Latn-RS"/>
        </w:rPr>
        <w:t>I</w:t>
      </w:r>
      <w:r w:rsidRPr="0085555C">
        <w:rPr>
          <w:sz w:val="22"/>
          <w:szCs w:val="22"/>
          <w:lang w:val="sr-Latn-RS"/>
        </w:rPr>
        <w:t xml:space="preserve">ndeksa rodne ravnopravnosti </w:t>
      </w:r>
      <w:r>
        <w:rPr>
          <w:sz w:val="22"/>
          <w:szCs w:val="22"/>
          <w:lang w:val="sr-Latn-RS"/>
        </w:rPr>
        <w:t>u Republici Srbiji</w:t>
      </w:r>
      <w:r w:rsidRPr="0085555C">
        <w:rPr>
          <w:sz w:val="22"/>
          <w:szCs w:val="22"/>
          <w:lang w:val="sr-Latn-RS"/>
        </w:rPr>
        <w:t>;</w:t>
      </w:r>
    </w:p>
    <w:p w14:paraId="4C182B8F" w14:textId="77777777" w:rsidR="0085555C" w:rsidRDefault="0085555C" w:rsidP="0085555C">
      <w:pPr>
        <w:pStyle w:val="ListParagraph"/>
        <w:numPr>
          <w:ilvl w:val="0"/>
          <w:numId w:val="43"/>
        </w:numPr>
        <w:spacing w:after="120" w:line="276" w:lineRule="auto"/>
        <w:jc w:val="both"/>
        <w:rPr>
          <w:sz w:val="22"/>
          <w:szCs w:val="22"/>
          <w:lang w:val="sr-Latn-RS"/>
        </w:rPr>
      </w:pPr>
      <w:r>
        <w:rPr>
          <w:sz w:val="22"/>
          <w:szCs w:val="22"/>
          <w:lang w:val="sr-Latn-RS"/>
        </w:rPr>
        <w:t>korišćenje metodologije i smernica</w:t>
      </w:r>
      <w:r w:rsidRPr="0085555C">
        <w:rPr>
          <w:sz w:val="22"/>
          <w:szCs w:val="22"/>
          <w:lang w:val="sr-Latn-RS"/>
        </w:rPr>
        <w:t xml:space="preserve"> Evropskog instituta za </w:t>
      </w:r>
      <w:r>
        <w:rPr>
          <w:sz w:val="22"/>
          <w:szCs w:val="22"/>
          <w:lang w:val="sr-Latn-RS"/>
        </w:rPr>
        <w:t>rodnu ravnopravnost</w:t>
      </w:r>
      <w:r w:rsidRPr="0085555C">
        <w:rPr>
          <w:sz w:val="22"/>
          <w:szCs w:val="22"/>
          <w:lang w:val="sr-Latn-RS"/>
        </w:rPr>
        <w:t xml:space="preserve"> za izradu ovog dela </w:t>
      </w:r>
      <w:r>
        <w:rPr>
          <w:sz w:val="22"/>
          <w:szCs w:val="22"/>
          <w:lang w:val="sr-Latn-RS"/>
        </w:rPr>
        <w:t>IRR</w:t>
      </w:r>
      <w:r w:rsidRPr="0085555C">
        <w:rPr>
          <w:sz w:val="22"/>
          <w:szCs w:val="22"/>
          <w:lang w:val="sr-Latn-RS"/>
        </w:rPr>
        <w:t xml:space="preserve"> izveštaja;</w:t>
      </w:r>
    </w:p>
    <w:p w14:paraId="36B5D9F3" w14:textId="164E5813" w:rsidR="00E10083" w:rsidRDefault="0085555C" w:rsidP="0085555C">
      <w:pPr>
        <w:pStyle w:val="ListParagraph"/>
        <w:numPr>
          <w:ilvl w:val="0"/>
          <w:numId w:val="43"/>
        </w:numPr>
        <w:spacing w:after="120" w:line="276" w:lineRule="auto"/>
        <w:jc w:val="both"/>
        <w:rPr>
          <w:sz w:val="22"/>
          <w:szCs w:val="22"/>
          <w:lang w:val="sr-Latn-RS"/>
        </w:rPr>
      </w:pPr>
      <w:r>
        <w:rPr>
          <w:sz w:val="22"/>
          <w:szCs w:val="22"/>
          <w:lang w:val="sr-Latn-RS"/>
        </w:rPr>
        <w:t>korišćenje</w:t>
      </w:r>
      <w:r w:rsidRPr="0085555C">
        <w:rPr>
          <w:sz w:val="22"/>
          <w:szCs w:val="22"/>
          <w:lang w:val="sr-Latn-RS"/>
        </w:rPr>
        <w:t xml:space="preserve"> podat</w:t>
      </w:r>
      <w:r>
        <w:rPr>
          <w:sz w:val="22"/>
          <w:szCs w:val="22"/>
          <w:lang w:val="sr-Latn-RS"/>
        </w:rPr>
        <w:t>aka</w:t>
      </w:r>
      <w:r w:rsidR="002D2F94">
        <w:rPr>
          <w:sz w:val="22"/>
          <w:szCs w:val="22"/>
          <w:lang w:val="sr-Latn-RS"/>
        </w:rPr>
        <w:t xml:space="preserve"> i informacija</w:t>
      </w:r>
      <w:r w:rsidR="00E10083">
        <w:rPr>
          <w:sz w:val="22"/>
          <w:szCs w:val="22"/>
          <w:lang w:val="sr-Latn-RS"/>
        </w:rPr>
        <w:t xml:space="preserve"> koje će</w:t>
      </w:r>
      <w:r w:rsidRPr="0085555C">
        <w:rPr>
          <w:sz w:val="22"/>
          <w:szCs w:val="22"/>
          <w:lang w:val="sr-Latn-RS"/>
        </w:rPr>
        <w:t xml:space="preserve"> Republi</w:t>
      </w:r>
      <w:r w:rsidR="00E10083">
        <w:rPr>
          <w:sz w:val="22"/>
          <w:szCs w:val="22"/>
          <w:lang w:val="sr-Latn-RS"/>
        </w:rPr>
        <w:t>čki zavod za statistiku prikupiti</w:t>
      </w:r>
      <w:r w:rsidRPr="0085555C">
        <w:rPr>
          <w:sz w:val="22"/>
          <w:szCs w:val="22"/>
          <w:lang w:val="sr-Latn-RS"/>
        </w:rPr>
        <w:t xml:space="preserve"> za</w:t>
      </w:r>
      <w:r w:rsidR="00E10083">
        <w:rPr>
          <w:sz w:val="22"/>
          <w:szCs w:val="22"/>
          <w:lang w:val="sr-Latn-RS"/>
        </w:rPr>
        <w:t xml:space="preserve"> pripremu izveštaja, kao i drugih izvora: sekundarni podaci, istraživanja, analize itd</w:t>
      </w:r>
      <w:r w:rsidRPr="0085555C">
        <w:rPr>
          <w:sz w:val="22"/>
          <w:szCs w:val="22"/>
          <w:lang w:val="sr-Latn-RS"/>
        </w:rPr>
        <w:t>.;</w:t>
      </w:r>
    </w:p>
    <w:p w14:paraId="720915E8" w14:textId="6987F023" w:rsidR="00E10083" w:rsidRDefault="00E10083" w:rsidP="0085555C">
      <w:pPr>
        <w:pStyle w:val="ListParagraph"/>
        <w:numPr>
          <w:ilvl w:val="0"/>
          <w:numId w:val="43"/>
        </w:numPr>
        <w:spacing w:after="120" w:line="276" w:lineRule="auto"/>
        <w:jc w:val="both"/>
        <w:rPr>
          <w:sz w:val="22"/>
          <w:szCs w:val="22"/>
          <w:lang w:val="sr-Latn-RS"/>
        </w:rPr>
      </w:pPr>
      <w:r>
        <w:rPr>
          <w:sz w:val="22"/>
          <w:szCs w:val="22"/>
          <w:lang w:val="sr-Latn-RS"/>
        </w:rPr>
        <w:t>pripremu</w:t>
      </w:r>
      <w:r w:rsidR="0085555C" w:rsidRPr="00E10083">
        <w:rPr>
          <w:sz w:val="22"/>
          <w:szCs w:val="22"/>
          <w:lang w:val="sr-Latn-RS"/>
        </w:rPr>
        <w:t xml:space="preserve"> nacrt</w:t>
      </w:r>
      <w:r>
        <w:rPr>
          <w:sz w:val="22"/>
          <w:szCs w:val="22"/>
          <w:lang w:val="sr-Latn-RS"/>
        </w:rPr>
        <w:t>a</w:t>
      </w:r>
      <w:r w:rsidR="0085555C" w:rsidRPr="00E10083">
        <w:rPr>
          <w:sz w:val="22"/>
          <w:szCs w:val="22"/>
          <w:lang w:val="sr-Latn-RS"/>
        </w:rPr>
        <w:t xml:space="preserve"> </w:t>
      </w:r>
      <w:r>
        <w:rPr>
          <w:sz w:val="22"/>
          <w:szCs w:val="22"/>
          <w:lang w:val="sr-Latn-RS"/>
        </w:rPr>
        <w:t>teksta tematskog fokusa;</w:t>
      </w:r>
    </w:p>
    <w:p w14:paraId="3EF747D4" w14:textId="769160C6" w:rsidR="00E10083" w:rsidRDefault="00E10083" w:rsidP="0085555C">
      <w:pPr>
        <w:pStyle w:val="ListParagraph"/>
        <w:numPr>
          <w:ilvl w:val="0"/>
          <w:numId w:val="43"/>
        </w:numPr>
        <w:spacing w:after="120" w:line="276" w:lineRule="auto"/>
        <w:jc w:val="both"/>
        <w:rPr>
          <w:sz w:val="22"/>
          <w:szCs w:val="22"/>
          <w:lang w:val="sr-Latn-RS"/>
        </w:rPr>
      </w:pPr>
      <w:r>
        <w:rPr>
          <w:sz w:val="22"/>
          <w:szCs w:val="22"/>
          <w:lang w:val="sr-Latn-RS"/>
        </w:rPr>
        <w:t>pripremu finalnog teksta tematskog fokusa, u skladu sa komentarima i sugestijama dobijenim od</w:t>
      </w:r>
      <w:r w:rsidR="0085555C" w:rsidRPr="00E10083">
        <w:rPr>
          <w:sz w:val="22"/>
          <w:szCs w:val="22"/>
          <w:lang w:val="sr-Latn-RS"/>
        </w:rPr>
        <w:t xml:space="preserve"> S</w:t>
      </w:r>
      <w:r>
        <w:rPr>
          <w:sz w:val="22"/>
          <w:szCs w:val="22"/>
          <w:lang w:val="sr-Latn-RS"/>
        </w:rPr>
        <w:t>IPRU</w:t>
      </w:r>
      <w:r w:rsidR="0085555C" w:rsidRPr="00E10083">
        <w:rPr>
          <w:sz w:val="22"/>
          <w:szCs w:val="22"/>
          <w:lang w:val="sr-Latn-RS"/>
        </w:rPr>
        <w:t xml:space="preserve">, </w:t>
      </w:r>
      <w:r>
        <w:rPr>
          <w:sz w:val="22"/>
          <w:szCs w:val="22"/>
          <w:lang w:val="sr-Latn-RS"/>
        </w:rPr>
        <w:t>RZS</w:t>
      </w:r>
      <w:r w:rsidR="0085555C" w:rsidRPr="00E10083">
        <w:rPr>
          <w:sz w:val="22"/>
          <w:szCs w:val="22"/>
          <w:lang w:val="sr-Latn-RS"/>
        </w:rPr>
        <w:t xml:space="preserve">, </w:t>
      </w:r>
      <w:r>
        <w:rPr>
          <w:sz w:val="22"/>
          <w:szCs w:val="22"/>
          <w:lang w:val="sr-Latn-RS"/>
        </w:rPr>
        <w:t>KTRR, UN Women i EIGE</w:t>
      </w:r>
      <w:r w:rsidR="009A00AD">
        <w:rPr>
          <w:sz w:val="22"/>
          <w:szCs w:val="22"/>
          <w:lang w:val="sr-Latn-RS"/>
        </w:rPr>
        <w:t>, na srpskom i engleskom jeziku</w:t>
      </w:r>
      <w:r w:rsidR="0085555C" w:rsidRPr="00E10083">
        <w:rPr>
          <w:sz w:val="22"/>
          <w:szCs w:val="22"/>
          <w:lang w:val="sr-Latn-RS"/>
        </w:rPr>
        <w:t>;</w:t>
      </w:r>
    </w:p>
    <w:p w14:paraId="12634406" w14:textId="77777777" w:rsidR="00E10083" w:rsidRDefault="00E10083" w:rsidP="0085555C">
      <w:pPr>
        <w:pStyle w:val="ListParagraph"/>
        <w:numPr>
          <w:ilvl w:val="0"/>
          <w:numId w:val="43"/>
        </w:numPr>
        <w:spacing w:after="120" w:line="276" w:lineRule="auto"/>
        <w:jc w:val="both"/>
        <w:rPr>
          <w:sz w:val="22"/>
          <w:szCs w:val="22"/>
          <w:lang w:val="sr-Latn-RS"/>
        </w:rPr>
      </w:pPr>
      <w:r>
        <w:rPr>
          <w:sz w:val="22"/>
          <w:szCs w:val="22"/>
          <w:lang w:val="sr-Latn-RS"/>
        </w:rPr>
        <w:t>pripremu prezentacije</w:t>
      </w:r>
      <w:r w:rsidR="0085555C" w:rsidRPr="00E10083">
        <w:rPr>
          <w:sz w:val="22"/>
          <w:szCs w:val="22"/>
          <w:lang w:val="sr-Latn-RS"/>
        </w:rPr>
        <w:t xml:space="preserve"> ključnih </w:t>
      </w:r>
      <w:r>
        <w:rPr>
          <w:sz w:val="22"/>
          <w:szCs w:val="22"/>
          <w:lang w:val="sr-Latn-RS"/>
        </w:rPr>
        <w:t>nalaza</w:t>
      </w:r>
      <w:r w:rsidR="0085555C" w:rsidRPr="00E10083">
        <w:rPr>
          <w:sz w:val="22"/>
          <w:szCs w:val="22"/>
          <w:lang w:val="sr-Latn-RS"/>
        </w:rPr>
        <w:t xml:space="preserve"> </w:t>
      </w:r>
      <w:r>
        <w:rPr>
          <w:sz w:val="22"/>
          <w:szCs w:val="22"/>
          <w:lang w:val="sr-Latn-RS"/>
        </w:rPr>
        <w:t>tematskog fokusa</w:t>
      </w:r>
      <w:r w:rsidR="0085555C" w:rsidRPr="00E10083">
        <w:rPr>
          <w:sz w:val="22"/>
          <w:szCs w:val="22"/>
          <w:lang w:val="sr-Latn-RS"/>
        </w:rPr>
        <w:t>;</w:t>
      </w:r>
    </w:p>
    <w:p w14:paraId="05DC48B1" w14:textId="62E5BF69" w:rsidR="001B23B2" w:rsidRPr="00E10083" w:rsidRDefault="00E10083" w:rsidP="0085555C">
      <w:pPr>
        <w:pStyle w:val="ListParagraph"/>
        <w:numPr>
          <w:ilvl w:val="0"/>
          <w:numId w:val="43"/>
        </w:numPr>
        <w:spacing w:after="120" w:line="276" w:lineRule="auto"/>
        <w:jc w:val="both"/>
        <w:rPr>
          <w:sz w:val="22"/>
          <w:szCs w:val="22"/>
          <w:lang w:val="sr-Latn-RS"/>
        </w:rPr>
      </w:pPr>
      <w:r>
        <w:rPr>
          <w:sz w:val="22"/>
          <w:szCs w:val="22"/>
          <w:lang w:val="sr-Latn-RS"/>
        </w:rPr>
        <w:t>j</w:t>
      </w:r>
      <w:r w:rsidR="0085555C" w:rsidRPr="00E10083">
        <w:rPr>
          <w:sz w:val="22"/>
          <w:szCs w:val="22"/>
          <w:lang w:val="sr-Latn-RS"/>
        </w:rPr>
        <w:t xml:space="preserve">avno </w:t>
      </w:r>
      <w:r>
        <w:rPr>
          <w:sz w:val="22"/>
          <w:szCs w:val="22"/>
          <w:lang w:val="sr-Latn-RS"/>
        </w:rPr>
        <w:t>predstavljanje rezultata</w:t>
      </w:r>
      <w:r w:rsidR="0085555C" w:rsidRPr="00E10083">
        <w:rPr>
          <w:sz w:val="22"/>
          <w:szCs w:val="22"/>
          <w:lang w:val="sr-Latn-RS"/>
        </w:rPr>
        <w:t xml:space="preserve"> Indeksa rodne ravnopravnosti na </w:t>
      </w:r>
      <w:r>
        <w:rPr>
          <w:sz w:val="22"/>
          <w:szCs w:val="22"/>
          <w:lang w:val="sr-Latn-RS"/>
        </w:rPr>
        <w:t>događaju na kojem će biti predstavljen</w:t>
      </w:r>
      <w:r w:rsidR="0085555C" w:rsidRPr="00E10083">
        <w:rPr>
          <w:sz w:val="22"/>
          <w:szCs w:val="22"/>
          <w:lang w:val="sr-Latn-RS"/>
        </w:rPr>
        <w:t xml:space="preserve"> </w:t>
      </w:r>
      <w:r>
        <w:rPr>
          <w:sz w:val="22"/>
          <w:szCs w:val="22"/>
          <w:lang w:val="sr-Latn-RS"/>
        </w:rPr>
        <w:t>I</w:t>
      </w:r>
      <w:r w:rsidR="0085555C" w:rsidRPr="00E10083">
        <w:rPr>
          <w:sz w:val="22"/>
          <w:szCs w:val="22"/>
          <w:lang w:val="sr-Latn-RS"/>
        </w:rPr>
        <w:t>ndeks rodne ravnopravnosti</w:t>
      </w:r>
      <w:r>
        <w:rPr>
          <w:sz w:val="22"/>
          <w:szCs w:val="22"/>
          <w:lang w:val="sr-Latn-RS"/>
        </w:rPr>
        <w:t xml:space="preserve"> u Republici Srbiji</w:t>
      </w:r>
      <w:r w:rsidR="0085555C" w:rsidRPr="00E10083">
        <w:rPr>
          <w:sz w:val="22"/>
          <w:szCs w:val="22"/>
          <w:lang w:val="sr-Latn-RS"/>
        </w:rPr>
        <w:t>.</w:t>
      </w:r>
    </w:p>
    <w:p w14:paraId="5770220C" w14:textId="7D973B14" w:rsidR="0060224C" w:rsidRPr="00C62B0E" w:rsidRDefault="0060224C" w:rsidP="00E10083">
      <w:pPr>
        <w:spacing w:after="120" w:line="276" w:lineRule="auto"/>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2DCE38DF"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 </w:t>
      </w:r>
      <w:r w:rsidR="009A00AD">
        <w:rPr>
          <w:sz w:val="22"/>
          <w:szCs w:val="22"/>
          <w:lang w:val="sr-Latn-RS"/>
        </w:rPr>
        <w:t>28</w:t>
      </w:r>
      <w:r w:rsidR="00D76FAA" w:rsidRPr="00C62B0E">
        <w:rPr>
          <w:sz w:val="22"/>
          <w:szCs w:val="22"/>
          <w:lang w:val="sr-Latn-RS"/>
        </w:rPr>
        <w:t xml:space="preserve">. </w:t>
      </w:r>
      <w:r w:rsidR="00E10083">
        <w:rPr>
          <w:sz w:val="22"/>
          <w:szCs w:val="22"/>
          <w:lang w:val="sr-Latn-RS"/>
        </w:rPr>
        <w:t>decembra</w:t>
      </w:r>
      <w:r w:rsidR="00B725EE">
        <w:rPr>
          <w:sz w:val="22"/>
          <w:szCs w:val="22"/>
          <w:lang w:val="sr-Latn-RS"/>
        </w:rPr>
        <w:t xml:space="preserve"> 2020. </w:t>
      </w:r>
      <w:r w:rsidR="002543DC" w:rsidRPr="00C62B0E">
        <w:rPr>
          <w:sz w:val="22"/>
          <w:szCs w:val="22"/>
          <w:lang w:val="sr-Latn-RS"/>
        </w:rPr>
        <w:t>do</w:t>
      </w:r>
      <w:r w:rsidR="00F42E08" w:rsidRPr="00C62B0E">
        <w:rPr>
          <w:lang w:val="sr-Latn-RS"/>
        </w:rPr>
        <w:t xml:space="preserve"> 3</w:t>
      </w:r>
      <w:r w:rsidR="00E10083">
        <w:rPr>
          <w:lang w:val="sr-Latn-RS"/>
        </w:rPr>
        <w:t>0</w:t>
      </w:r>
      <w:r w:rsidR="00F42E08" w:rsidRPr="00C62B0E">
        <w:rPr>
          <w:lang w:val="sr-Latn-RS"/>
        </w:rPr>
        <w:t xml:space="preserve">. </w:t>
      </w:r>
      <w:r w:rsidR="00E10083">
        <w:rPr>
          <w:lang w:val="sr-Latn-RS"/>
        </w:rPr>
        <w:t>aprila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550370BA" w14:textId="112B4C6B" w:rsidR="00E10083" w:rsidRPr="00E10083" w:rsidRDefault="00D44620" w:rsidP="00E10083">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ni</w:t>
      </w:r>
      <w:r w:rsidR="00C007AF" w:rsidRPr="00C62B0E">
        <w:rPr>
          <w:b/>
          <w:sz w:val="22"/>
          <w:szCs w:val="22"/>
          <w:lang w:val="sr-Latn-RS"/>
        </w:rPr>
        <w:t xml:space="preserve"> </w:t>
      </w:r>
      <w:r w:rsidR="00A77336" w:rsidRPr="00C62B0E">
        <w:rPr>
          <w:b/>
          <w:sz w:val="22"/>
          <w:szCs w:val="22"/>
          <w:lang w:val="sr-Latn-RS"/>
        </w:rPr>
        <w:t>konsultant/konsultantkinja</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00086A2A" w14:textId="60C09784" w:rsidR="00E10083" w:rsidRPr="00E10083" w:rsidRDefault="00E10083" w:rsidP="00E10083">
      <w:pPr>
        <w:pStyle w:val="ListParagraph"/>
        <w:numPr>
          <w:ilvl w:val="0"/>
          <w:numId w:val="42"/>
        </w:numPr>
        <w:spacing w:after="120" w:line="276" w:lineRule="auto"/>
        <w:jc w:val="both"/>
        <w:rPr>
          <w:sz w:val="22"/>
          <w:szCs w:val="22"/>
          <w:lang w:val="sr-Latn-RS"/>
        </w:rPr>
      </w:pPr>
      <w:r w:rsidRPr="00E10083">
        <w:rPr>
          <w:sz w:val="22"/>
          <w:szCs w:val="22"/>
          <w:lang w:val="sr-Latn-RS"/>
        </w:rPr>
        <w:t xml:space="preserve">Univerzitetska diploma </w:t>
      </w:r>
      <w:r w:rsidR="0063740D">
        <w:rPr>
          <w:sz w:val="22"/>
          <w:szCs w:val="22"/>
          <w:lang w:val="sr-Latn-RS"/>
        </w:rPr>
        <w:t>u oblasti</w:t>
      </w:r>
      <w:r w:rsidRPr="00E10083">
        <w:rPr>
          <w:sz w:val="22"/>
          <w:szCs w:val="22"/>
          <w:lang w:val="sr-Latn-RS"/>
        </w:rPr>
        <w:t xml:space="preserve"> društvenih nauka ili drug</w:t>
      </w:r>
      <w:r w:rsidR="0063740D">
        <w:rPr>
          <w:sz w:val="22"/>
          <w:szCs w:val="22"/>
          <w:lang w:val="sr-Latn-RS"/>
        </w:rPr>
        <w:t xml:space="preserve">im relevantnim </w:t>
      </w:r>
      <w:r w:rsidRPr="00E10083">
        <w:rPr>
          <w:sz w:val="22"/>
          <w:szCs w:val="22"/>
          <w:lang w:val="sr-Latn-RS"/>
        </w:rPr>
        <w:t>oblasti</w:t>
      </w:r>
      <w:r w:rsidR="0063740D">
        <w:rPr>
          <w:sz w:val="22"/>
          <w:szCs w:val="22"/>
          <w:lang w:val="sr-Latn-RS"/>
        </w:rPr>
        <w:t>ma</w:t>
      </w:r>
      <w:r w:rsidRPr="00E10083">
        <w:rPr>
          <w:sz w:val="22"/>
          <w:szCs w:val="22"/>
          <w:lang w:val="sr-Latn-RS"/>
        </w:rPr>
        <w:t>;</w:t>
      </w:r>
    </w:p>
    <w:p w14:paraId="5DDD7186" w14:textId="7BA02B9A" w:rsidR="00E10083" w:rsidRPr="00E10083" w:rsidRDefault="00E10083" w:rsidP="00E10083">
      <w:pPr>
        <w:pStyle w:val="ListParagraph"/>
        <w:numPr>
          <w:ilvl w:val="0"/>
          <w:numId w:val="42"/>
        </w:numPr>
        <w:spacing w:after="120" w:line="276" w:lineRule="auto"/>
        <w:jc w:val="both"/>
        <w:rPr>
          <w:sz w:val="22"/>
          <w:szCs w:val="22"/>
          <w:lang w:val="sr-Latn-RS"/>
        </w:rPr>
      </w:pPr>
      <w:r>
        <w:rPr>
          <w:sz w:val="22"/>
          <w:szCs w:val="22"/>
          <w:lang w:val="sr-Latn-RS"/>
        </w:rPr>
        <w:t>P</w:t>
      </w:r>
      <w:r w:rsidRPr="00E10083">
        <w:rPr>
          <w:sz w:val="22"/>
          <w:szCs w:val="22"/>
          <w:lang w:val="sr-Latn-RS"/>
        </w:rPr>
        <w:t>rethodn</w:t>
      </w:r>
      <w:r>
        <w:rPr>
          <w:sz w:val="22"/>
          <w:szCs w:val="22"/>
          <w:lang w:val="sr-Latn-RS"/>
        </w:rPr>
        <w:t xml:space="preserve">o radno iskustvo </w:t>
      </w:r>
      <w:r w:rsidR="009A00AD">
        <w:rPr>
          <w:sz w:val="22"/>
          <w:szCs w:val="22"/>
          <w:lang w:val="sr-Latn-RS"/>
        </w:rPr>
        <w:t>ili saradnja sa organizacijama</w:t>
      </w:r>
      <w:r>
        <w:rPr>
          <w:sz w:val="22"/>
          <w:szCs w:val="22"/>
          <w:lang w:val="sr-Latn-RS"/>
        </w:rPr>
        <w:t>/</w:t>
      </w:r>
      <w:r w:rsidRPr="00E10083">
        <w:rPr>
          <w:sz w:val="22"/>
          <w:szCs w:val="22"/>
          <w:lang w:val="sr-Latn-RS"/>
        </w:rPr>
        <w:t>instituc</w:t>
      </w:r>
      <w:r w:rsidR="009A00AD">
        <w:rPr>
          <w:sz w:val="22"/>
          <w:szCs w:val="22"/>
          <w:lang w:val="sr-Latn-RS"/>
        </w:rPr>
        <w:t>ijama koje rade</w:t>
      </w:r>
      <w:r w:rsidR="002D2F94">
        <w:rPr>
          <w:sz w:val="22"/>
          <w:szCs w:val="22"/>
          <w:lang w:val="sr-Latn-RS"/>
        </w:rPr>
        <w:t xml:space="preserve"> u domenu socijalnog</w:t>
      </w:r>
      <w:r w:rsidRPr="00E10083">
        <w:rPr>
          <w:sz w:val="22"/>
          <w:szCs w:val="22"/>
          <w:lang w:val="sr-Latn-RS"/>
        </w:rPr>
        <w:t xml:space="preserve"> </w:t>
      </w:r>
      <w:r>
        <w:rPr>
          <w:sz w:val="22"/>
          <w:szCs w:val="22"/>
          <w:lang w:val="sr-Latn-RS"/>
        </w:rPr>
        <w:t>uključivanja</w:t>
      </w:r>
      <w:r w:rsidRPr="00E10083">
        <w:rPr>
          <w:sz w:val="22"/>
          <w:szCs w:val="22"/>
          <w:lang w:val="sr-Latn-RS"/>
        </w:rPr>
        <w:t xml:space="preserve"> i smanjenja siromaštva,</w:t>
      </w:r>
    </w:p>
    <w:p w14:paraId="1358F83A" w14:textId="64F1F8A2" w:rsidR="00E10083" w:rsidRPr="00E10083" w:rsidRDefault="00E10083" w:rsidP="00E10083">
      <w:pPr>
        <w:pStyle w:val="ListParagraph"/>
        <w:numPr>
          <w:ilvl w:val="0"/>
          <w:numId w:val="42"/>
        </w:numPr>
        <w:spacing w:after="120" w:line="276" w:lineRule="auto"/>
        <w:jc w:val="both"/>
        <w:rPr>
          <w:sz w:val="22"/>
          <w:szCs w:val="22"/>
          <w:lang w:val="sr-Latn-RS"/>
        </w:rPr>
      </w:pPr>
      <w:r w:rsidRPr="00E10083">
        <w:rPr>
          <w:sz w:val="22"/>
          <w:szCs w:val="22"/>
          <w:lang w:val="sr-Latn-RS"/>
        </w:rPr>
        <w:t>Dobro poznavanje statistike, prikupljanja i obrade podataka;</w:t>
      </w:r>
    </w:p>
    <w:p w14:paraId="69400477" w14:textId="4FB284E4" w:rsidR="009A00AD" w:rsidRDefault="00E10083" w:rsidP="00E10083">
      <w:pPr>
        <w:pStyle w:val="ListParagraph"/>
        <w:numPr>
          <w:ilvl w:val="0"/>
          <w:numId w:val="42"/>
        </w:numPr>
        <w:spacing w:after="120" w:line="276" w:lineRule="auto"/>
        <w:jc w:val="both"/>
        <w:rPr>
          <w:sz w:val="22"/>
          <w:szCs w:val="22"/>
          <w:lang w:val="sr-Latn-RS"/>
        </w:rPr>
      </w:pPr>
      <w:r w:rsidRPr="00E10083">
        <w:rPr>
          <w:sz w:val="22"/>
          <w:szCs w:val="22"/>
          <w:lang w:val="sr-Latn-RS"/>
        </w:rPr>
        <w:t xml:space="preserve">Prethodno iskustvo u pisanju izveštaja </w:t>
      </w:r>
      <w:r w:rsidR="009A00AD">
        <w:rPr>
          <w:sz w:val="22"/>
          <w:szCs w:val="22"/>
          <w:lang w:val="sr-Latn-RS"/>
        </w:rPr>
        <w:t xml:space="preserve">i analiza zasnovanih na podacima </w:t>
      </w:r>
      <w:bookmarkStart w:id="1" w:name="_GoBack"/>
      <w:bookmarkEnd w:id="1"/>
      <w:r w:rsidR="009A00AD">
        <w:rPr>
          <w:sz w:val="22"/>
          <w:szCs w:val="22"/>
          <w:lang w:val="sr-Latn-RS"/>
        </w:rPr>
        <w:t>u oblastima relevantnim za projektni zadatak;</w:t>
      </w:r>
    </w:p>
    <w:p w14:paraId="57378250" w14:textId="36F84C4C" w:rsidR="00E10083" w:rsidRPr="00E10083" w:rsidRDefault="009A00AD" w:rsidP="00E10083">
      <w:pPr>
        <w:pStyle w:val="ListParagraph"/>
        <w:numPr>
          <w:ilvl w:val="0"/>
          <w:numId w:val="42"/>
        </w:numPr>
        <w:spacing w:after="120" w:line="276" w:lineRule="auto"/>
        <w:jc w:val="both"/>
        <w:rPr>
          <w:sz w:val="22"/>
          <w:szCs w:val="22"/>
          <w:lang w:val="sr-Latn-RS"/>
        </w:rPr>
      </w:pPr>
      <w:r w:rsidRPr="00E10083">
        <w:rPr>
          <w:sz w:val="22"/>
          <w:szCs w:val="22"/>
          <w:lang w:val="sr-Latn-RS"/>
        </w:rPr>
        <w:t>Prethodno iskustvo u pisanju izveštaja</w:t>
      </w:r>
      <w:r w:rsidRPr="00E10083">
        <w:rPr>
          <w:sz w:val="22"/>
          <w:szCs w:val="22"/>
          <w:lang w:val="sr-Latn-RS"/>
        </w:rPr>
        <w:t xml:space="preserve"> </w:t>
      </w:r>
      <w:r w:rsidR="00E10083" w:rsidRPr="00E10083">
        <w:rPr>
          <w:sz w:val="22"/>
          <w:szCs w:val="22"/>
          <w:lang w:val="sr-Latn-RS"/>
        </w:rPr>
        <w:t>i kontekstualizaciji podataka u oblasti rodne ravnopravnosti</w:t>
      </w:r>
      <w:r>
        <w:rPr>
          <w:sz w:val="22"/>
          <w:szCs w:val="22"/>
          <w:lang w:val="sr-Latn-RS"/>
        </w:rPr>
        <w:t xml:space="preserve"> će se smatrati prednošću</w:t>
      </w:r>
      <w:r w:rsidR="00E10083" w:rsidRPr="00E10083">
        <w:rPr>
          <w:sz w:val="22"/>
          <w:szCs w:val="22"/>
          <w:lang w:val="sr-Latn-RS"/>
        </w:rPr>
        <w:t>;</w:t>
      </w:r>
    </w:p>
    <w:p w14:paraId="078F2E94" w14:textId="14EC7356" w:rsidR="00E10083" w:rsidRPr="00E10083" w:rsidRDefault="00E10083" w:rsidP="00E10083">
      <w:pPr>
        <w:pStyle w:val="ListParagraph"/>
        <w:numPr>
          <w:ilvl w:val="0"/>
          <w:numId w:val="42"/>
        </w:numPr>
        <w:spacing w:after="120" w:line="276" w:lineRule="auto"/>
        <w:jc w:val="both"/>
        <w:rPr>
          <w:sz w:val="22"/>
          <w:szCs w:val="22"/>
          <w:lang w:val="sr-Latn-RS"/>
        </w:rPr>
      </w:pPr>
      <w:r w:rsidRPr="00E10083">
        <w:rPr>
          <w:sz w:val="22"/>
          <w:szCs w:val="22"/>
          <w:lang w:val="sr-Latn-RS"/>
        </w:rPr>
        <w:t xml:space="preserve">Odlične veštine pisanja i </w:t>
      </w:r>
      <w:r w:rsidR="0063740D">
        <w:rPr>
          <w:sz w:val="22"/>
          <w:szCs w:val="22"/>
          <w:lang w:val="sr-Latn-RS"/>
        </w:rPr>
        <w:t>analitičke veštine</w:t>
      </w:r>
      <w:r w:rsidRPr="00E10083">
        <w:rPr>
          <w:sz w:val="22"/>
          <w:szCs w:val="22"/>
          <w:lang w:val="sr-Latn-RS"/>
        </w:rPr>
        <w:t>;</w:t>
      </w:r>
    </w:p>
    <w:p w14:paraId="401A7414" w14:textId="77777777" w:rsidR="0063740D" w:rsidRDefault="00E10083" w:rsidP="0063740D">
      <w:pPr>
        <w:pStyle w:val="ListParagraph"/>
        <w:numPr>
          <w:ilvl w:val="0"/>
          <w:numId w:val="42"/>
        </w:numPr>
        <w:spacing w:after="120" w:line="276" w:lineRule="auto"/>
        <w:jc w:val="both"/>
        <w:rPr>
          <w:sz w:val="22"/>
          <w:szCs w:val="22"/>
          <w:lang w:val="sr-Latn-RS"/>
        </w:rPr>
      </w:pPr>
      <w:r w:rsidRPr="00E10083">
        <w:rPr>
          <w:sz w:val="22"/>
          <w:szCs w:val="22"/>
          <w:lang w:val="sr-Latn-RS"/>
        </w:rPr>
        <w:t>Odlične istraživačke veštine;</w:t>
      </w:r>
    </w:p>
    <w:p w14:paraId="4357954A" w14:textId="77777777" w:rsidR="0063740D" w:rsidRDefault="00E10083" w:rsidP="0063740D">
      <w:pPr>
        <w:pStyle w:val="ListParagraph"/>
        <w:numPr>
          <w:ilvl w:val="0"/>
          <w:numId w:val="42"/>
        </w:numPr>
        <w:spacing w:after="120" w:line="276" w:lineRule="auto"/>
        <w:jc w:val="both"/>
        <w:rPr>
          <w:sz w:val="22"/>
          <w:szCs w:val="22"/>
          <w:lang w:val="sr-Latn-RS"/>
        </w:rPr>
      </w:pPr>
      <w:r w:rsidRPr="0063740D">
        <w:rPr>
          <w:sz w:val="22"/>
          <w:szCs w:val="22"/>
          <w:lang w:val="sr-Latn-RS"/>
        </w:rPr>
        <w:t>Odlične komunikacione veštine;</w:t>
      </w:r>
    </w:p>
    <w:p w14:paraId="4B2320B5" w14:textId="77777777" w:rsidR="0063740D" w:rsidRDefault="00E10083" w:rsidP="0063740D">
      <w:pPr>
        <w:pStyle w:val="ListParagraph"/>
        <w:numPr>
          <w:ilvl w:val="0"/>
          <w:numId w:val="42"/>
        </w:numPr>
        <w:spacing w:after="120" w:line="276" w:lineRule="auto"/>
        <w:jc w:val="both"/>
        <w:rPr>
          <w:sz w:val="22"/>
          <w:szCs w:val="22"/>
          <w:lang w:val="sr-Latn-RS"/>
        </w:rPr>
      </w:pPr>
      <w:r w:rsidRPr="0063740D">
        <w:rPr>
          <w:sz w:val="22"/>
          <w:szCs w:val="22"/>
          <w:lang w:val="sr-Latn-RS"/>
        </w:rPr>
        <w:t>Odlično znanje engleskog jezika.</w:t>
      </w:r>
    </w:p>
    <w:p w14:paraId="330D2AB9" w14:textId="77777777" w:rsidR="005F0EC2" w:rsidRPr="00C62B0E" w:rsidRDefault="005F0EC2" w:rsidP="005F0EC2">
      <w:pPr>
        <w:spacing w:after="120" w:line="276" w:lineRule="auto"/>
        <w:jc w:val="both"/>
        <w:rPr>
          <w:b/>
          <w:sz w:val="22"/>
          <w:szCs w:val="22"/>
          <w:lang w:val="sr-Latn-RS"/>
        </w:rPr>
      </w:pPr>
    </w:p>
    <w:p w14:paraId="1B2CD50C" w14:textId="0CCCE4E9" w:rsidR="00C007AF" w:rsidRPr="00C62B0E"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0D02FC12"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F36080" w:rsidRPr="00357568">
          <w:rPr>
            <w:rStyle w:val="Hyperlink"/>
            <w:spacing w:val="-2"/>
            <w:sz w:val="22"/>
            <w:szCs w:val="22"/>
            <w:lang w:val="sr-Latn-RS"/>
          </w:rPr>
          <w:t>jovana.ilic@gov.rs</w:t>
        </w:r>
      </w:hyperlink>
      <w:r w:rsidR="00D76FAA" w:rsidRPr="00C62B0E">
        <w:rPr>
          <w:spacing w:val="-2"/>
          <w:sz w:val="22"/>
          <w:szCs w:val="22"/>
          <w:lang w:val="sr-Latn-RS"/>
        </w:rPr>
        <w:t xml:space="preserve"> najkasnije </w:t>
      </w:r>
      <w:r w:rsidR="00D76FAA" w:rsidRPr="00C62B0E">
        <w:rPr>
          <w:b/>
          <w:spacing w:val="-2"/>
          <w:sz w:val="22"/>
          <w:szCs w:val="22"/>
          <w:lang w:val="sr-Latn-RS"/>
        </w:rPr>
        <w:t xml:space="preserve">do </w:t>
      </w:r>
      <w:r w:rsidR="009A00AD" w:rsidRPr="009A00AD">
        <w:rPr>
          <w:b/>
          <w:spacing w:val="-2"/>
          <w:sz w:val="22"/>
          <w:szCs w:val="22"/>
          <w:lang w:val="sr-Latn-RS"/>
        </w:rPr>
        <w:t>srede</w:t>
      </w:r>
      <w:r w:rsidR="00D76FAA" w:rsidRPr="009A00AD">
        <w:rPr>
          <w:b/>
          <w:spacing w:val="-2"/>
          <w:sz w:val="22"/>
          <w:szCs w:val="22"/>
          <w:lang w:val="sr-Latn-RS"/>
        </w:rPr>
        <w:t xml:space="preserve">, </w:t>
      </w:r>
      <w:r w:rsidR="009A00AD" w:rsidRPr="009A00AD">
        <w:rPr>
          <w:b/>
          <w:spacing w:val="-2"/>
          <w:sz w:val="22"/>
          <w:szCs w:val="22"/>
          <w:lang w:val="sr-Latn-RS"/>
        </w:rPr>
        <w:t>23</w:t>
      </w:r>
      <w:r w:rsidR="00D76FAA" w:rsidRPr="009A00AD">
        <w:rPr>
          <w:b/>
          <w:spacing w:val="-2"/>
          <w:sz w:val="22"/>
          <w:szCs w:val="22"/>
          <w:lang w:val="sr-Latn-RS"/>
        </w:rPr>
        <w:t xml:space="preserve">. </w:t>
      </w:r>
      <w:r w:rsidR="0063740D" w:rsidRPr="009A00AD">
        <w:rPr>
          <w:b/>
          <w:spacing w:val="-2"/>
          <w:sz w:val="22"/>
          <w:szCs w:val="22"/>
          <w:lang w:val="sr-Latn-RS"/>
        </w:rPr>
        <w:t>decembra</w:t>
      </w:r>
      <w:r w:rsidR="00D76FAA" w:rsidRPr="009A00AD">
        <w:rPr>
          <w:b/>
          <w:spacing w:val="-2"/>
          <w:sz w:val="22"/>
          <w:szCs w:val="22"/>
          <w:lang w:val="sr-Latn-RS"/>
        </w:rPr>
        <w:t xml:space="preserve"> 2020. godine do 1</w:t>
      </w:r>
      <w:r w:rsidR="00E81A03" w:rsidRPr="009A00AD">
        <w:rPr>
          <w:b/>
          <w:spacing w:val="-2"/>
          <w:sz w:val="22"/>
          <w:szCs w:val="22"/>
          <w:lang w:val="sr-Latn-RS"/>
        </w:rPr>
        <w:t>7</w:t>
      </w:r>
      <w:r w:rsidR="00D76FAA" w:rsidRPr="009A00AD">
        <w:rPr>
          <w:b/>
          <w:spacing w:val="-2"/>
          <w:sz w:val="22"/>
          <w:szCs w:val="22"/>
          <w:lang w:val="sr-Latn-RS"/>
        </w:rPr>
        <w:t xml:space="preserve"> časova</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4C2A084C"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 xml:space="preserve">za poziciju </w:t>
      </w:r>
      <w:r w:rsidR="0063740D" w:rsidRPr="0063740D">
        <w:rPr>
          <w:sz w:val="22"/>
          <w:szCs w:val="22"/>
          <w:lang w:val="sr-Latn-RS"/>
        </w:rPr>
        <w:t>konsultanta/kinje za pripremu tematskog fokusa Indeksa rodne ravnopravnosti u Republici Srbiji</w:t>
      </w:r>
      <w:r w:rsidR="00CF7A93" w:rsidRPr="00C62B0E">
        <w:rPr>
          <w:sz w:val="22"/>
          <w:szCs w:val="22"/>
          <w:lang w:val="sr-Latn-RS"/>
        </w:rPr>
        <w:t>.</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BC542" w14:textId="77777777" w:rsidR="00FF12A9" w:rsidRDefault="00FF12A9" w:rsidP="002C66F6">
      <w:r>
        <w:separator/>
      </w:r>
    </w:p>
  </w:endnote>
  <w:endnote w:type="continuationSeparator" w:id="0">
    <w:p w14:paraId="28C84F03" w14:textId="77777777" w:rsidR="00FF12A9" w:rsidRDefault="00FF12A9"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00B842D0"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9A00AD">
      <w:rPr>
        <w:noProof/>
        <w:sz w:val="20"/>
        <w:szCs w:val="20"/>
      </w:rPr>
      <w:t>3</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8D24" w14:textId="77777777" w:rsidR="00FF12A9" w:rsidRDefault="00FF12A9" w:rsidP="002C66F6">
      <w:r>
        <w:separator/>
      </w:r>
    </w:p>
  </w:footnote>
  <w:footnote w:type="continuationSeparator" w:id="0">
    <w:p w14:paraId="778E8C76" w14:textId="77777777" w:rsidR="00FF12A9" w:rsidRDefault="00FF12A9"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1"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3"/>
  </w:num>
  <w:num w:numId="4">
    <w:abstractNumId w:val="12"/>
  </w:num>
  <w:num w:numId="5">
    <w:abstractNumId w:val="17"/>
  </w:num>
  <w:num w:numId="6">
    <w:abstractNumId w:val="21"/>
  </w:num>
  <w:num w:numId="7">
    <w:abstractNumId w:val="16"/>
  </w:num>
  <w:num w:numId="8">
    <w:abstractNumId w:val="23"/>
  </w:num>
  <w:num w:numId="9">
    <w:abstractNumId w:val="41"/>
  </w:num>
  <w:num w:numId="10">
    <w:abstractNumId w:val="32"/>
  </w:num>
  <w:num w:numId="11">
    <w:abstractNumId w:val="19"/>
  </w:num>
  <w:num w:numId="12">
    <w:abstractNumId w:val="26"/>
  </w:num>
  <w:num w:numId="13">
    <w:abstractNumId w:val="31"/>
  </w:num>
  <w:num w:numId="14">
    <w:abstractNumId w:val="10"/>
  </w:num>
  <w:num w:numId="15">
    <w:abstractNumId w:val="4"/>
  </w:num>
  <w:num w:numId="16">
    <w:abstractNumId w:val="39"/>
  </w:num>
  <w:num w:numId="17">
    <w:abstractNumId w:val="38"/>
  </w:num>
  <w:num w:numId="18">
    <w:abstractNumId w:val="30"/>
  </w:num>
  <w:num w:numId="19">
    <w:abstractNumId w:val="42"/>
  </w:num>
  <w:num w:numId="20">
    <w:abstractNumId w:val="35"/>
  </w:num>
  <w:num w:numId="21">
    <w:abstractNumId w:val="18"/>
  </w:num>
  <w:num w:numId="22">
    <w:abstractNumId w:val="13"/>
  </w:num>
  <w:num w:numId="23">
    <w:abstractNumId w:val="9"/>
  </w:num>
  <w:num w:numId="24">
    <w:abstractNumId w:val="0"/>
  </w:num>
  <w:num w:numId="25">
    <w:abstractNumId w:val="25"/>
  </w:num>
  <w:num w:numId="26">
    <w:abstractNumId w:val="11"/>
  </w:num>
  <w:num w:numId="27">
    <w:abstractNumId w:val="40"/>
  </w:num>
  <w:num w:numId="28">
    <w:abstractNumId w:val="37"/>
  </w:num>
  <w:num w:numId="29">
    <w:abstractNumId w:val="2"/>
  </w:num>
  <w:num w:numId="30">
    <w:abstractNumId w:val="1"/>
  </w:num>
  <w:num w:numId="31">
    <w:abstractNumId w:val="29"/>
  </w:num>
  <w:num w:numId="32">
    <w:abstractNumId w:val="27"/>
  </w:num>
  <w:num w:numId="33">
    <w:abstractNumId w:val="22"/>
  </w:num>
  <w:num w:numId="34">
    <w:abstractNumId w:val="5"/>
  </w:num>
  <w:num w:numId="35">
    <w:abstractNumId w:val="24"/>
  </w:num>
  <w:num w:numId="36">
    <w:abstractNumId w:val="36"/>
  </w:num>
  <w:num w:numId="37">
    <w:abstractNumId w:val="14"/>
  </w:num>
  <w:num w:numId="38">
    <w:abstractNumId w:val="34"/>
  </w:num>
  <w:num w:numId="39">
    <w:abstractNumId w:val="28"/>
  </w:num>
  <w:num w:numId="40">
    <w:abstractNumId w:val="7"/>
  </w:num>
  <w:num w:numId="41">
    <w:abstractNumId w:val="6"/>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3740D"/>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5555C"/>
    <w:rsid w:val="008571DE"/>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44F"/>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10083"/>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il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FEC5-834F-4668-BA66-C7FCE1F0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9024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3</cp:revision>
  <cp:lastPrinted>2013-09-16T17:07:00Z</cp:lastPrinted>
  <dcterms:created xsi:type="dcterms:W3CDTF">2020-12-16T10:49:00Z</dcterms:created>
  <dcterms:modified xsi:type="dcterms:W3CDTF">2020-12-16T11:02:00Z</dcterms:modified>
</cp:coreProperties>
</file>