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1E3C" w14:textId="77777777" w:rsidR="008666FA" w:rsidRDefault="008666FA" w:rsidP="00AC5F00">
      <w:pPr>
        <w:tabs>
          <w:tab w:val="left" w:pos="0"/>
          <w:tab w:val="left" w:pos="720"/>
          <w:tab w:val="left" w:pos="1080"/>
        </w:tabs>
        <w:spacing w:before="120" w:after="120"/>
        <w:jc w:val="center"/>
        <w:rPr>
          <w:b/>
          <w:u w:val="single"/>
        </w:rPr>
      </w:pPr>
    </w:p>
    <w:p w14:paraId="77734BE5" w14:textId="5AE46AB8" w:rsidR="00AC5F00" w:rsidRPr="00B1643D" w:rsidRDefault="00AC5F00" w:rsidP="00AC5F00">
      <w:pPr>
        <w:tabs>
          <w:tab w:val="left" w:pos="0"/>
          <w:tab w:val="left" w:pos="720"/>
          <w:tab w:val="left" w:pos="1080"/>
        </w:tabs>
        <w:spacing w:before="120" w:after="120"/>
        <w:jc w:val="center"/>
        <w:rPr>
          <w:b/>
          <w:u w:val="single"/>
        </w:rPr>
      </w:pPr>
      <w:r w:rsidRPr="00B1643D">
        <w:rPr>
          <w:b/>
          <w:u w:val="single"/>
        </w:rPr>
        <w:t>Annex A</w:t>
      </w:r>
    </w:p>
    <w:p w14:paraId="1F8BBB5F" w14:textId="4B0E1CCA" w:rsidR="00446BB9" w:rsidRPr="00B1643D" w:rsidRDefault="00446BB9" w:rsidP="00446BB9">
      <w:pPr>
        <w:tabs>
          <w:tab w:val="left" w:pos="0"/>
          <w:tab w:val="left" w:pos="720"/>
          <w:tab w:val="left" w:pos="1080"/>
        </w:tabs>
        <w:spacing w:before="120" w:after="120"/>
        <w:jc w:val="center"/>
        <w:rPr>
          <w:b/>
          <w:u w:val="single"/>
        </w:rPr>
      </w:pPr>
      <w:r w:rsidRPr="00B1643D">
        <w:rPr>
          <w:b/>
        </w:rPr>
        <w:t>Terms of Reference and Scope of Services</w:t>
      </w:r>
    </w:p>
    <w:p w14:paraId="549AF226" w14:textId="4C197E03" w:rsidR="00222C76" w:rsidRPr="00B1643D" w:rsidRDefault="003E43D7" w:rsidP="00446BB9">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r w:rsidRPr="00B1643D">
        <w:rPr>
          <w:rFonts w:ascii="Times New Roman" w:hAnsi="Times New Roman" w:cs="Times New Roman"/>
          <w:b/>
          <w:bCs/>
          <w:color w:val="000000" w:themeColor="text1"/>
          <w:sz w:val="24"/>
          <w:szCs w:val="24"/>
        </w:rPr>
        <w:t>Evaluation</w:t>
      </w:r>
      <w:r w:rsidR="00A85F03" w:rsidRPr="00B1643D">
        <w:rPr>
          <w:rFonts w:ascii="Times New Roman" w:hAnsi="Times New Roman" w:cs="Times New Roman"/>
          <w:b/>
          <w:bCs/>
          <w:color w:val="000000" w:themeColor="text1"/>
          <w:sz w:val="24"/>
          <w:szCs w:val="24"/>
        </w:rPr>
        <w:t xml:space="preserve"> of public call </w:t>
      </w:r>
      <w:r w:rsidR="000169FD" w:rsidRPr="00B1643D">
        <w:rPr>
          <w:rFonts w:ascii="Times New Roman" w:hAnsi="Times New Roman" w:cs="Times New Roman"/>
          <w:b/>
          <w:bCs/>
          <w:color w:val="000000" w:themeColor="text1"/>
          <w:sz w:val="24"/>
          <w:szCs w:val="24"/>
        </w:rPr>
        <w:t>“Supporting Innovative Approaches to Tackle Youth Employment and Employability”</w:t>
      </w:r>
      <w:r w:rsidR="00C22FF4" w:rsidRPr="00B1643D">
        <w:rPr>
          <w:rFonts w:ascii="Times New Roman" w:hAnsi="Times New Roman" w:cs="Times New Roman"/>
          <w:b/>
          <w:bCs/>
          <w:color w:val="000000" w:themeColor="text1"/>
          <w:sz w:val="24"/>
          <w:szCs w:val="24"/>
        </w:rPr>
        <w:t xml:space="preserve"> for 2020-</w:t>
      </w:r>
      <w:r w:rsidR="000169FD" w:rsidRPr="00B1643D">
        <w:rPr>
          <w:rFonts w:ascii="Times New Roman" w:hAnsi="Times New Roman" w:cs="Times New Roman"/>
          <w:b/>
          <w:bCs/>
          <w:color w:val="000000" w:themeColor="text1"/>
          <w:sz w:val="24"/>
          <w:szCs w:val="24"/>
        </w:rPr>
        <w:t>2</w:t>
      </w:r>
      <w:r w:rsidR="00A85F03" w:rsidRPr="00B1643D">
        <w:rPr>
          <w:rFonts w:ascii="Times New Roman" w:hAnsi="Times New Roman" w:cs="Times New Roman"/>
          <w:b/>
          <w:bCs/>
          <w:color w:val="000000" w:themeColor="text1"/>
          <w:sz w:val="24"/>
          <w:szCs w:val="24"/>
        </w:rPr>
        <w:t>021</w:t>
      </w:r>
    </w:p>
    <w:p w14:paraId="2D9EC1C9" w14:textId="77777777" w:rsidR="00446BB9" w:rsidRPr="00B1643D"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rPr>
      </w:pPr>
      <w:r w:rsidRPr="00B1643D">
        <w:rPr>
          <w:rFonts w:ascii="Times New Roman" w:hAnsi="Times New Roman" w:cs="Times New Roman"/>
          <w:b/>
          <w:color w:val="000000" w:themeColor="text1"/>
          <w:sz w:val="24"/>
          <w:szCs w:val="24"/>
        </w:rPr>
        <w:t>Position:</w:t>
      </w:r>
      <w:r w:rsidRPr="00B1643D">
        <w:rPr>
          <w:rFonts w:ascii="Times New Roman" w:hAnsi="Times New Roman" w:cs="Times New Roman"/>
          <w:b/>
          <w:color w:val="000000" w:themeColor="text1"/>
          <w:sz w:val="24"/>
          <w:szCs w:val="24"/>
        </w:rPr>
        <w:tab/>
      </w:r>
      <w:r w:rsidRPr="00B1643D">
        <w:rPr>
          <w:rFonts w:ascii="Times New Roman" w:hAnsi="Times New Roman" w:cs="Times New Roman"/>
          <w:color w:val="000000"/>
          <w:sz w:val="24"/>
          <w:szCs w:val="24"/>
        </w:rPr>
        <w:t>Consultant</w:t>
      </w:r>
    </w:p>
    <w:p w14:paraId="3E7D139C" w14:textId="7359C6E8" w:rsidR="00446BB9" w:rsidRPr="00B1643D"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B1643D">
        <w:rPr>
          <w:rFonts w:ascii="Times New Roman" w:hAnsi="Times New Roman" w:cs="Times New Roman"/>
          <w:b/>
          <w:color w:val="000000" w:themeColor="text1"/>
          <w:sz w:val="24"/>
          <w:szCs w:val="24"/>
        </w:rPr>
        <w:t>Duration:</w:t>
      </w:r>
      <w:r w:rsidRPr="00B1643D">
        <w:rPr>
          <w:rFonts w:ascii="Times New Roman" w:hAnsi="Times New Roman" w:cs="Times New Roman"/>
          <w:color w:val="000000" w:themeColor="text1"/>
          <w:sz w:val="24"/>
          <w:szCs w:val="24"/>
        </w:rPr>
        <w:t xml:space="preserve"> </w:t>
      </w:r>
      <w:r w:rsidRPr="00B1643D">
        <w:rPr>
          <w:rFonts w:ascii="Times New Roman" w:hAnsi="Times New Roman" w:cs="Times New Roman"/>
          <w:color w:val="000000" w:themeColor="text1"/>
          <w:sz w:val="24"/>
          <w:szCs w:val="24"/>
        </w:rPr>
        <w:tab/>
      </w:r>
      <w:r w:rsidR="00A85F03" w:rsidRPr="00B1643D">
        <w:rPr>
          <w:rFonts w:ascii="Times New Roman" w:hAnsi="Times New Roman" w:cs="Times New Roman"/>
          <w:color w:val="000000" w:themeColor="text1"/>
          <w:sz w:val="24"/>
          <w:szCs w:val="24"/>
        </w:rPr>
        <w:t>November</w:t>
      </w:r>
      <w:r w:rsidR="006C1E68">
        <w:rPr>
          <w:rFonts w:ascii="Times New Roman" w:hAnsi="Times New Roman" w:cs="Times New Roman"/>
          <w:color w:val="000000" w:themeColor="text1"/>
          <w:sz w:val="24"/>
          <w:szCs w:val="24"/>
        </w:rPr>
        <w:t xml:space="preserve"> </w:t>
      </w:r>
      <w:r w:rsidR="0095425D">
        <w:rPr>
          <w:rFonts w:ascii="Times New Roman" w:hAnsi="Times New Roman" w:cs="Times New Roman"/>
          <w:color w:val="000000" w:themeColor="text1"/>
          <w:sz w:val="24"/>
          <w:szCs w:val="24"/>
        </w:rPr>
        <w:t xml:space="preserve">25 </w:t>
      </w:r>
      <w:r w:rsidRPr="00B1643D">
        <w:rPr>
          <w:rFonts w:ascii="Times New Roman" w:hAnsi="Times New Roman" w:cs="Times New Roman"/>
          <w:color w:val="000000" w:themeColor="text1"/>
          <w:sz w:val="24"/>
          <w:szCs w:val="24"/>
        </w:rPr>
        <w:t xml:space="preserve">– December </w:t>
      </w:r>
      <w:r w:rsidR="004B3287">
        <w:rPr>
          <w:rFonts w:ascii="Times New Roman" w:hAnsi="Times New Roman" w:cs="Times New Roman"/>
          <w:color w:val="000000" w:themeColor="text1"/>
          <w:sz w:val="24"/>
          <w:szCs w:val="24"/>
        </w:rPr>
        <w:t>31</w:t>
      </w:r>
      <w:r w:rsidR="006C1E68">
        <w:rPr>
          <w:rFonts w:ascii="Times New Roman" w:hAnsi="Times New Roman" w:cs="Times New Roman"/>
          <w:color w:val="000000" w:themeColor="text1"/>
          <w:sz w:val="24"/>
          <w:szCs w:val="24"/>
        </w:rPr>
        <w:t xml:space="preserve">, </w:t>
      </w:r>
      <w:r w:rsidRPr="00B1643D">
        <w:rPr>
          <w:rFonts w:ascii="Times New Roman" w:hAnsi="Times New Roman" w:cs="Times New Roman"/>
          <w:color w:val="000000" w:themeColor="text1"/>
          <w:sz w:val="24"/>
          <w:szCs w:val="24"/>
        </w:rPr>
        <w:t>2021</w:t>
      </w:r>
    </w:p>
    <w:p w14:paraId="5F662E79" w14:textId="4A6C951B" w:rsidR="00446BB9" w:rsidRPr="00B1643D" w:rsidRDefault="00446BB9" w:rsidP="00446BB9">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B1643D">
        <w:rPr>
          <w:rFonts w:ascii="Times New Roman" w:hAnsi="Times New Roman" w:cs="Times New Roman"/>
          <w:b/>
          <w:bCs/>
          <w:color w:val="000000" w:themeColor="text1"/>
          <w:sz w:val="24"/>
          <w:szCs w:val="24"/>
        </w:rPr>
        <w:t>Resources</w:t>
      </w:r>
      <w:r w:rsidRPr="00B1643D">
        <w:rPr>
          <w:rFonts w:ascii="Times New Roman" w:hAnsi="Times New Roman" w:cs="Times New Roman"/>
          <w:color w:val="000000" w:themeColor="text1"/>
          <w:sz w:val="24"/>
          <w:szCs w:val="24"/>
        </w:rPr>
        <w:t xml:space="preserve">: </w:t>
      </w:r>
      <w:r w:rsidRPr="00B1643D">
        <w:rPr>
          <w:rFonts w:ascii="Times New Roman" w:hAnsi="Times New Roman" w:cs="Times New Roman"/>
          <w:color w:val="000000" w:themeColor="text1"/>
          <w:sz w:val="24"/>
          <w:szCs w:val="24"/>
        </w:rPr>
        <w:tab/>
        <w:t xml:space="preserve">Up to </w:t>
      </w:r>
      <w:r w:rsidR="00A85F03" w:rsidRPr="00B1643D">
        <w:rPr>
          <w:rFonts w:ascii="Times New Roman" w:hAnsi="Times New Roman" w:cs="Times New Roman"/>
          <w:color w:val="000000" w:themeColor="text1"/>
          <w:sz w:val="24"/>
          <w:szCs w:val="24"/>
        </w:rPr>
        <w:t>1</w:t>
      </w:r>
      <w:r w:rsidR="00FD27CE" w:rsidRPr="00B1643D">
        <w:rPr>
          <w:rFonts w:ascii="Times New Roman" w:hAnsi="Times New Roman" w:cs="Times New Roman"/>
          <w:color w:val="000000" w:themeColor="text1"/>
          <w:sz w:val="24"/>
          <w:szCs w:val="24"/>
        </w:rPr>
        <w:t>5</w:t>
      </w:r>
      <w:r w:rsidRPr="00B1643D">
        <w:rPr>
          <w:rFonts w:ascii="Times New Roman" w:hAnsi="Times New Roman" w:cs="Times New Roman"/>
          <w:color w:val="000000" w:themeColor="text1"/>
          <w:sz w:val="24"/>
          <w:szCs w:val="24"/>
        </w:rPr>
        <w:t xml:space="preserve"> days</w:t>
      </w:r>
    </w:p>
    <w:p w14:paraId="6E11B9E3" w14:textId="77777777" w:rsidR="00446BB9" w:rsidRPr="00B1643D" w:rsidRDefault="00446BB9" w:rsidP="00446BB9">
      <w:pPr>
        <w:tabs>
          <w:tab w:val="left" w:pos="0"/>
          <w:tab w:val="left" w:pos="720"/>
          <w:tab w:val="left" w:pos="1080"/>
        </w:tabs>
        <w:spacing w:before="120" w:after="120"/>
        <w:outlineLvl w:val="0"/>
        <w:rPr>
          <w:b/>
        </w:rPr>
      </w:pPr>
    </w:p>
    <w:p w14:paraId="391522D1" w14:textId="77777777" w:rsidR="00446BB9" w:rsidRPr="00B1643D" w:rsidRDefault="00446BB9" w:rsidP="00446BB9">
      <w:pPr>
        <w:pStyle w:val="Heading1"/>
        <w:numPr>
          <w:ilvl w:val="0"/>
          <w:numId w:val="5"/>
        </w:numPr>
        <w:spacing w:after="120"/>
        <w:jc w:val="both"/>
        <w:rPr>
          <w:u w:val="single"/>
        </w:rPr>
      </w:pPr>
      <w:r w:rsidRPr="00B1643D">
        <w:rPr>
          <w:u w:val="single"/>
        </w:rPr>
        <w:t>Background</w:t>
      </w:r>
    </w:p>
    <w:p w14:paraId="7AE56E62" w14:textId="77777777" w:rsidR="00446BB9" w:rsidRPr="00B1643D" w:rsidRDefault="00446BB9" w:rsidP="00446BB9">
      <w:pPr>
        <w:pStyle w:val="PlainText"/>
        <w:spacing w:after="120"/>
        <w:jc w:val="both"/>
        <w:rPr>
          <w:rFonts w:ascii="Times New Roman" w:hAnsi="Times New Roman" w:cs="Times New Roman"/>
          <w:sz w:val="24"/>
          <w:szCs w:val="24"/>
        </w:rPr>
      </w:pPr>
      <w:r w:rsidRPr="00B1643D">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4EC8AA39" w14:textId="77777777" w:rsidR="00446BB9" w:rsidRPr="00B1643D" w:rsidRDefault="00446BB9" w:rsidP="00446BB9">
      <w:pPr>
        <w:pStyle w:val="PlainText"/>
        <w:spacing w:after="120"/>
        <w:jc w:val="both"/>
        <w:rPr>
          <w:rFonts w:ascii="Times New Roman" w:hAnsi="Times New Roman" w:cs="Times New Roman"/>
          <w:sz w:val="24"/>
          <w:szCs w:val="24"/>
        </w:rPr>
      </w:pPr>
      <w:r w:rsidRPr="00B1643D">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3373A08" w14:textId="77777777" w:rsidR="00446BB9" w:rsidRPr="00B1643D" w:rsidRDefault="00446BB9" w:rsidP="00446BB9">
      <w:pPr>
        <w:pStyle w:val="PlainText"/>
        <w:spacing w:after="120"/>
        <w:jc w:val="both"/>
        <w:rPr>
          <w:rFonts w:ascii="Times New Roman" w:hAnsi="Times New Roman" w:cs="Times New Roman"/>
          <w:sz w:val="24"/>
          <w:szCs w:val="24"/>
        </w:rPr>
      </w:pPr>
      <w:r w:rsidRPr="00B1643D">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78B9F8E7" w14:textId="77777777" w:rsidR="00446BB9" w:rsidRPr="00B1643D" w:rsidRDefault="00446BB9" w:rsidP="00446BB9">
      <w:pPr>
        <w:pStyle w:val="PlainText"/>
        <w:spacing w:after="120"/>
        <w:jc w:val="both"/>
        <w:rPr>
          <w:rFonts w:ascii="Times New Roman" w:hAnsi="Times New Roman" w:cs="Times New Roman"/>
          <w:sz w:val="24"/>
          <w:szCs w:val="24"/>
        </w:rPr>
      </w:pPr>
      <w:r w:rsidRPr="00B1643D">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w:t>
      </w:r>
      <w:r w:rsidRPr="00B1643D">
        <w:rPr>
          <w:rFonts w:ascii="Times New Roman" w:hAnsi="Times New Roman" w:cs="Times New Roman"/>
          <w:sz w:val="24"/>
          <w:szCs w:val="24"/>
        </w:rPr>
        <w:lastRenderedPageBreak/>
        <w:t xml:space="preserve">improves the position of youth on the Serbian labour market through modernization of youth employment policies and the development of young skilled labour demanded by the private sector. </w:t>
      </w:r>
    </w:p>
    <w:p w14:paraId="118EB860" w14:textId="77777777" w:rsidR="00446BB9" w:rsidRPr="00B1643D" w:rsidRDefault="00446BB9" w:rsidP="00446BB9">
      <w:pPr>
        <w:pStyle w:val="PlainText"/>
        <w:spacing w:after="120"/>
        <w:jc w:val="both"/>
        <w:rPr>
          <w:rFonts w:ascii="Times New Roman" w:hAnsi="Times New Roman" w:cs="Times New Roman"/>
          <w:sz w:val="24"/>
          <w:szCs w:val="24"/>
        </w:rPr>
      </w:pPr>
      <w:r w:rsidRPr="00B1643D">
        <w:rPr>
          <w:rFonts w:ascii="Times New Roman" w:hAnsi="Times New Roman" w:cs="Times New Roman"/>
          <w:sz w:val="24"/>
          <w:szCs w:val="24"/>
        </w:rPr>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2B43E80F" w14:textId="77777777" w:rsidR="00446BB9" w:rsidRPr="00B1643D" w:rsidRDefault="00446BB9" w:rsidP="00446BB9">
      <w:pPr>
        <w:pStyle w:val="PlainText"/>
        <w:spacing w:after="120"/>
        <w:jc w:val="both"/>
        <w:rPr>
          <w:rFonts w:ascii="Times New Roman" w:hAnsi="Times New Roman" w:cs="Times New Roman"/>
          <w:b/>
          <w:sz w:val="24"/>
          <w:szCs w:val="24"/>
          <w:u w:val="single"/>
        </w:rPr>
      </w:pPr>
    </w:p>
    <w:p w14:paraId="672A4F3A" w14:textId="77777777" w:rsidR="00446BB9" w:rsidRPr="00B1643D" w:rsidRDefault="00446BB9" w:rsidP="00446BB9">
      <w:pPr>
        <w:pStyle w:val="Heading1"/>
        <w:numPr>
          <w:ilvl w:val="0"/>
          <w:numId w:val="5"/>
        </w:numPr>
        <w:spacing w:after="120"/>
        <w:jc w:val="both"/>
        <w:rPr>
          <w:u w:val="single"/>
        </w:rPr>
      </w:pPr>
      <w:r w:rsidRPr="00B1643D">
        <w:rPr>
          <w:u w:val="single"/>
        </w:rPr>
        <w:t>Introduction</w:t>
      </w:r>
    </w:p>
    <w:p w14:paraId="5D2E64B9" w14:textId="77777777" w:rsidR="00446BB9" w:rsidRPr="00B1643D" w:rsidRDefault="00446BB9" w:rsidP="00446BB9">
      <w:pPr>
        <w:jc w:val="both"/>
      </w:pPr>
      <w:r w:rsidRPr="00B1643D">
        <w:t>The overall goal of the E2E program is to increase decent youth employment in Serbia in a socially inclusive and sustainable way. The project has two outcomes:</w:t>
      </w:r>
    </w:p>
    <w:p w14:paraId="57DAE253" w14:textId="77777777" w:rsidR="00446BB9" w:rsidRPr="00B1643D" w:rsidRDefault="00446BB9" w:rsidP="00446BB9">
      <w:pPr>
        <w:ind w:firstLine="720"/>
        <w:jc w:val="both"/>
      </w:pPr>
      <w:r w:rsidRPr="00B1643D">
        <w:t xml:space="preserve">Outcome 1: Relevant national and local key stakeholders apply effective and evidence-based policies on youth employment and employability through increased performance capacities and diversified funding portfolio. </w:t>
      </w:r>
    </w:p>
    <w:p w14:paraId="0329712F" w14:textId="77777777" w:rsidR="00446BB9" w:rsidRPr="00B1643D" w:rsidRDefault="00446BB9" w:rsidP="00446BB9">
      <w:pPr>
        <w:spacing w:after="120"/>
        <w:ind w:firstLine="720"/>
        <w:jc w:val="both"/>
      </w:pPr>
      <w:r w:rsidRPr="00B1643D">
        <w:t xml:space="preserve">Outcome 2: Young jobseekers are better able to position themselves on the labour market through employment promotion measures and non-formal training offers required by the private sector in selected regions of Serbia. </w:t>
      </w:r>
    </w:p>
    <w:p w14:paraId="79E8413E" w14:textId="5E1BD046" w:rsidR="00F84A5A" w:rsidRPr="00B1643D" w:rsidRDefault="00446BB9" w:rsidP="00446BB9">
      <w:pPr>
        <w:jc w:val="both"/>
      </w:pPr>
      <w:r w:rsidRPr="00B1643D">
        <w:t xml:space="preserve">As per Outcome </w:t>
      </w:r>
      <w:r w:rsidR="00096D86" w:rsidRPr="00B1643D">
        <w:t>2</w:t>
      </w:r>
      <w:r w:rsidRPr="00B1643D">
        <w:t xml:space="preserve"> the following key Outputs are envisaged:</w:t>
      </w:r>
    </w:p>
    <w:p w14:paraId="39E5D0D4" w14:textId="77777777" w:rsidR="00096D86" w:rsidRPr="00B1643D" w:rsidRDefault="00096D86" w:rsidP="00446BB9">
      <w:pPr>
        <w:pStyle w:val="ListParagraph"/>
        <w:numPr>
          <w:ilvl w:val="0"/>
          <w:numId w:val="4"/>
        </w:numPr>
        <w:jc w:val="both"/>
      </w:pPr>
      <w:r w:rsidRPr="00B1643D">
        <w:t xml:space="preserve">Work-Based Learning opportunities and private sector industry solutions for young people in selected regions of Serbia </w:t>
      </w:r>
    </w:p>
    <w:p w14:paraId="604F6476" w14:textId="77777777" w:rsidR="00096D86" w:rsidRPr="00B1643D" w:rsidRDefault="00096D86" w:rsidP="00446BB9">
      <w:pPr>
        <w:pStyle w:val="ListParagraph"/>
        <w:numPr>
          <w:ilvl w:val="0"/>
          <w:numId w:val="4"/>
        </w:numPr>
        <w:spacing w:after="120"/>
        <w:jc w:val="both"/>
      </w:pPr>
      <w:r w:rsidRPr="00B1643D">
        <w:t xml:space="preserve">Established Career Guidance &amp; Counselling and Traineeship Matching Services for young people in Serbia. </w:t>
      </w:r>
    </w:p>
    <w:p w14:paraId="3D20AC4E" w14:textId="4F398495" w:rsidR="00446BB9" w:rsidRPr="00B1643D" w:rsidRDefault="00096D86" w:rsidP="00446BB9">
      <w:pPr>
        <w:pStyle w:val="ListParagraph"/>
        <w:numPr>
          <w:ilvl w:val="0"/>
          <w:numId w:val="4"/>
        </w:numPr>
        <w:spacing w:after="120"/>
        <w:jc w:val="both"/>
      </w:pPr>
      <w:r w:rsidRPr="00B1643D">
        <w:t>Socially innovative and inclusive models for youth employment and employability are disseminated and regularly practiced within the supported CSOs/broker organizations.</w:t>
      </w:r>
    </w:p>
    <w:p w14:paraId="297F0B1F" w14:textId="3162A12C" w:rsidR="00446BB9" w:rsidRPr="00B1643D" w:rsidRDefault="00446BB9" w:rsidP="00446BB9">
      <w:pPr>
        <w:spacing w:after="120"/>
        <w:jc w:val="both"/>
      </w:pPr>
      <w:r w:rsidRPr="00B1643D">
        <w:t xml:space="preserve">This specific Terms of Reference is related to achievement of Outcome </w:t>
      </w:r>
      <w:r w:rsidR="00F84A5A" w:rsidRPr="00B1643D">
        <w:t>2</w:t>
      </w:r>
      <w:r w:rsidRPr="00B1643D">
        <w:t xml:space="preserve"> and support to the </w:t>
      </w:r>
      <w:r w:rsidR="00F84A5A" w:rsidRPr="00B1643D">
        <w:t>innovative and inclusive models for youth employment</w:t>
      </w:r>
      <w:r w:rsidRPr="00B1643D">
        <w:t xml:space="preserve">. More specifically, this assignment will </w:t>
      </w:r>
      <w:r w:rsidR="00F84A5A" w:rsidRPr="00B1643D">
        <w:t xml:space="preserve">directly </w:t>
      </w:r>
      <w:r w:rsidRPr="00B1643D">
        <w:t xml:space="preserve">contribute to the achievement of output </w:t>
      </w:r>
      <w:r w:rsidR="004E5F8E" w:rsidRPr="00B1643D">
        <w:t>2</w:t>
      </w:r>
      <w:r w:rsidRPr="00B1643D">
        <w:t>.</w:t>
      </w:r>
      <w:r w:rsidR="004E5F8E" w:rsidRPr="00B1643D">
        <w:t xml:space="preserve">3 </w:t>
      </w:r>
      <w:r w:rsidRPr="00B1643D">
        <w:t>where support</w:t>
      </w:r>
      <w:r w:rsidR="00A36A25" w:rsidRPr="00B1643D">
        <w:t xml:space="preserve"> for</w:t>
      </w:r>
      <w:r w:rsidRPr="00B1643D">
        <w:t xml:space="preserve"> </w:t>
      </w:r>
      <w:r w:rsidR="00C518E3" w:rsidRPr="00B1643D">
        <w:t>socially innovative and inclusive models for youth employment and employability</w:t>
      </w:r>
      <w:r w:rsidRPr="00B1643D">
        <w:t xml:space="preserve"> i</w:t>
      </w:r>
      <w:r w:rsidR="00A36A25" w:rsidRPr="00B1643D">
        <w:t>s</w:t>
      </w:r>
      <w:r w:rsidRPr="00B1643D">
        <w:t xml:space="preserve"> envisaged. </w:t>
      </w:r>
      <w:r w:rsidR="001A4FEC" w:rsidRPr="00B1643D">
        <w:t>In addition</w:t>
      </w:r>
      <w:r w:rsidR="00546CFE" w:rsidRPr="00B1643D">
        <w:t>, there is link to Outcome 1 since supported measures will serve as good practices in the provision of expertise towards strengthening the youth employment policy framework and public services.</w:t>
      </w:r>
    </w:p>
    <w:p w14:paraId="09DA757D" w14:textId="77777777" w:rsidR="00446BB9" w:rsidRPr="00B1643D" w:rsidRDefault="00446BB9" w:rsidP="00446BB9">
      <w:pPr>
        <w:spacing w:after="120"/>
        <w:jc w:val="both"/>
      </w:pPr>
    </w:p>
    <w:p w14:paraId="1CD9EBFE" w14:textId="77777777" w:rsidR="00446BB9" w:rsidRPr="00B1643D" w:rsidRDefault="00446BB9" w:rsidP="00446BB9">
      <w:pPr>
        <w:pStyle w:val="ListParagraph"/>
        <w:numPr>
          <w:ilvl w:val="0"/>
          <w:numId w:val="5"/>
        </w:numPr>
        <w:spacing w:after="120"/>
        <w:jc w:val="both"/>
        <w:rPr>
          <w:b/>
          <w:u w:val="single"/>
        </w:rPr>
      </w:pPr>
      <w:r w:rsidRPr="00B1643D">
        <w:rPr>
          <w:b/>
          <w:u w:val="single"/>
        </w:rPr>
        <w:t>Objective of the Assignment</w:t>
      </w:r>
    </w:p>
    <w:p w14:paraId="4DDE10F8" w14:textId="2300B65A" w:rsidR="003A0498" w:rsidRPr="00B1643D" w:rsidRDefault="00730E9F" w:rsidP="00786176">
      <w:pPr>
        <w:spacing w:before="120" w:after="120"/>
        <w:jc w:val="both"/>
      </w:pPr>
      <w:r w:rsidRPr="00B1643D">
        <w:t xml:space="preserve">Objective of the assignment is to </w:t>
      </w:r>
      <w:r w:rsidR="00952098" w:rsidRPr="00B1643D">
        <w:t>conduct</w:t>
      </w:r>
      <w:r w:rsidR="00001901" w:rsidRPr="00B1643D">
        <w:t xml:space="preserve"> </w:t>
      </w:r>
      <w:r w:rsidR="003E43D7" w:rsidRPr="00B1643D">
        <w:t>evaluation</w:t>
      </w:r>
      <w:r w:rsidR="00D36D9F" w:rsidRPr="00B1643D">
        <w:t xml:space="preserve"> of public call “Supporting Innovative Approaches to Tackle Youth Employment and Employability” for 2020/2021, with focus on results achieved by six </w:t>
      </w:r>
      <w:r w:rsidR="00317108" w:rsidRPr="00B1643D">
        <w:t>innovative youth</w:t>
      </w:r>
      <w:r w:rsidR="003E43D7" w:rsidRPr="00B1643D">
        <w:t xml:space="preserve"> employment</w:t>
      </w:r>
      <w:r w:rsidR="00317108" w:rsidRPr="00B1643D">
        <w:t xml:space="preserve"> models, </w:t>
      </w:r>
      <w:r w:rsidRPr="00B1643D">
        <w:t>developed by the SIPRU within the first phase of the Ed</w:t>
      </w:r>
      <w:r w:rsidR="00767E35" w:rsidRPr="00B1643D">
        <w:t>ucation to Employment Programme.</w:t>
      </w:r>
      <w:r w:rsidR="00317108" w:rsidRPr="00B1643D">
        <w:t xml:space="preserve"> The </w:t>
      </w:r>
      <w:r w:rsidR="003E43D7" w:rsidRPr="00B1643D">
        <w:t>evaluation</w:t>
      </w:r>
      <w:r w:rsidRPr="00B1643D">
        <w:t xml:space="preserve"> </w:t>
      </w:r>
      <w:r w:rsidR="00317108" w:rsidRPr="00B1643D">
        <w:t>will</w:t>
      </w:r>
      <w:r w:rsidR="006C202F" w:rsidRPr="00B1643D">
        <w:t xml:space="preserve"> </w:t>
      </w:r>
      <w:r w:rsidR="005F7E01" w:rsidRPr="00B1643D">
        <w:t>highlight</w:t>
      </w:r>
      <w:r w:rsidR="006C202F" w:rsidRPr="00B1643D">
        <w:t xml:space="preserve"> implemented</w:t>
      </w:r>
      <w:r w:rsidRPr="00B1643D">
        <w:t xml:space="preserve"> ideas,</w:t>
      </w:r>
      <w:r w:rsidR="006C202F" w:rsidRPr="00B1643D">
        <w:t xml:space="preserve"> initiatives, activities </w:t>
      </w:r>
      <w:r w:rsidRPr="00B1643D">
        <w:t xml:space="preserve">and </w:t>
      </w:r>
      <w:r w:rsidR="00F34297" w:rsidRPr="00B1643D">
        <w:t>especially results achieved</w:t>
      </w:r>
      <w:r w:rsidRPr="00B1643D">
        <w:t xml:space="preserve"> related to yout</w:t>
      </w:r>
      <w:r w:rsidR="00317108" w:rsidRPr="00B1643D">
        <w:t>h employment and youth employability</w:t>
      </w:r>
      <w:r w:rsidR="006C202F" w:rsidRPr="00B1643D">
        <w:t xml:space="preserve">. </w:t>
      </w:r>
      <w:r w:rsidR="00786176">
        <w:t>Specific</w:t>
      </w:r>
      <w:r w:rsidR="00C22FF4" w:rsidRPr="00B1643D">
        <w:t xml:space="preserve"> focus of the </w:t>
      </w:r>
      <w:r w:rsidR="003E43D7" w:rsidRPr="00B1643D">
        <w:t xml:space="preserve">evaluation </w:t>
      </w:r>
      <w:r w:rsidR="00C22FF4" w:rsidRPr="00B1643D">
        <w:t xml:space="preserve"> will be </w:t>
      </w:r>
      <w:r w:rsidR="00F34297" w:rsidRPr="00B1643D">
        <w:t>to deliver</w:t>
      </w:r>
      <w:r w:rsidRPr="00B1643D">
        <w:t xml:space="preserve"> </w:t>
      </w:r>
      <w:r w:rsidR="00C22FF4" w:rsidRPr="00B1643D">
        <w:t xml:space="preserve">assessment </w:t>
      </w:r>
      <w:r w:rsidR="00616BE5" w:rsidRPr="00B1643D">
        <w:t xml:space="preserve">of achieved sustainability and future potential </w:t>
      </w:r>
      <w:r w:rsidR="00C22FF4" w:rsidRPr="00B1643D">
        <w:t xml:space="preserve">of </w:t>
      </w:r>
      <w:r w:rsidR="00F34297" w:rsidRPr="00B1643D">
        <w:t xml:space="preserve">the </w:t>
      </w:r>
      <w:r w:rsidR="00C22FF4" w:rsidRPr="00B1643D">
        <w:t xml:space="preserve">models, beyond </w:t>
      </w:r>
      <w:r w:rsidR="00F34297" w:rsidRPr="00B1643D">
        <w:t xml:space="preserve">the results </w:t>
      </w:r>
      <w:r w:rsidR="00F34297" w:rsidRPr="00B1643D">
        <w:lastRenderedPageBreak/>
        <w:t xml:space="preserve">achieved through implementation of </w:t>
      </w:r>
      <w:r w:rsidR="003E43D7" w:rsidRPr="00B1643D">
        <w:t>grant schemes</w:t>
      </w:r>
      <w:r w:rsidR="00F34297" w:rsidRPr="00B1643D">
        <w:t>.</w:t>
      </w:r>
      <w:r w:rsidR="00786176" w:rsidRPr="00786176">
        <w:t xml:space="preserve"> </w:t>
      </w:r>
      <w:r w:rsidR="00786176" w:rsidRPr="00B1643D">
        <w:t>This process will also assess partnership and role of different stakeholders in implementation of six projects (CSOs, national and local government institutions, education institutions, private sector etc.).</w:t>
      </w:r>
    </w:p>
    <w:p w14:paraId="469721AF" w14:textId="77777777" w:rsidR="00730E9F" w:rsidRPr="00B1643D" w:rsidRDefault="00730E9F" w:rsidP="00446BB9">
      <w:pPr>
        <w:spacing w:before="120" w:after="120"/>
        <w:jc w:val="both"/>
      </w:pPr>
    </w:p>
    <w:p w14:paraId="026CDF6A" w14:textId="3767DC30" w:rsidR="00446BB9" w:rsidRPr="00B1643D" w:rsidRDefault="00446BB9" w:rsidP="00643C00">
      <w:pPr>
        <w:pStyle w:val="ListParagraph"/>
        <w:numPr>
          <w:ilvl w:val="0"/>
          <w:numId w:val="5"/>
        </w:numPr>
        <w:spacing w:before="120" w:after="120"/>
        <w:jc w:val="both"/>
        <w:rPr>
          <w:b/>
          <w:bCs/>
          <w:u w:val="single"/>
        </w:rPr>
      </w:pPr>
      <w:r w:rsidRPr="00B1643D">
        <w:rPr>
          <w:b/>
          <w:u w:val="single"/>
        </w:rPr>
        <w:t xml:space="preserve"> S</w:t>
      </w:r>
      <w:r w:rsidRPr="00B1643D">
        <w:rPr>
          <w:b/>
          <w:bCs/>
          <w:u w:val="single"/>
        </w:rPr>
        <w:t>cope of Work and Tasks</w:t>
      </w:r>
    </w:p>
    <w:p w14:paraId="17D447CD" w14:textId="77777777" w:rsidR="00555454" w:rsidRPr="00B1643D" w:rsidRDefault="00555454" w:rsidP="00446BB9">
      <w:pPr>
        <w:pStyle w:val="BodyText1"/>
        <w:spacing w:before="120" w:after="120" w:line="276" w:lineRule="auto"/>
        <w:rPr>
          <w:rFonts w:ascii="Times New Roman" w:hAnsi="Times New Roman"/>
          <w:color w:val="000000" w:themeColor="text1"/>
          <w:sz w:val="24"/>
          <w:szCs w:val="24"/>
          <w:lang w:val="en-US"/>
        </w:rPr>
      </w:pPr>
    </w:p>
    <w:p w14:paraId="242BCB02" w14:textId="12DF33D6" w:rsidR="00511DBD" w:rsidRPr="00B1643D" w:rsidRDefault="00555454" w:rsidP="00446BB9">
      <w:pPr>
        <w:pStyle w:val="BodyText1"/>
        <w:spacing w:before="120" w:after="120" w:line="276" w:lineRule="auto"/>
        <w:rPr>
          <w:rFonts w:ascii="Times New Roman" w:hAnsi="Times New Roman"/>
          <w:color w:val="000000" w:themeColor="text1"/>
          <w:sz w:val="24"/>
          <w:szCs w:val="24"/>
          <w:lang w:val="en-US"/>
        </w:rPr>
      </w:pPr>
      <w:r w:rsidRPr="00B1643D">
        <w:rPr>
          <w:rFonts w:ascii="Times New Roman" w:hAnsi="Times New Roman"/>
          <w:color w:val="000000" w:themeColor="text1"/>
          <w:sz w:val="24"/>
          <w:szCs w:val="24"/>
          <w:lang w:val="en-US"/>
        </w:rPr>
        <w:t>The consultant is expected to:</w:t>
      </w:r>
    </w:p>
    <w:p w14:paraId="415B1D73" w14:textId="6B674B97" w:rsidR="004B2F18" w:rsidRPr="00B1643D" w:rsidRDefault="004B2F18" w:rsidP="00446BB9">
      <w:pPr>
        <w:pStyle w:val="BodyText1"/>
        <w:spacing w:before="120" w:after="120" w:line="276" w:lineRule="auto"/>
        <w:rPr>
          <w:rFonts w:ascii="Times New Roman" w:hAnsi="Times New Roman"/>
          <w:color w:val="000000" w:themeColor="text1"/>
          <w:sz w:val="24"/>
          <w:szCs w:val="24"/>
          <w:lang w:val="en-US"/>
        </w:rPr>
      </w:pPr>
      <w:r w:rsidRPr="00B1643D">
        <w:rPr>
          <w:rFonts w:ascii="Times New Roman" w:hAnsi="Times New Roman"/>
          <w:color w:val="000000" w:themeColor="text1"/>
          <w:sz w:val="24"/>
          <w:szCs w:val="24"/>
          <w:u w:val="single"/>
          <w:lang w:val="en-US"/>
        </w:rPr>
        <w:t>Part I</w:t>
      </w:r>
      <w:r w:rsidRPr="00B1643D">
        <w:rPr>
          <w:rFonts w:ascii="Times New Roman" w:hAnsi="Times New Roman"/>
          <w:color w:val="000000" w:themeColor="text1"/>
          <w:sz w:val="24"/>
          <w:szCs w:val="24"/>
          <w:lang w:val="en-US"/>
        </w:rPr>
        <w:t xml:space="preserve">: </w:t>
      </w:r>
      <w:r w:rsidR="00511DBD" w:rsidRPr="00B1643D">
        <w:rPr>
          <w:rFonts w:ascii="Times New Roman" w:hAnsi="Times New Roman"/>
          <w:color w:val="000000" w:themeColor="text1"/>
          <w:sz w:val="24"/>
          <w:szCs w:val="24"/>
          <w:u w:val="single"/>
          <w:lang w:val="en-US"/>
        </w:rPr>
        <w:t>Evaluation</w:t>
      </w:r>
      <w:r w:rsidRPr="00B1643D">
        <w:rPr>
          <w:rFonts w:ascii="Times New Roman" w:hAnsi="Times New Roman"/>
          <w:color w:val="000000" w:themeColor="text1"/>
          <w:sz w:val="24"/>
          <w:szCs w:val="24"/>
          <w:u w:val="single"/>
          <w:lang w:val="en-US"/>
        </w:rPr>
        <w:t xml:space="preserve"> the level of </w:t>
      </w:r>
      <w:r w:rsidR="008027CE" w:rsidRPr="00B1643D">
        <w:rPr>
          <w:rFonts w:ascii="Times New Roman" w:hAnsi="Times New Roman"/>
          <w:color w:val="000000" w:themeColor="text1"/>
          <w:sz w:val="24"/>
          <w:szCs w:val="24"/>
          <w:u w:val="single"/>
          <w:lang w:val="en-US"/>
        </w:rPr>
        <w:t xml:space="preserve">success in </w:t>
      </w:r>
      <w:r w:rsidRPr="00B1643D">
        <w:rPr>
          <w:rFonts w:ascii="Times New Roman" w:hAnsi="Times New Roman"/>
          <w:color w:val="000000" w:themeColor="text1"/>
          <w:sz w:val="24"/>
          <w:szCs w:val="24"/>
          <w:u w:val="single"/>
          <w:lang w:val="en-US"/>
        </w:rPr>
        <w:t xml:space="preserve">project implementation supported through 2020/2021 </w:t>
      </w:r>
    </w:p>
    <w:p w14:paraId="7106A6BF" w14:textId="209488B7" w:rsidR="004B2F18" w:rsidRPr="00B1643D" w:rsidRDefault="003A0498" w:rsidP="00216CC6">
      <w:pPr>
        <w:pStyle w:val="ListParagraph"/>
        <w:numPr>
          <w:ilvl w:val="0"/>
          <w:numId w:val="1"/>
        </w:numPr>
        <w:ind w:right="-144"/>
        <w:jc w:val="both"/>
      </w:pPr>
      <w:r w:rsidRPr="00B1643D">
        <w:t xml:space="preserve">Familiarize with each of the </w:t>
      </w:r>
      <w:r w:rsidR="00180AE3" w:rsidRPr="00B1643D">
        <w:t>six</w:t>
      </w:r>
      <w:r w:rsidRPr="00B1643D">
        <w:t xml:space="preserve"> SIPRU youth employment models focusing on </w:t>
      </w:r>
      <w:r w:rsidR="00180AE3" w:rsidRPr="00B1643D">
        <w:t>activities implemented during 2020 and 2021</w:t>
      </w:r>
      <w:r w:rsidR="00DB176E" w:rsidRPr="00B1643D">
        <w:t>;</w:t>
      </w:r>
    </w:p>
    <w:p w14:paraId="7D4D9597" w14:textId="6CB82CF1" w:rsidR="00E85209" w:rsidRPr="00B1643D" w:rsidRDefault="00E85209" w:rsidP="00E85209">
      <w:pPr>
        <w:pStyle w:val="ListParagraph"/>
        <w:numPr>
          <w:ilvl w:val="0"/>
          <w:numId w:val="1"/>
        </w:numPr>
        <w:ind w:right="-144"/>
        <w:jc w:val="both"/>
      </w:pPr>
      <w:r w:rsidRPr="00B1643D">
        <w:t>Review and assess achievement of results and objectives by all six SIPRU youth employment models in regard to implementation of project activities during 2020 and 2021;</w:t>
      </w:r>
    </w:p>
    <w:p w14:paraId="08F6E180" w14:textId="77777777" w:rsidR="004B2F18" w:rsidRPr="00B1643D" w:rsidRDefault="004B2F18" w:rsidP="004B2F18">
      <w:pPr>
        <w:pStyle w:val="ListParagraph"/>
        <w:numPr>
          <w:ilvl w:val="0"/>
          <w:numId w:val="1"/>
        </w:numPr>
        <w:suppressAutoHyphens/>
        <w:jc w:val="both"/>
        <w:rPr>
          <w:rFonts w:cs="Arial"/>
          <w:bCs/>
        </w:rPr>
      </w:pPr>
      <w:r w:rsidRPr="00B1643D">
        <w:rPr>
          <w:rFonts w:cs="Arial"/>
          <w:bCs/>
        </w:rPr>
        <w:t>Evaluate the measure and contribution of SIPRU grant scheme models toward main Program outcome indicators (outcome 2 indicators relevant for SIPRU)</w:t>
      </w:r>
    </w:p>
    <w:p w14:paraId="231C1FA6" w14:textId="0DC5CA85" w:rsidR="004B2F18" w:rsidRPr="00DD027D" w:rsidRDefault="004B2F18" w:rsidP="004B2F18">
      <w:pPr>
        <w:pStyle w:val="ListParagraph"/>
        <w:numPr>
          <w:ilvl w:val="0"/>
          <w:numId w:val="1"/>
        </w:numPr>
        <w:suppressAutoHyphens/>
        <w:jc w:val="both"/>
        <w:rPr>
          <w:rFonts w:cs="Arial"/>
          <w:bCs/>
        </w:rPr>
      </w:pPr>
      <w:r w:rsidRPr="00DD027D">
        <w:rPr>
          <w:rFonts w:cs="Arial"/>
          <w:bCs/>
        </w:rPr>
        <w:t>Examine if and to what extent innovative models contributed to systemic, policy and/or legal change both on national and local level</w:t>
      </w:r>
    </w:p>
    <w:p w14:paraId="77F715B2" w14:textId="3163578E" w:rsidR="00511DBD" w:rsidRPr="00B1643D" w:rsidRDefault="00511DBD" w:rsidP="00511DBD">
      <w:pPr>
        <w:pStyle w:val="ListParagraph"/>
        <w:numPr>
          <w:ilvl w:val="0"/>
          <w:numId w:val="1"/>
        </w:numPr>
        <w:suppressAutoHyphens/>
        <w:jc w:val="both"/>
        <w:rPr>
          <w:rFonts w:cs="Arial"/>
          <w:bCs/>
        </w:rPr>
      </w:pPr>
      <w:r w:rsidRPr="00B1643D">
        <w:rPr>
          <w:rFonts w:cs="Arial"/>
          <w:bCs/>
        </w:rPr>
        <w:t>Perform the financial overview for employment/employability measures for each of 6 models/cost per person</w:t>
      </w:r>
    </w:p>
    <w:p w14:paraId="52C11A1A" w14:textId="5DBDAC3B" w:rsidR="00446BB9" w:rsidRPr="00B1643D" w:rsidRDefault="00242F11" w:rsidP="00905368">
      <w:pPr>
        <w:pStyle w:val="ListParagraph"/>
        <w:numPr>
          <w:ilvl w:val="0"/>
          <w:numId w:val="1"/>
        </w:numPr>
        <w:ind w:right="-144"/>
        <w:jc w:val="both"/>
      </w:pPr>
      <w:r w:rsidRPr="00B1643D">
        <w:t xml:space="preserve">Any other task within the scope of work related to </w:t>
      </w:r>
      <w:r w:rsidR="006B4AF6" w:rsidRPr="00B1643D">
        <w:t>evaluation</w:t>
      </w:r>
      <w:r w:rsidR="00BB5903" w:rsidRPr="00B1643D">
        <w:t xml:space="preserve"> of public call</w:t>
      </w:r>
      <w:r w:rsidRPr="00B1643D">
        <w:t xml:space="preserve"> defined by the SIPRU Program Manager</w:t>
      </w:r>
      <w:r w:rsidR="005B78F0" w:rsidRPr="00B1643D">
        <w:t>.</w:t>
      </w:r>
    </w:p>
    <w:p w14:paraId="6567777A" w14:textId="77777777" w:rsidR="004B2F18" w:rsidRPr="00B1643D" w:rsidRDefault="004B2F18" w:rsidP="004B2F18">
      <w:pPr>
        <w:ind w:right="-144"/>
        <w:jc w:val="both"/>
        <w:rPr>
          <w:u w:val="single"/>
        </w:rPr>
      </w:pPr>
    </w:p>
    <w:p w14:paraId="44003080" w14:textId="21CD0186" w:rsidR="004B2F18" w:rsidRPr="00B1643D" w:rsidRDefault="004B2F18" w:rsidP="004B2F18">
      <w:pPr>
        <w:ind w:right="-144"/>
        <w:jc w:val="both"/>
        <w:rPr>
          <w:u w:val="single"/>
        </w:rPr>
      </w:pPr>
      <w:r w:rsidRPr="00B1643D">
        <w:rPr>
          <w:u w:val="single"/>
        </w:rPr>
        <w:t xml:space="preserve">Part II: </w:t>
      </w:r>
      <w:r w:rsidR="00511DBD" w:rsidRPr="00B1643D">
        <w:rPr>
          <w:u w:val="single"/>
        </w:rPr>
        <w:t>Sustainability of youth employment models</w:t>
      </w:r>
    </w:p>
    <w:p w14:paraId="70999BCB" w14:textId="77777777" w:rsidR="00511DBD" w:rsidRPr="00B1643D" w:rsidRDefault="00511DBD" w:rsidP="004B2F18">
      <w:pPr>
        <w:ind w:right="-144"/>
        <w:jc w:val="both"/>
      </w:pPr>
    </w:p>
    <w:p w14:paraId="6A64CA91" w14:textId="6A8F75E8" w:rsidR="00511DBD" w:rsidRPr="00B1643D" w:rsidRDefault="00511DBD" w:rsidP="00511DBD">
      <w:pPr>
        <w:pStyle w:val="ListParagraph"/>
        <w:numPr>
          <w:ilvl w:val="0"/>
          <w:numId w:val="18"/>
        </w:numPr>
        <w:suppressAutoHyphens/>
        <w:jc w:val="both"/>
        <w:rPr>
          <w:rFonts w:cs="Arial"/>
          <w:bCs/>
        </w:rPr>
      </w:pPr>
      <w:r w:rsidRPr="00B1643D">
        <w:rPr>
          <w:rFonts w:cs="Arial"/>
          <w:bCs/>
        </w:rPr>
        <w:t xml:space="preserve">Evaluate the </w:t>
      </w:r>
      <w:r w:rsidRPr="00B1643D">
        <w:rPr>
          <w:rFonts w:cs="Arial"/>
          <w:bCs/>
          <w:u w:val="single"/>
        </w:rPr>
        <w:t>sustainability achievements</w:t>
      </w:r>
      <w:r w:rsidRPr="00B1643D">
        <w:rPr>
          <w:rFonts w:cs="Arial"/>
          <w:bCs/>
        </w:rPr>
        <w:t xml:space="preserve"> of 6 </w:t>
      </w:r>
      <w:r w:rsidR="00207496" w:rsidRPr="00B1643D">
        <w:rPr>
          <w:rFonts w:cs="Arial"/>
          <w:bCs/>
        </w:rPr>
        <w:t>youth employment models</w:t>
      </w:r>
      <w:r w:rsidRPr="00B1643D">
        <w:rPr>
          <w:rFonts w:cs="Arial"/>
          <w:bCs/>
        </w:rPr>
        <w:t xml:space="preserve"> </w:t>
      </w:r>
      <w:r w:rsidR="00207496" w:rsidRPr="00B1643D">
        <w:rPr>
          <w:rFonts w:cs="Arial"/>
          <w:bCs/>
        </w:rPr>
        <w:t>in</w:t>
      </w:r>
      <w:r w:rsidRPr="00B1643D">
        <w:rPr>
          <w:rFonts w:cs="Arial"/>
          <w:bCs/>
        </w:rPr>
        <w:t xml:space="preserve"> </w:t>
      </w:r>
      <w:r w:rsidR="00555454" w:rsidRPr="00B1643D">
        <w:rPr>
          <w:rFonts w:cs="Arial"/>
          <w:bCs/>
        </w:rPr>
        <w:t>2020/2021</w:t>
      </w:r>
      <w:r w:rsidRPr="00B1643D">
        <w:rPr>
          <w:rFonts w:cs="Arial"/>
          <w:bCs/>
        </w:rPr>
        <w:t xml:space="preserve"> focusing on financial, institutional, policy and institutional sustainability based on the sustainability plans, project documentations and evaluations/reports submitted</w:t>
      </w:r>
    </w:p>
    <w:p w14:paraId="37BC1C0E" w14:textId="77777777" w:rsidR="00511DBD" w:rsidRPr="00B1643D" w:rsidRDefault="00511DBD" w:rsidP="00511DBD">
      <w:pPr>
        <w:pStyle w:val="ListParagraph"/>
        <w:numPr>
          <w:ilvl w:val="0"/>
          <w:numId w:val="18"/>
        </w:numPr>
        <w:suppressAutoHyphens/>
        <w:jc w:val="both"/>
        <w:rPr>
          <w:rFonts w:cs="Arial"/>
          <w:bCs/>
        </w:rPr>
      </w:pPr>
      <w:r w:rsidRPr="00B1643D">
        <w:rPr>
          <w:rFonts w:cs="Arial"/>
          <w:bCs/>
          <w:u w:val="single"/>
        </w:rPr>
        <w:t>Examine the sustainability direction and challenges</w:t>
      </w:r>
      <w:r w:rsidRPr="00B1643D">
        <w:rPr>
          <w:rFonts w:cs="Arial"/>
          <w:bCs/>
        </w:rPr>
        <w:t xml:space="preserve"> both SIPRU and grantees had within this process and their relevance in context of sustainability of youth employment models</w:t>
      </w:r>
    </w:p>
    <w:p w14:paraId="468D16D5" w14:textId="141857F5" w:rsidR="00511DBD" w:rsidRPr="00B1643D" w:rsidRDefault="00511DBD" w:rsidP="00511DBD">
      <w:pPr>
        <w:pStyle w:val="ListParagraph"/>
        <w:numPr>
          <w:ilvl w:val="0"/>
          <w:numId w:val="20"/>
        </w:numPr>
        <w:suppressAutoHyphens/>
        <w:jc w:val="both"/>
        <w:rPr>
          <w:rFonts w:cs="Arial"/>
          <w:bCs/>
        </w:rPr>
      </w:pPr>
      <w:r w:rsidRPr="00B1643D">
        <w:rPr>
          <w:rFonts w:cs="Arial"/>
          <w:bCs/>
        </w:rPr>
        <w:t>Political and economic environment in local communities where models are based</w:t>
      </w:r>
    </w:p>
    <w:p w14:paraId="2DB1C9BD" w14:textId="1988343F" w:rsidR="00511DBD" w:rsidRPr="00B1643D" w:rsidRDefault="00511DBD" w:rsidP="00511DBD">
      <w:pPr>
        <w:pStyle w:val="ListParagraph"/>
        <w:numPr>
          <w:ilvl w:val="0"/>
          <w:numId w:val="20"/>
        </w:numPr>
        <w:suppressAutoHyphens/>
        <w:jc w:val="both"/>
        <w:rPr>
          <w:rFonts w:cs="Arial"/>
          <w:bCs/>
        </w:rPr>
      </w:pPr>
      <w:r w:rsidRPr="00B1643D">
        <w:rPr>
          <w:rFonts w:cs="Arial"/>
          <w:bCs/>
        </w:rPr>
        <w:t>Legal challenges in ensuring sustainability of models</w:t>
      </w:r>
    </w:p>
    <w:p w14:paraId="189521C4" w14:textId="1982EB71" w:rsidR="00511DBD" w:rsidRPr="00B1643D" w:rsidRDefault="00511DBD" w:rsidP="00511DBD">
      <w:pPr>
        <w:pStyle w:val="ListParagraph"/>
        <w:numPr>
          <w:ilvl w:val="0"/>
          <w:numId w:val="20"/>
        </w:numPr>
        <w:suppressAutoHyphens/>
        <w:jc w:val="both"/>
        <w:rPr>
          <w:rFonts w:cs="Arial"/>
          <w:bCs/>
        </w:rPr>
      </w:pPr>
      <w:r w:rsidRPr="00B1643D">
        <w:rPr>
          <w:rFonts w:cs="Arial"/>
          <w:bCs/>
        </w:rPr>
        <w:t>Capacity of local implementation partners for scaling and making models sustainable</w:t>
      </w:r>
    </w:p>
    <w:p w14:paraId="2C3D2855" w14:textId="49952A3A" w:rsidR="00511DBD" w:rsidRPr="00B1643D" w:rsidRDefault="00511DBD" w:rsidP="00511DBD">
      <w:pPr>
        <w:pStyle w:val="ListParagraph"/>
        <w:numPr>
          <w:ilvl w:val="0"/>
          <w:numId w:val="20"/>
        </w:numPr>
        <w:suppressAutoHyphens/>
        <w:jc w:val="both"/>
        <w:rPr>
          <w:rFonts w:cs="Arial"/>
          <w:bCs/>
        </w:rPr>
      </w:pPr>
      <w:r w:rsidRPr="00B1643D">
        <w:rPr>
          <w:rFonts w:cs="Arial"/>
          <w:bCs/>
        </w:rPr>
        <w:t xml:space="preserve">Role and actions of SIPRU in providing support to grantees </w:t>
      </w:r>
    </w:p>
    <w:p w14:paraId="41410D56" w14:textId="5321D626" w:rsidR="00511DBD" w:rsidRPr="00B1643D" w:rsidRDefault="00786176" w:rsidP="00511DBD">
      <w:pPr>
        <w:pStyle w:val="ListParagraph"/>
        <w:numPr>
          <w:ilvl w:val="0"/>
          <w:numId w:val="20"/>
        </w:numPr>
        <w:suppressAutoHyphens/>
        <w:jc w:val="both"/>
        <w:rPr>
          <w:rFonts w:cs="Arial"/>
          <w:bCs/>
        </w:rPr>
      </w:pPr>
      <w:r>
        <w:rPr>
          <w:rFonts w:cs="Arial"/>
          <w:bCs/>
        </w:rPr>
        <w:t>Main</w:t>
      </w:r>
      <w:r w:rsidR="00511DBD" w:rsidRPr="00B1643D">
        <w:rPr>
          <w:rFonts w:cs="Arial"/>
          <w:bCs/>
        </w:rPr>
        <w:t xml:space="preserve"> drivers of the change and </w:t>
      </w:r>
      <w:r>
        <w:rPr>
          <w:rFonts w:cs="Arial"/>
          <w:bCs/>
        </w:rPr>
        <w:t>key</w:t>
      </w:r>
      <w:r w:rsidR="00B9086E" w:rsidRPr="00B1643D">
        <w:rPr>
          <w:rFonts w:cs="Arial"/>
          <w:bCs/>
        </w:rPr>
        <w:t xml:space="preserve"> obstacles</w:t>
      </w:r>
    </w:p>
    <w:p w14:paraId="77A96884" w14:textId="5CC3A06D" w:rsidR="00511DBD" w:rsidRPr="00B1643D" w:rsidRDefault="00511DBD" w:rsidP="00511DBD">
      <w:pPr>
        <w:pStyle w:val="ListParagraph"/>
        <w:numPr>
          <w:ilvl w:val="0"/>
          <w:numId w:val="20"/>
        </w:numPr>
        <w:tabs>
          <w:tab w:val="left" w:pos="1440"/>
          <w:tab w:val="left" w:pos="1530"/>
        </w:tabs>
        <w:suppressAutoHyphens/>
        <w:jc w:val="both"/>
        <w:rPr>
          <w:rFonts w:cs="Arial"/>
          <w:bCs/>
        </w:rPr>
      </w:pPr>
      <w:r w:rsidRPr="00B1643D">
        <w:rPr>
          <w:rFonts w:cs="Arial"/>
          <w:bCs/>
        </w:rPr>
        <w:t xml:space="preserve">Challenge in transfer of know how developed by </w:t>
      </w:r>
      <w:r w:rsidRPr="006102C5">
        <w:rPr>
          <w:rFonts w:cs="Arial"/>
          <w:bCs/>
        </w:rPr>
        <w:t>civil-private</w:t>
      </w:r>
      <w:r w:rsidRPr="00B1643D">
        <w:rPr>
          <w:rFonts w:cs="Arial"/>
          <w:bCs/>
        </w:rPr>
        <w:t xml:space="preserve"> sector and involvement of public secto</w:t>
      </w:r>
      <w:r w:rsidR="00045EED">
        <w:rPr>
          <w:rFonts w:cs="Arial"/>
          <w:bCs/>
        </w:rPr>
        <w:t>r</w:t>
      </w:r>
      <w:r w:rsidRPr="00B1643D">
        <w:rPr>
          <w:rFonts w:cs="Arial"/>
          <w:bCs/>
        </w:rPr>
        <w:t xml:space="preserve"> in managing and financing the model</w:t>
      </w:r>
    </w:p>
    <w:p w14:paraId="391B8CB6" w14:textId="2D274A33" w:rsidR="00511DBD" w:rsidRPr="00B1643D" w:rsidRDefault="00511DBD" w:rsidP="00511DBD">
      <w:pPr>
        <w:pStyle w:val="ListParagraph"/>
        <w:numPr>
          <w:ilvl w:val="0"/>
          <w:numId w:val="20"/>
        </w:numPr>
        <w:tabs>
          <w:tab w:val="left" w:pos="1440"/>
          <w:tab w:val="left" w:pos="1530"/>
        </w:tabs>
        <w:suppressAutoHyphens/>
        <w:jc w:val="both"/>
        <w:rPr>
          <w:rFonts w:cs="Arial"/>
          <w:bCs/>
        </w:rPr>
      </w:pPr>
      <w:r w:rsidRPr="00B1643D">
        <w:rPr>
          <w:rFonts w:cs="Arial"/>
          <w:bCs/>
        </w:rPr>
        <w:t>Challenge in managing the model</w:t>
      </w:r>
      <w:r w:rsidR="001944EB" w:rsidRPr="00B1643D">
        <w:rPr>
          <w:rFonts w:cs="Arial"/>
          <w:bCs/>
        </w:rPr>
        <w:t>s</w:t>
      </w:r>
      <w:r w:rsidRPr="00B1643D">
        <w:rPr>
          <w:rFonts w:cs="Arial"/>
          <w:bCs/>
        </w:rPr>
        <w:t xml:space="preserve"> under new circumstances </w:t>
      </w:r>
    </w:p>
    <w:p w14:paraId="70F1E639" w14:textId="656BB6E9" w:rsidR="00511DBD" w:rsidRPr="00B1643D" w:rsidRDefault="00511DBD" w:rsidP="00511DBD">
      <w:pPr>
        <w:pStyle w:val="ListParagraph"/>
        <w:numPr>
          <w:ilvl w:val="0"/>
          <w:numId w:val="20"/>
        </w:numPr>
        <w:tabs>
          <w:tab w:val="left" w:pos="1440"/>
          <w:tab w:val="left" w:pos="1530"/>
        </w:tabs>
        <w:suppressAutoHyphens/>
        <w:jc w:val="both"/>
        <w:rPr>
          <w:rFonts w:cs="Arial"/>
          <w:bCs/>
        </w:rPr>
      </w:pPr>
      <w:r w:rsidRPr="00B1643D">
        <w:rPr>
          <w:rFonts w:cs="Arial"/>
          <w:bCs/>
        </w:rPr>
        <w:t>Any other challenge occurred within the project implementation</w:t>
      </w:r>
    </w:p>
    <w:p w14:paraId="0B1A1D2F" w14:textId="3E52F05D" w:rsidR="00511DBD" w:rsidRPr="00B1643D" w:rsidRDefault="00511DBD" w:rsidP="00511DBD">
      <w:pPr>
        <w:pStyle w:val="ListParagraph"/>
        <w:numPr>
          <w:ilvl w:val="0"/>
          <w:numId w:val="18"/>
        </w:numPr>
        <w:suppressAutoHyphens/>
        <w:jc w:val="both"/>
        <w:rPr>
          <w:rFonts w:cs="Arial"/>
          <w:bCs/>
        </w:rPr>
      </w:pPr>
      <w:r w:rsidRPr="00B1643D">
        <w:rPr>
          <w:rFonts w:cs="Arial"/>
          <w:bCs/>
        </w:rPr>
        <w:t xml:space="preserve">Examine the </w:t>
      </w:r>
      <w:r w:rsidRPr="00B1643D">
        <w:rPr>
          <w:rFonts w:cs="Arial"/>
          <w:bCs/>
          <w:u w:val="single"/>
        </w:rPr>
        <w:t>sustainability prospect</w:t>
      </w:r>
      <w:r w:rsidRPr="00B1643D">
        <w:rPr>
          <w:rFonts w:cs="Arial"/>
          <w:bCs/>
        </w:rPr>
        <w:t xml:space="preserve"> for each of the 6 models (</w:t>
      </w:r>
      <w:r w:rsidR="00F82D3B">
        <w:rPr>
          <w:rFonts w:cs="Arial"/>
          <w:bCs/>
        </w:rPr>
        <w:t>I</w:t>
      </w:r>
      <w:r w:rsidRPr="00B1643D">
        <w:rPr>
          <w:rFonts w:cs="Arial"/>
          <w:bCs/>
        </w:rPr>
        <w:t>s model entirely sustainable or some part of it? Where is the highest interest of grantees rega</w:t>
      </w:r>
      <w:r w:rsidR="00F82D3B">
        <w:rPr>
          <w:rFonts w:cs="Arial"/>
          <w:bCs/>
        </w:rPr>
        <w:t>rding sustainability of model? W</w:t>
      </w:r>
      <w:r w:rsidRPr="00B1643D">
        <w:rPr>
          <w:rFonts w:cs="Arial"/>
          <w:bCs/>
        </w:rPr>
        <w:t>here is the highest risk in making model sustainable? What are the mitigation measures?)</w:t>
      </w:r>
    </w:p>
    <w:p w14:paraId="03DE4CF3" w14:textId="7C2683D7" w:rsidR="00511DBD" w:rsidRPr="00B1643D" w:rsidRDefault="00511DBD" w:rsidP="00511DBD">
      <w:pPr>
        <w:pStyle w:val="ListParagraph"/>
        <w:numPr>
          <w:ilvl w:val="0"/>
          <w:numId w:val="18"/>
        </w:numPr>
        <w:suppressAutoHyphens/>
        <w:jc w:val="both"/>
        <w:rPr>
          <w:rFonts w:cs="Arial"/>
          <w:bCs/>
        </w:rPr>
      </w:pPr>
      <w:r w:rsidRPr="00B1643D">
        <w:rPr>
          <w:rFonts w:cs="Arial"/>
          <w:bCs/>
        </w:rPr>
        <w:lastRenderedPageBreak/>
        <w:t xml:space="preserve">Evaluate the </w:t>
      </w:r>
      <w:r w:rsidRPr="00B1643D">
        <w:rPr>
          <w:rFonts w:cs="Arial"/>
          <w:bCs/>
          <w:u w:val="single"/>
        </w:rPr>
        <w:t xml:space="preserve">role and involvement of other </w:t>
      </w:r>
      <w:r w:rsidR="001944EB" w:rsidRPr="00B1643D">
        <w:rPr>
          <w:rFonts w:cs="Arial"/>
          <w:bCs/>
          <w:u w:val="single"/>
        </w:rPr>
        <w:t>stakeholders</w:t>
      </w:r>
      <w:r w:rsidRPr="00B1643D">
        <w:rPr>
          <w:rFonts w:cs="Arial"/>
          <w:bCs/>
        </w:rPr>
        <w:t xml:space="preserve"> (private, public etc.) in Project implementation process and sustainability of models</w:t>
      </w:r>
    </w:p>
    <w:p w14:paraId="59045293" w14:textId="77777777" w:rsidR="00555454" w:rsidRPr="00B1643D" w:rsidRDefault="00555454" w:rsidP="004B2F18">
      <w:pPr>
        <w:ind w:right="-144"/>
        <w:jc w:val="both"/>
      </w:pPr>
    </w:p>
    <w:p w14:paraId="5139C03E" w14:textId="586FFCBB" w:rsidR="004B2F18" w:rsidRPr="00B1643D" w:rsidRDefault="00555454" w:rsidP="00555454">
      <w:pPr>
        <w:ind w:right="-144"/>
        <w:jc w:val="both"/>
        <w:rPr>
          <w:u w:val="single"/>
        </w:rPr>
      </w:pPr>
      <w:r w:rsidRPr="00B1643D">
        <w:rPr>
          <w:u w:val="single"/>
        </w:rPr>
        <w:t>Part III: Recommendations for each of the grantees</w:t>
      </w:r>
      <w:r w:rsidRPr="00B1643D">
        <w:t xml:space="preserve"> </w:t>
      </w:r>
      <w:r w:rsidRPr="00B1643D">
        <w:rPr>
          <w:u w:val="single"/>
        </w:rPr>
        <w:t xml:space="preserve">on sustainability of youth employment models focusing on financial and managerial sustainability of models </w:t>
      </w:r>
      <w:r w:rsidRPr="00B1643D">
        <w:rPr>
          <w:rFonts w:cs="Arial"/>
          <w:bCs/>
        </w:rPr>
        <w:t>(preliminary list of questions, not definite)</w:t>
      </w:r>
    </w:p>
    <w:p w14:paraId="16FC9E29" w14:textId="77777777" w:rsidR="00555454" w:rsidRPr="00B1643D" w:rsidRDefault="00555454" w:rsidP="00555454">
      <w:pPr>
        <w:ind w:right="-144"/>
        <w:jc w:val="both"/>
        <w:rPr>
          <w:u w:val="single"/>
        </w:rPr>
      </w:pPr>
    </w:p>
    <w:p w14:paraId="771A3EDB" w14:textId="744C4D34" w:rsidR="00555454" w:rsidRPr="00B1643D" w:rsidRDefault="00555454" w:rsidP="00555454">
      <w:pPr>
        <w:pStyle w:val="ListParagraph"/>
        <w:numPr>
          <w:ilvl w:val="0"/>
          <w:numId w:val="20"/>
        </w:numPr>
        <w:suppressAutoHyphens/>
        <w:jc w:val="both"/>
        <w:rPr>
          <w:rFonts w:cs="Arial"/>
          <w:bCs/>
        </w:rPr>
      </w:pPr>
      <w:r w:rsidRPr="00B1643D">
        <w:rPr>
          <w:rFonts w:cs="Arial"/>
          <w:bCs/>
        </w:rPr>
        <w:t>How and to what extent private and/or public sector should be involved in financing the model (i.e. % of financial contribution to match the SIPRU funds?)</w:t>
      </w:r>
    </w:p>
    <w:p w14:paraId="44EA3EE2" w14:textId="43720651" w:rsidR="00555454" w:rsidRPr="00B1643D" w:rsidRDefault="00555454" w:rsidP="00555454">
      <w:pPr>
        <w:pStyle w:val="ListParagraph"/>
        <w:numPr>
          <w:ilvl w:val="0"/>
          <w:numId w:val="20"/>
        </w:numPr>
        <w:suppressAutoHyphens/>
        <w:jc w:val="both"/>
        <w:rPr>
          <w:rFonts w:cs="Arial"/>
          <w:bCs/>
        </w:rPr>
      </w:pPr>
      <w:r w:rsidRPr="00B1643D">
        <w:rPr>
          <w:rFonts w:cs="Arial"/>
          <w:bCs/>
        </w:rPr>
        <w:t>What should be the role of the civil sector in managing the model in future?</w:t>
      </w:r>
    </w:p>
    <w:p w14:paraId="697B5085" w14:textId="1E148ED1" w:rsidR="00555454" w:rsidRPr="00B1643D" w:rsidRDefault="00555454" w:rsidP="00555454">
      <w:pPr>
        <w:pStyle w:val="ListParagraph"/>
        <w:numPr>
          <w:ilvl w:val="0"/>
          <w:numId w:val="20"/>
        </w:numPr>
        <w:suppressAutoHyphens/>
        <w:jc w:val="both"/>
        <w:rPr>
          <w:rFonts w:cs="Arial"/>
          <w:bCs/>
        </w:rPr>
      </w:pPr>
      <w:r w:rsidRPr="00B1643D">
        <w:rPr>
          <w:rFonts w:cs="Arial"/>
          <w:bCs/>
        </w:rPr>
        <w:t>Should certain models be improved/adjusted and if yes in which direction?</w:t>
      </w:r>
    </w:p>
    <w:p w14:paraId="6FE31E9C" w14:textId="126B2B6A" w:rsidR="00555454" w:rsidRPr="00AE391D" w:rsidRDefault="001944EB" w:rsidP="00AE391D">
      <w:pPr>
        <w:pStyle w:val="ListParagraph"/>
        <w:numPr>
          <w:ilvl w:val="0"/>
          <w:numId w:val="20"/>
        </w:numPr>
        <w:suppressAutoHyphens/>
        <w:jc w:val="both"/>
        <w:rPr>
          <w:u w:val="single"/>
        </w:rPr>
      </w:pPr>
      <w:r w:rsidRPr="00B1643D">
        <w:rPr>
          <w:rFonts w:cs="Arial"/>
          <w:bCs/>
        </w:rPr>
        <w:t>Which</w:t>
      </w:r>
      <w:r w:rsidR="00555454" w:rsidRPr="00B1643D">
        <w:rPr>
          <w:rFonts w:cs="Arial"/>
          <w:bCs/>
        </w:rPr>
        <w:t xml:space="preserve"> policy recommendations from lessons learned on innovative models and </w:t>
      </w:r>
      <w:r w:rsidRPr="00B1643D">
        <w:rPr>
          <w:rFonts w:cs="Arial"/>
          <w:bCs/>
        </w:rPr>
        <w:t xml:space="preserve">what </w:t>
      </w:r>
      <w:r w:rsidR="00555454" w:rsidRPr="00B1643D">
        <w:rPr>
          <w:rFonts w:cs="Arial"/>
          <w:bCs/>
        </w:rPr>
        <w:t>steps to be taken to implement recommendations</w:t>
      </w:r>
      <w:r w:rsidRPr="00B1643D">
        <w:rPr>
          <w:rFonts w:cs="Arial"/>
          <w:bCs/>
        </w:rPr>
        <w:t>?</w:t>
      </w:r>
    </w:p>
    <w:p w14:paraId="55132AFD" w14:textId="77777777" w:rsidR="00446BB9" w:rsidRPr="00B1643D" w:rsidRDefault="00446BB9" w:rsidP="00446BB9">
      <w:pPr>
        <w:pStyle w:val="ListParagraph"/>
        <w:jc w:val="both"/>
      </w:pPr>
    </w:p>
    <w:p w14:paraId="5B651A0E" w14:textId="6C0CE4CF" w:rsidR="00446BB9" w:rsidRPr="00B1643D" w:rsidRDefault="00446BB9" w:rsidP="00643C00">
      <w:pPr>
        <w:pStyle w:val="Memoheading"/>
        <w:numPr>
          <w:ilvl w:val="0"/>
          <w:numId w:val="5"/>
        </w:numPr>
        <w:autoSpaceDE w:val="0"/>
        <w:autoSpaceDN w:val="0"/>
        <w:adjustRightInd w:val="0"/>
        <w:spacing w:before="240" w:after="240"/>
        <w:ind w:right="120"/>
        <w:jc w:val="both"/>
        <w:outlineLvl w:val="0"/>
        <w:rPr>
          <w:b/>
          <w:noProof w:val="0"/>
          <w:color w:val="000000" w:themeColor="text1"/>
          <w:sz w:val="24"/>
          <w:szCs w:val="24"/>
          <w:u w:val="single"/>
        </w:rPr>
      </w:pPr>
      <w:r w:rsidRPr="00B1643D">
        <w:rPr>
          <w:b/>
          <w:noProof w:val="0"/>
          <w:color w:val="000000" w:themeColor="text1"/>
          <w:sz w:val="24"/>
          <w:szCs w:val="24"/>
          <w:u w:val="single"/>
        </w:rPr>
        <w:t>Outputs/Deliverables</w:t>
      </w:r>
    </w:p>
    <w:p w14:paraId="50A56560" w14:textId="5D5660DF" w:rsidR="00446BB9" w:rsidRPr="00B1643D" w:rsidRDefault="00446BB9" w:rsidP="00446BB9">
      <w:pPr>
        <w:pStyle w:val="Memoheading"/>
        <w:autoSpaceDE w:val="0"/>
        <w:autoSpaceDN w:val="0"/>
        <w:adjustRightInd w:val="0"/>
        <w:spacing w:before="120"/>
        <w:outlineLvl w:val="0"/>
        <w:rPr>
          <w:noProof w:val="0"/>
          <w:sz w:val="24"/>
          <w:szCs w:val="24"/>
        </w:rPr>
      </w:pPr>
      <w:r w:rsidRPr="00B1643D">
        <w:rPr>
          <w:noProof w:val="0"/>
          <w:sz w:val="24"/>
          <w:szCs w:val="24"/>
        </w:rPr>
        <w:t>The consultant will be responsible for delivering the following outputs:</w:t>
      </w:r>
    </w:p>
    <w:p w14:paraId="55CF35DC" w14:textId="77777777" w:rsidR="001A6349" w:rsidRPr="00B1643D" w:rsidRDefault="001A6349" w:rsidP="00446BB9">
      <w:pPr>
        <w:pStyle w:val="Memoheading"/>
        <w:autoSpaceDE w:val="0"/>
        <w:autoSpaceDN w:val="0"/>
        <w:adjustRightInd w:val="0"/>
        <w:spacing w:before="120"/>
        <w:outlineLvl w:val="0"/>
        <w:rPr>
          <w:noProof w:val="0"/>
          <w:sz w:val="24"/>
          <w:szCs w:val="24"/>
        </w:rPr>
      </w:pPr>
    </w:p>
    <w:p w14:paraId="6A0D0046" w14:textId="7EA8CA9B" w:rsidR="00921EA3" w:rsidRPr="00D117FC" w:rsidRDefault="001A6349" w:rsidP="00D117FC">
      <w:pPr>
        <w:pStyle w:val="Memoheading"/>
        <w:numPr>
          <w:ilvl w:val="0"/>
          <w:numId w:val="3"/>
        </w:numPr>
        <w:jc w:val="both"/>
        <w:outlineLvl w:val="0"/>
        <w:rPr>
          <w:noProof w:val="0"/>
          <w:sz w:val="24"/>
          <w:szCs w:val="24"/>
          <w:u w:val="single"/>
        </w:rPr>
      </w:pPr>
      <w:r w:rsidRPr="00B1643D">
        <w:rPr>
          <w:noProof w:val="0"/>
          <w:sz w:val="24"/>
          <w:szCs w:val="24"/>
        </w:rPr>
        <w:t xml:space="preserve">Work </w:t>
      </w:r>
      <w:r w:rsidR="00FF62E2" w:rsidRPr="00B1643D">
        <w:rPr>
          <w:noProof w:val="0"/>
          <w:sz w:val="24"/>
          <w:szCs w:val="24"/>
        </w:rPr>
        <w:t xml:space="preserve">plan and methodology on delivering </w:t>
      </w:r>
      <w:r w:rsidR="00555454" w:rsidRPr="00B1643D">
        <w:rPr>
          <w:noProof w:val="0"/>
          <w:sz w:val="24"/>
          <w:szCs w:val="24"/>
        </w:rPr>
        <w:t>evaluation</w:t>
      </w:r>
      <w:r w:rsidR="00FF62E2" w:rsidRPr="00B1643D">
        <w:rPr>
          <w:noProof w:val="0"/>
          <w:sz w:val="24"/>
          <w:szCs w:val="24"/>
        </w:rPr>
        <w:t xml:space="preserve"> of </w:t>
      </w:r>
      <w:r w:rsidRPr="00B1643D">
        <w:rPr>
          <w:noProof w:val="0"/>
          <w:sz w:val="24"/>
          <w:szCs w:val="24"/>
        </w:rPr>
        <w:t xml:space="preserve">public call “Supporting Innovative Approaches to Tackle Youth Employment and Employability” for 2020-2021, </w:t>
      </w:r>
      <w:r w:rsidR="00F8190E">
        <w:rPr>
          <w:noProof w:val="0"/>
          <w:sz w:val="24"/>
          <w:szCs w:val="24"/>
        </w:rPr>
        <w:t xml:space="preserve">including </w:t>
      </w:r>
      <w:r w:rsidR="00D117FC" w:rsidRPr="00D117FC">
        <w:rPr>
          <w:noProof w:val="0"/>
          <w:sz w:val="24"/>
          <w:szCs w:val="24"/>
        </w:rPr>
        <w:t>an</w:t>
      </w:r>
      <w:r w:rsidR="00921EA3" w:rsidRPr="00D117FC">
        <w:rPr>
          <w:noProof w:val="0"/>
          <w:sz w:val="24"/>
          <w:szCs w:val="24"/>
        </w:rPr>
        <w:t xml:space="preserve"> outline of evaluation report based on ToR and </w:t>
      </w:r>
      <w:r w:rsidR="00D117FC">
        <w:rPr>
          <w:noProof w:val="0"/>
          <w:sz w:val="24"/>
          <w:szCs w:val="24"/>
        </w:rPr>
        <w:t>approved by SIPRU</w:t>
      </w:r>
      <w:r w:rsidR="00921EA3" w:rsidRPr="00D117FC">
        <w:rPr>
          <w:noProof w:val="0"/>
          <w:sz w:val="24"/>
          <w:szCs w:val="24"/>
        </w:rPr>
        <w:t>;</w:t>
      </w:r>
    </w:p>
    <w:p w14:paraId="098DFE82" w14:textId="1640E648" w:rsidR="002231AD" w:rsidRPr="00B1643D" w:rsidRDefault="002231AD" w:rsidP="004569EE">
      <w:pPr>
        <w:pStyle w:val="Memoheading"/>
        <w:numPr>
          <w:ilvl w:val="0"/>
          <w:numId w:val="3"/>
        </w:numPr>
        <w:jc w:val="both"/>
        <w:outlineLvl w:val="0"/>
        <w:rPr>
          <w:noProof w:val="0"/>
          <w:sz w:val="24"/>
          <w:szCs w:val="24"/>
          <w:u w:val="single"/>
        </w:rPr>
      </w:pPr>
      <w:r w:rsidRPr="00B1643D">
        <w:rPr>
          <w:noProof w:val="0"/>
          <w:sz w:val="24"/>
          <w:szCs w:val="24"/>
        </w:rPr>
        <w:t>Organized consultation process, meetings and interviews with stakeholders involved in the implementation</w:t>
      </w:r>
      <w:r w:rsidR="00555454" w:rsidRPr="00B1643D">
        <w:rPr>
          <w:noProof w:val="0"/>
          <w:sz w:val="24"/>
          <w:szCs w:val="24"/>
        </w:rPr>
        <w:t xml:space="preserve"> and collected feedback relevant for drafting the evaluation report;</w:t>
      </w:r>
    </w:p>
    <w:p w14:paraId="1960060C" w14:textId="087D0062" w:rsidR="00166028" w:rsidRPr="00B1643D" w:rsidRDefault="001A6349" w:rsidP="004569EE">
      <w:pPr>
        <w:pStyle w:val="ListParagraph"/>
        <w:numPr>
          <w:ilvl w:val="0"/>
          <w:numId w:val="3"/>
        </w:numPr>
      </w:pPr>
      <w:r w:rsidRPr="00B1643D">
        <w:t>Draft version of</w:t>
      </w:r>
      <w:r w:rsidR="00001FE9" w:rsidRPr="00B1643D">
        <w:t xml:space="preserve"> </w:t>
      </w:r>
      <w:r w:rsidR="00555454" w:rsidRPr="00B1643D">
        <w:t xml:space="preserve">evaluation </w:t>
      </w:r>
      <w:r w:rsidRPr="00B1643D">
        <w:t>report</w:t>
      </w:r>
      <w:r w:rsidR="00120630" w:rsidRPr="00B1643D">
        <w:t xml:space="preserve"> </w:t>
      </w:r>
      <w:r w:rsidR="00555454" w:rsidRPr="00B1643D">
        <w:t>on</w:t>
      </w:r>
      <w:r w:rsidR="00120630" w:rsidRPr="00B1643D">
        <w:t xml:space="preserve"> </w:t>
      </w:r>
      <w:r w:rsidR="00166028" w:rsidRPr="00B1643D">
        <w:t>public call “Supporting Innovative Approaches to Tackle Youth Employment and Employability” for 2020-2021, approved by SIPRU.</w:t>
      </w:r>
    </w:p>
    <w:p w14:paraId="0DC9AA53" w14:textId="00B32688" w:rsidR="00166028" w:rsidRPr="00B1643D" w:rsidRDefault="00166028" w:rsidP="00166028">
      <w:pPr>
        <w:pStyle w:val="ListParagraph"/>
        <w:numPr>
          <w:ilvl w:val="0"/>
          <w:numId w:val="3"/>
        </w:numPr>
      </w:pPr>
      <w:r w:rsidRPr="00B1643D">
        <w:t>Final version of</w:t>
      </w:r>
      <w:r w:rsidR="00001FE9" w:rsidRPr="00B1643D">
        <w:t xml:space="preserve"> </w:t>
      </w:r>
      <w:r w:rsidR="00CC5729" w:rsidRPr="00B1643D">
        <w:t>evaluation report on</w:t>
      </w:r>
      <w:r w:rsidRPr="00B1643D">
        <w:t xml:space="preserve"> public call “Supporting Innovative Approaches to Tackle Youth Employment and Employability” for 2020-2021, approved by SIPRU.</w:t>
      </w:r>
    </w:p>
    <w:p w14:paraId="12B53069" w14:textId="77777777" w:rsidR="00446BB9" w:rsidRPr="00B1643D" w:rsidRDefault="00446BB9" w:rsidP="00446BB9">
      <w:pPr>
        <w:pStyle w:val="Memoheading"/>
        <w:autoSpaceDE w:val="0"/>
        <w:autoSpaceDN w:val="0"/>
        <w:adjustRightInd w:val="0"/>
        <w:spacing w:before="120"/>
        <w:outlineLvl w:val="0"/>
        <w:rPr>
          <w:noProof w:val="0"/>
          <w:sz w:val="24"/>
          <w:szCs w:val="24"/>
        </w:rPr>
      </w:pPr>
    </w:p>
    <w:p w14:paraId="4C0EE577" w14:textId="7ADEEC3D" w:rsidR="00446BB9" w:rsidRPr="00B1643D" w:rsidRDefault="004E33BA" w:rsidP="00643C00">
      <w:pPr>
        <w:pStyle w:val="Memoheading"/>
        <w:numPr>
          <w:ilvl w:val="0"/>
          <w:numId w:val="5"/>
        </w:numPr>
        <w:autoSpaceDE w:val="0"/>
        <w:autoSpaceDN w:val="0"/>
        <w:adjustRightInd w:val="0"/>
        <w:spacing w:before="120"/>
        <w:outlineLvl w:val="0"/>
        <w:rPr>
          <w:noProof w:val="0"/>
          <w:sz w:val="24"/>
          <w:szCs w:val="24"/>
        </w:rPr>
      </w:pPr>
      <w:r w:rsidRPr="00B1643D">
        <w:rPr>
          <w:b/>
          <w:noProof w:val="0"/>
          <w:color w:val="000000" w:themeColor="text1"/>
          <w:sz w:val="24"/>
          <w:szCs w:val="24"/>
          <w:u w:val="single"/>
        </w:rPr>
        <w:t>Qualifications</w:t>
      </w:r>
    </w:p>
    <w:p w14:paraId="7285DE58" w14:textId="77777777" w:rsidR="00446BB9" w:rsidRPr="00B1643D" w:rsidRDefault="00446BB9" w:rsidP="00446BB9">
      <w:pPr>
        <w:spacing w:after="120"/>
        <w:jc w:val="both"/>
      </w:pPr>
    </w:p>
    <w:p w14:paraId="14AFC730" w14:textId="77777777" w:rsidR="00446BB9" w:rsidRPr="00B1643D" w:rsidRDefault="00446BB9" w:rsidP="00446BB9">
      <w:pPr>
        <w:spacing w:after="120"/>
        <w:jc w:val="both"/>
      </w:pPr>
      <w:r w:rsidRPr="00B1643D">
        <w:t xml:space="preserve">The consultant shall have the following skills, experience and qualifications: </w:t>
      </w:r>
    </w:p>
    <w:p w14:paraId="36794199" w14:textId="4B81CA91" w:rsidR="00446BB9" w:rsidRPr="00B1643D" w:rsidRDefault="004013FD" w:rsidP="0071114F">
      <w:pPr>
        <w:pStyle w:val="PlainText"/>
        <w:numPr>
          <w:ilvl w:val="0"/>
          <w:numId w:val="2"/>
        </w:numPr>
        <w:spacing w:before="120" w:line="276" w:lineRule="auto"/>
        <w:rPr>
          <w:rFonts w:ascii="Times New Roman" w:hAnsi="Times New Roman"/>
          <w:sz w:val="24"/>
          <w:szCs w:val="24"/>
        </w:rPr>
      </w:pPr>
      <w:r w:rsidRPr="00B1643D">
        <w:rPr>
          <w:rFonts w:ascii="Times New Roman" w:hAnsi="Times New Roman"/>
          <w:sz w:val="24"/>
          <w:szCs w:val="24"/>
        </w:rPr>
        <w:t>University degree of social science</w:t>
      </w:r>
      <w:r w:rsidR="00D14972" w:rsidRPr="00B1643D">
        <w:rPr>
          <w:rFonts w:ascii="Times New Roman" w:hAnsi="Times New Roman"/>
          <w:sz w:val="24"/>
          <w:szCs w:val="24"/>
        </w:rPr>
        <w:t>;</w:t>
      </w:r>
    </w:p>
    <w:p w14:paraId="64D65728" w14:textId="3A477662" w:rsidR="00446BB9" w:rsidRPr="00B1643D" w:rsidRDefault="00446BB9" w:rsidP="0099702B">
      <w:pPr>
        <w:pStyle w:val="PlainText"/>
        <w:numPr>
          <w:ilvl w:val="0"/>
          <w:numId w:val="2"/>
        </w:numPr>
        <w:spacing w:before="120" w:line="276" w:lineRule="auto"/>
        <w:jc w:val="both"/>
        <w:rPr>
          <w:rFonts w:ascii="Times New Roman" w:hAnsi="Times New Roman"/>
          <w:sz w:val="24"/>
          <w:szCs w:val="24"/>
        </w:rPr>
      </w:pPr>
      <w:r w:rsidRPr="00B1643D">
        <w:rPr>
          <w:rFonts w:ascii="Times New Roman" w:hAnsi="Times New Roman"/>
          <w:sz w:val="24"/>
          <w:szCs w:val="24"/>
        </w:rPr>
        <w:t xml:space="preserve">At least </w:t>
      </w:r>
      <w:r w:rsidR="00B82F1B" w:rsidRPr="00B1643D">
        <w:rPr>
          <w:rFonts w:ascii="Times New Roman" w:hAnsi="Times New Roman"/>
          <w:sz w:val="24"/>
          <w:szCs w:val="24"/>
        </w:rPr>
        <w:t>10</w:t>
      </w:r>
      <w:r w:rsidRPr="00B1643D">
        <w:rPr>
          <w:rFonts w:ascii="Times New Roman" w:hAnsi="Times New Roman"/>
          <w:sz w:val="24"/>
          <w:szCs w:val="24"/>
        </w:rPr>
        <w:t xml:space="preserve"> years of </w:t>
      </w:r>
      <w:r w:rsidR="00EF0903" w:rsidRPr="00B1643D">
        <w:rPr>
          <w:rFonts w:ascii="Times New Roman" w:hAnsi="Times New Roman"/>
          <w:sz w:val="24"/>
          <w:szCs w:val="24"/>
        </w:rPr>
        <w:t xml:space="preserve">general </w:t>
      </w:r>
      <w:r w:rsidRPr="00B1643D">
        <w:rPr>
          <w:rFonts w:ascii="Times New Roman" w:hAnsi="Times New Roman"/>
          <w:sz w:val="24"/>
          <w:szCs w:val="24"/>
        </w:rPr>
        <w:t>working experience</w:t>
      </w:r>
      <w:r w:rsidR="00EF0903" w:rsidRPr="00B1643D">
        <w:rPr>
          <w:rFonts w:ascii="Times New Roman" w:hAnsi="Times New Roman"/>
          <w:sz w:val="24"/>
          <w:szCs w:val="24"/>
        </w:rPr>
        <w:t xml:space="preserve"> </w:t>
      </w:r>
      <w:r w:rsidR="009A000B" w:rsidRPr="00B1643D">
        <w:rPr>
          <w:rFonts w:ascii="Times New Roman" w:hAnsi="Times New Roman"/>
          <w:sz w:val="24"/>
          <w:szCs w:val="24"/>
        </w:rPr>
        <w:t>related to the objective of the assignment;</w:t>
      </w:r>
    </w:p>
    <w:p w14:paraId="2873554B" w14:textId="58CD7E42" w:rsidR="0071114F" w:rsidRPr="00B1643D" w:rsidRDefault="0071114F" w:rsidP="0099702B">
      <w:pPr>
        <w:pStyle w:val="ListParagraph"/>
        <w:numPr>
          <w:ilvl w:val="0"/>
          <w:numId w:val="2"/>
        </w:numPr>
        <w:spacing w:line="276" w:lineRule="auto"/>
        <w:jc w:val="both"/>
      </w:pPr>
      <w:r w:rsidRPr="00B1643D">
        <w:t xml:space="preserve">At least 5 years of working experience in delivering </w:t>
      </w:r>
      <w:r w:rsidR="00EB0B45" w:rsidRPr="00B1643D">
        <w:t xml:space="preserve">project </w:t>
      </w:r>
      <w:r w:rsidR="00FE37E2">
        <w:t xml:space="preserve">preparation, monitoring and/or </w:t>
      </w:r>
      <w:r w:rsidRPr="00B1643D">
        <w:t xml:space="preserve">evaluation </w:t>
      </w:r>
      <w:r w:rsidR="00EB0B45" w:rsidRPr="00B1643D">
        <w:t xml:space="preserve">and analysis </w:t>
      </w:r>
      <w:r w:rsidR="00F909C7" w:rsidRPr="00B1643D">
        <w:t>in</w:t>
      </w:r>
      <w:r w:rsidRPr="00B1643D">
        <w:t xml:space="preserve"> fields of employment, social inclusion and/or poverty reduction;</w:t>
      </w:r>
    </w:p>
    <w:p w14:paraId="6B9BEB1F" w14:textId="4AD45D5B" w:rsidR="0071114F" w:rsidRPr="00B1643D" w:rsidRDefault="0071114F" w:rsidP="0099702B">
      <w:pPr>
        <w:pStyle w:val="ListParagraph"/>
        <w:numPr>
          <w:ilvl w:val="0"/>
          <w:numId w:val="2"/>
        </w:numPr>
        <w:spacing w:line="276" w:lineRule="auto"/>
        <w:jc w:val="both"/>
      </w:pPr>
      <w:r w:rsidRPr="00B1643D">
        <w:t xml:space="preserve">Sound understanding of national policy, institutional and legal </w:t>
      </w:r>
      <w:r w:rsidR="00DB7460" w:rsidRPr="00B1643D">
        <w:t xml:space="preserve">youth </w:t>
      </w:r>
      <w:r w:rsidRPr="00B1643D">
        <w:t>employment context in Republic of Serbia;</w:t>
      </w:r>
    </w:p>
    <w:p w14:paraId="5797EC09" w14:textId="77777777" w:rsidR="0071114F" w:rsidRPr="00B1643D" w:rsidRDefault="0071114F" w:rsidP="0099702B">
      <w:pPr>
        <w:pStyle w:val="ListParagraph"/>
        <w:numPr>
          <w:ilvl w:val="0"/>
          <w:numId w:val="2"/>
        </w:numPr>
        <w:spacing w:line="276" w:lineRule="auto"/>
        <w:jc w:val="both"/>
      </w:pPr>
      <w:r w:rsidRPr="00B1643D">
        <w:t>Experience in cooperation with national and international stakeholders (civil society, public administration, social partners, grass-roots organizations</w:t>
      </w:r>
      <w:r w:rsidRPr="00C7443D">
        <w:t>, etc.);</w:t>
      </w:r>
    </w:p>
    <w:p w14:paraId="7A470522" w14:textId="40F12CB4" w:rsidR="0071114F" w:rsidRPr="00B1643D" w:rsidRDefault="00DB7460" w:rsidP="00DB7460">
      <w:pPr>
        <w:pStyle w:val="ListParagraph"/>
        <w:numPr>
          <w:ilvl w:val="0"/>
          <w:numId w:val="2"/>
        </w:numPr>
        <w:spacing w:line="276" w:lineRule="auto"/>
        <w:jc w:val="both"/>
      </w:pPr>
      <w:r w:rsidRPr="00B1643D">
        <w:t>Previous e</w:t>
      </w:r>
      <w:r w:rsidR="0099702B" w:rsidRPr="00B1643D">
        <w:t xml:space="preserve">xperience in </w:t>
      </w:r>
      <w:r w:rsidR="00F909C7" w:rsidRPr="00B1643D">
        <w:t>evaluation of projects related to youth employment and youth employability will be considered as</w:t>
      </w:r>
      <w:r w:rsidR="0071114F" w:rsidRPr="00B1643D">
        <w:t xml:space="preserve"> an asset;</w:t>
      </w:r>
    </w:p>
    <w:p w14:paraId="119CF0D3" w14:textId="77777777" w:rsidR="0071114F" w:rsidRPr="00B1643D" w:rsidRDefault="0071114F" w:rsidP="0099702B">
      <w:pPr>
        <w:pStyle w:val="ListParagraph"/>
        <w:numPr>
          <w:ilvl w:val="0"/>
          <w:numId w:val="2"/>
        </w:numPr>
        <w:spacing w:line="276" w:lineRule="auto"/>
        <w:jc w:val="both"/>
      </w:pPr>
      <w:r w:rsidRPr="00B1643D">
        <w:lastRenderedPageBreak/>
        <w:t>Excellent knowledge of the English language;</w:t>
      </w:r>
    </w:p>
    <w:p w14:paraId="4CCF91B6" w14:textId="15EEB970" w:rsidR="0071114F" w:rsidRPr="00B1643D" w:rsidRDefault="0071114F" w:rsidP="0099702B">
      <w:pPr>
        <w:pStyle w:val="ListParagraph"/>
        <w:numPr>
          <w:ilvl w:val="0"/>
          <w:numId w:val="2"/>
        </w:numPr>
        <w:spacing w:line="276" w:lineRule="auto"/>
        <w:jc w:val="both"/>
      </w:pPr>
      <w:r w:rsidRPr="00B1643D">
        <w:t>Good analytical, writing and reporting skills;</w:t>
      </w:r>
    </w:p>
    <w:p w14:paraId="024CB151" w14:textId="43BA391D" w:rsidR="00E34C5E" w:rsidRPr="00B1643D" w:rsidRDefault="00E34C5E" w:rsidP="0099702B">
      <w:pPr>
        <w:pStyle w:val="ListParagraph"/>
        <w:numPr>
          <w:ilvl w:val="0"/>
          <w:numId w:val="2"/>
        </w:numPr>
        <w:spacing w:line="276" w:lineRule="auto"/>
        <w:jc w:val="both"/>
      </w:pPr>
      <w:r w:rsidRPr="00B1643D">
        <w:t>Excellent communication skills.</w:t>
      </w:r>
    </w:p>
    <w:p w14:paraId="5A70F890" w14:textId="77777777" w:rsidR="00446BB9" w:rsidRPr="00B1643D" w:rsidRDefault="00446BB9" w:rsidP="00446BB9">
      <w:pPr>
        <w:jc w:val="both"/>
      </w:pPr>
    </w:p>
    <w:p w14:paraId="29A61087" w14:textId="77777777" w:rsidR="00446BB9" w:rsidRPr="00B1643D" w:rsidRDefault="00446BB9" w:rsidP="00446BB9">
      <w:pPr>
        <w:pStyle w:val="Memoheading"/>
        <w:ind w:left="1080"/>
        <w:jc w:val="both"/>
        <w:outlineLvl w:val="0"/>
        <w:rPr>
          <w:noProof w:val="0"/>
          <w:sz w:val="24"/>
          <w:szCs w:val="24"/>
        </w:rPr>
      </w:pPr>
    </w:p>
    <w:p w14:paraId="62D4DA8A" w14:textId="364670E9" w:rsidR="00446BB9" w:rsidRPr="00B1643D" w:rsidRDefault="00643C00" w:rsidP="00643C00">
      <w:pPr>
        <w:pStyle w:val="ListParagraph"/>
        <w:numPr>
          <w:ilvl w:val="0"/>
          <w:numId w:val="5"/>
        </w:numPr>
        <w:spacing w:after="120"/>
        <w:rPr>
          <w:b/>
          <w:u w:val="single"/>
        </w:rPr>
      </w:pPr>
      <w:r w:rsidRPr="00B1643D">
        <w:rPr>
          <w:b/>
          <w:u w:val="single"/>
        </w:rPr>
        <w:t xml:space="preserve"> </w:t>
      </w:r>
      <w:r w:rsidR="00446BB9" w:rsidRPr="00B1643D">
        <w:rPr>
          <w:b/>
          <w:u w:val="single"/>
        </w:rPr>
        <w:t xml:space="preserve">Reporting </w:t>
      </w:r>
    </w:p>
    <w:p w14:paraId="1AD0D59F" w14:textId="77777777" w:rsidR="00446BB9" w:rsidRPr="00B1643D" w:rsidRDefault="00446BB9" w:rsidP="00446BB9">
      <w:pPr>
        <w:pStyle w:val="ListParagraph"/>
        <w:spacing w:before="120"/>
        <w:ind w:left="0"/>
        <w:jc w:val="both"/>
      </w:pPr>
    </w:p>
    <w:p w14:paraId="58A00768" w14:textId="1FE24B97" w:rsidR="00446BB9" w:rsidRPr="00B1643D" w:rsidRDefault="00446BB9" w:rsidP="00446BB9">
      <w:pPr>
        <w:pStyle w:val="ListParagraph"/>
        <w:spacing w:after="120"/>
        <w:ind w:left="0"/>
        <w:jc w:val="both"/>
      </w:pPr>
      <w:r w:rsidRPr="00B1643D">
        <w:t xml:space="preserve">The selected consultant will report to the SIPRU manager who is accountable for all contracts signed by SIPRU, but with engagement and quality assurance of </w:t>
      </w:r>
      <w:r w:rsidR="00FE099C" w:rsidRPr="00B1643D">
        <w:t>Youth Employment Coordinator</w:t>
      </w:r>
      <w:r w:rsidRPr="00B1643D">
        <w:t xml:space="preserve">. </w:t>
      </w:r>
    </w:p>
    <w:p w14:paraId="0E490809" w14:textId="77777777" w:rsidR="00446BB9" w:rsidRPr="00B1643D" w:rsidRDefault="00446BB9" w:rsidP="00446BB9">
      <w:pPr>
        <w:pStyle w:val="ListParagraph"/>
        <w:spacing w:after="120"/>
        <w:ind w:left="0"/>
        <w:jc w:val="both"/>
      </w:pPr>
    </w:p>
    <w:p w14:paraId="22C60049" w14:textId="1340DF54" w:rsidR="00446BB9" w:rsidRPr="00B1643D" w:rsidRDefault="00446BB9" w:rsidP="00446BB9">
      <w:pPr>
        <w:pStyle w:val="ListParagraph"/>
        <w:spacing w:after="120" w:line="276" w:lineRule="auto"/>
        <w:ind w:left="0"/>
        <w:jc w:val="both"/>
        <w:rPr>
          <w:bCs/>
        </w:rPr>
      </w:pPr>
      <w:r w:rsidRPr="00B1643D">
        <w:rPr>
          <w:bCs/>
        </w:rPr>
        <w:t xml:space="preserve">Following deliverables are expected to be delivered by the </w:t>
      </w:r>
      <w:r w:rsidR="000547D9" w:rsidRPr="00B1643D">
        <w:rPr>
          <w:bCs/>
        </w:rPr>
        <w:t>consultant</w:t>
      </w:r>
      <w:r w:rsidRPr="00B1643D">
        <w:rPr>
          <w:bCs/>
        </w:rPr>
        <w:t xml:space="preserve">: </w:t>
      </w:r>
    </w:p>
    <w:p w14:paraId="6460B2C1" w14:textId="39708B66" w:rsidR="00FF62E2" w:rsidRPr="00B1643D" w:rsidRDefault="00E923C0" w:rsidP="00D117FC">
      <w:pPr>
        <w:pStyle w:val="ListParagraph"/>
        <w:numPr>
          <w:ilvl w:val="0"/>
          <w:numId w:val="6"/>
        </w:numPr>
        <w:tabs>
          <w:tab w:val="left" w:pos="2880"/>
        </w:tabs>
        <w:spacing w:before="100" w:beforeAutospacing="1"/>
        <w:jc w:val="both"/>
      </w:pPr>
      <w:r w:rsidRPr="00B1643D">
        <w:t xml:space="preserve">Work </w:t>
      </w:r>
      <w:r w:rsidR="00FF62E2" w:rsidRPr="00B1643D">
        <w:t>plan and methodology on delivering</w:t>
      </w:r>
      <w:r w:rsidRPr="00B1643D">
        <w:t xml:space="preserve"> </w:t>
      </w:r>
      <w:r w:rsidR="00FF62E2" w:rsidRPr="00B1643D">
        <w:t>evaluation</w:t>
      </w:r>
      <w:r w:rsidRPr="00B1643D">
        <w:t xml:space="preserve"> of public call Supporting Innovative Approaches to Tackle Youth Employment and Employability” for 2020-2021,</w:t>
      </w:r>
      <w:r w:rsidR="00D117FC">
        <w:rPr>
          <w:shd w:val="clear" w:color="auto" w:fill="FFFFFF"/>
        </w:rPr>
        <w:t xml:space="preserve"> and a</w:t>
      </w:r>
      <w:r w:rsidR="00FF62E2" w:rsidRPr="00B1643D">
        <w:t>n outline of evaluation report based on ToR, no later than November 2</w:t>
      </w:r>
      <w:r w:rsidR="0095425D">
        <w:t>9</w:t>
      </w:r>
      <w:r w:rsidR="00FF62E2" w:rsidRPr="00B1643D">
        <w:t>, 2021;</w:t>
      </w:r>
    </w:p>
    <w:p w14:paraId="49708F2E" w14:textId="42D13839" w:rsidR="005243B9" w:rsidRPr="00B1643D" w:rsidRDefault="005243B9" w:rsidP="005243B9">
      <w:pPr>
        <w:pStyle w:val="Memoheading"/>
        <w:numPr>
          <w:ilvl w:val="0"/>
          <w:numId w:val="6"/>
        </w:numPr>
        <w:jc w:val="both"/>
        <w:outlineLvl w:val="0"/>
        <w:rPr>
          <w:noProof w:val="0"/>
          <w:sz w:val="24"/>
          <w:szCs w:val="24"/>
          <w:u w:val="single"/>
        </w:rPr>
      </w:pPr>
      <w:r w:rsidRPr="00B1643D">
        <w:rPr>
          <w:noProof w:val="0"/>
          <w:sz w:val="24"/>
          <w:szCs w:val="24"/>
        </w:rPr>
        <w:t>Organized consultation process with stakeholders and collected feedback relevant for drafting the evaluation report, no later than</w:t>
      </w:r>
      <w:r w:rsidR="003F0C7F" w:rsidRPr="00B1643D">
        <w:rPr>
          <w:noProof w:val="0"/>
          <w:sz w:val="24"/>
          <w:szCs w:val="24"/>
        </w:rPr>
        <w:t xml:space="preserve"> December </w:t>
      </w:r>
      <w:r w:rsidR="0061441D">
        <w:rPr>
          <w:noProof w:val="0"/>
          <w:sz w:val="24"/>
          <w:szCs w:val="24"/>
        </w:rPr>
        <w:t>9</w:t>
      </w:r>
      <w:r w:rsidR="003F0C7F" w:rsidRPr="00B1643D">
        <w:rPr>
          <w:noProof w:val="0"/>
          <w:sz w:val="24"/>
          <w:szCs w:val="24"/>
        </w:rPr>
        <w:t>, 2021</w:t>
      </w:r>
      <w:r w:rsidRPr="00B1643D">
        <w:rPr>
          <w:noProof w:val="0"/>
          <w:sz w:val="24"/>
          <w:szCs w:val="24"/>
        </w:rPr>
        <w:t>;</w:t>
      </w:r>
    </w:p>
    <w:p w14:paraId="3B5F27C5" w14:textId="4CD0D467" w:rsidR="001A574C" w:rsidRPr="00B1643D" w:rsidRDefault="00E923C0" w:rsidP="000547D9">
      <w:pPr>
        <w:pStyle w:val="ListParagraph"/>
        <w:numPr>
          <w:ilvl w:val="0"/>
          <w:numId w:val="6"/>
        </w:numPr>
        <w:spacing w:before="100" w:beforeAutospacing="1"/>
        <w:jc w:val="both"/>
        <w:outlineLvl w:val="0"/>
      </w:pPr>
      <w:r w:rsidRPr="00B1643D">
        <w:t>Draft version of</w:t>
      </w:r>
      <w:r w:rsidR="00001FE9" w:rsidRPr="00B1643D">
        <w:t xml:space="preserve"> </w:t>
      </w:r>
      <w:r w:rsidR="00076518" w:rsidRPr="00B1643D">
        <w:t>evaluation report on</w:t>
      </w:r>
      <w:r w:rsidRPr="00B1643D">
        <w:t xml:space="preserve"> public call “Supporting Innovative Approaches to Tackle Youth Employment and Employability” for 2020-2021, no later than</w:t>
      </w:r>
      <w:r w:rsidRPr="00B1643D">
        <w:rPr>
          <w:shd w:val="clear" w:color="auto" w:fill="FFFFFF"/>
        </w:rPr>
        <w:t xml:space="preserve"> December </w:t>
      </w:r>
      <w:r w:rsidR="0061441D">
        <w:rPr>
          <w:shd w:val="clear" w:color="auto" w:fill="FFFFFF"/>
        </w:rPr>
        <w:t>21</w:t>
      </w:r>
      <w:r w:rsidRPr="00B1643D">
        <w:rPr>
          <w:shd w:val="clear" w:color="auto" w:fill="FFFFFF"/>
        </w:rPr>
        <w:t>, 2021.</w:t>
      </w:r>
      <w:r w:rsidR="001A574C" w:rsidRPr="00B1643D">
        <w:rPr>
          <w:shd w:val="clear" w:color="auto" w:fill="FFFFFF"/>
        </w:rPr>
        <w:t xml:space="preserve"> </w:t>
      </w:r>
    </w:p>
    <w:p w14:paraId="58695F92" w14:textId="4DF30290" w:rsidR="00E923C0" w:rsidRPr="00B1643D" w:rsidRDefault="00E923C0" w:rsidP="00E923C0">
      <w:pPr>
        <w:pStyle w:val="ListParagraph"/>
        <w:numPr>
          <w:ilvl w:val="0"/>
          <w:numId w:val="6"/>
        </w:numPr>
        <w:spacing w:before="100" w:beforeAutospacing="1"/>
        <w:jc w:val="both"/>
        <w:outlineLvl w:val="0"/>
      </w:pPr>
      <w:r w:rsidRPr="00B1643D">
        <w:t xml:space="preserve">Final version of </w:t>
      </w:r>
      <w:r w:rsidR="00076518" w:rsidRPr="00B1643D">
        <w:t>evaluation report on</w:t>
      </w:r>
      <w:r w:rsidRPr="00B1643D">
        <w:t xml:space="preserve"> public call “Supporting Innovative Approaches to Tackle Youth Employment and Employability” for 2020-2021, no later than</w:t>
      </w:r>
      <w:r w:rsidRPr="00B1643D">
        <w:rPr>
          <w:shd w:val="clear" w:color="auto" w:fill="FFFFFF"/>
        </w:rPr>
        <w:t xml:space="preserve"> December </w:t>
      </w:r>
      <w:r w:rsidR="00F309AE" w:rsidRPr="00B1643D">
        <w:rPr>
          <w:shd w:val="clear" w:color="auto" w:fill="FFFFFF"/>
        </w:rPr>
        <w:t>2</w:t>
      </w:r>
      <w:r w:rsidR="0061441D">
        <w:rPr>
          <w:shd w:val="clear" w:color="auto" w:fill="FFFFFF"/>
        </w:rPr>
        <w:t>9</w:t>
      </w:r>
      <w:bookmarkStart w:id="0" w:name="_GoBack"/>
      <w:bookmarkEnd w:id="0"/>
      <w:r w:rsidRPr="00B1643D">
        <w:rPr>
          <w:shd w:val="clear" w:color="auto" w:fill="FFFFFF"/>
        </w:rPr>
        <w:t xml:space="preserve">, 2021. </w:t>
      </w:r>
    </w:p>
    <w:p w14:paraId="73CDE818" w14:textId="77777777" w:rsidR="00304F4E" w:rsidRPr="00B1643D" w:rsidRDefault="00304F4E" w:rsidP="00304F4E">
      <w:pPr>
        <w:pStyle w:val="ListParagraph"/>
        <w:tabs>
          <w:tab w:val="left" w:pos="2880"/>
        </w:tabs>
        <w:ind w:left="1080"/>
        <w:jc w:val="both"/>
      </w:pPr>
    </w:p>
    <w:p w14:paraId="0D52C964" w14:textId="77777777" w:rsidR="00076518" w:rsidRPr="00B1643D" w:rsidRDefault="00076518" w:rsidP="00076518">
      <w:pPr>
        <w:pStyle w:val="ListParagraph"/>
      </w:pPr>
    </w:p>
    <w:p w14:paraId="3C04A85E" w14:textId="77777777" w:rsidR="00076518" w:rsidRPr="00B1643D" w:rsidRDefault="00076518" w:rsidP="00076518">
      <w:pPr>
        <w:pStyle w:val="Memoheading"/>
        <w:numPr>
          <w:ilvl w:val="0"/>
          <w:numId w:val="5"/>
        </w:numPr>
        <w:spacing w:after="120"/>
        <w:jc w:val="both"/>
        <w:outlineLvl w:val="0"/>
        <w:rPr>
          <w:b/>
          <w:noProof w:val="0"/>
          <w:sz w:val="24"/>
          <w:szCs w:val="24"/>
          <w:u w:val="single"/>
        </w:rPr>
      </w:pPr>
      <w:r w:rsidRPr="00B1643D">
        <w:rPr>
          <w:b/>
          <w:noProof w:val="0"/>
          <w:sz w:val="24"/>
          <w:szCs w:val="24"/>
          <w:u w:val="single"/>
        </w:rPr>
        <w:t>Duration of the Assignment and Payment schedule</w:t>
      </w:r>
    </w:p>
    <w:p w14:paraId="19BBE9FB" w14:textId="77777777" w:rsidR="00076518" w:rsidRPr="00B1643D" w:rsidRDefault="00076518" w:rsidP="00076518">
      <w:pPr>
        <w:pStyle w:val="Memoheading"/>
        <w:jc w:val="both"/>
        <w:outlineLvl w:val="0"/>
        <w:rPr>
          <w:noProof w:val="0"/>
          <w:sz w:val="24"/>
          <w:szCs w:val="24"/>
        </w:rPr>
      </w:pPr>
    </w:p>
    <w:p w14:paraId="590BEEC4" w14:textId="2FD04853" w:rsidR="00076518" w:rsidRPr="00B1643D" w:rsidRDefault="00076518" w:rsidP="00076518">
      <w:pPr>
        <w:pStyle w:val="Memoheading"/>
        <w:jc w:val="both"/>
        <w:outlineLvl w:val="0"/>
        <w:rPr>
          <w:noProof w:val="0"/>
          <w:sz w:val="24"/>
          <w:szCs w:val="24"/>
        </w:rPr>
      </w:pPr>
      <w:r w:rsidRPr="00B1643D">
        <w:rPr>
          <w:noProof w:val="0"/>
          <w:sz w:val="24"/>
          <w:szCs w:val="24"/>
        </w:rPr>
        <w:t>Assignment wil</w:t>
      </w:r>
      <w:r w:rsidR="00A336D7">
        <w:rPr>
          <w:noProof w:val="0"/>
          <w:sz w:val="24"/>
          <w:szCs w:val="24"/>
        </w:rPr>
        <w:t>l last in the period between</w:t>
      </w:r>
      <w:r w:rsidRPr="00B1643D">
        <w:rPr>
          <w:noProof w:val="0"/>
          <w:sz w:val="24"/>
          <w:szCs w:val="24"/>
        </w:rPr>
        <w:t xml:space="preserve"> November</w:t>
      </w:r>
      <w:r w:rsidR="00A336D7">
        <w:rPr>
          <w:noProof w:val="0"/>
          <w:sz w:val="24"/>
          <w:szCs w:val="24"/>
        </w:rPr>
        <w:t xml:space="preserve"> </w:t>
      </w:r>
      <w:r w:rsidR="0095425D">
        <w:rPr>
          <w:noProof w:val="0"/>
          <w:sz w:val="24"/>
          <w:szCs w:val="24"/>
        </w:rPr>
        <w:t>25</w:t>
      </w:r>
      <w:r w:rsidR="00A336D7">
        <w:rPr>
          <w:noProof w:val="0"/>
          <w:sz w:val="24"/>
          <w:szCs w:val="24"/>
        </w:rPr>
        <w:t>,</w:t>
      </w:r>
      <w:r w:rsidRPr="00B1643D">
        <w:rPr>
          <w:noProof w:val="0"/>
          <w:sz w:val="24"/>
          <w:szCs w:val="24"/>
        </w:rPr>
        <w:t xml:space="preserve"> 2021 – December 31, 2021. Payment will be based on time sheet method.  Here below the indicative usage of days and payment dynamic is presented:</w:t>
      </w:r>
    </w:p>
    <w:p w14:paraId="39D3B1F7" w14:textId="77777777" w:rsidR="00076518" w:rsidRPr="00B1643D" w:rsidRDefault="00076518" w:rsidP="00076518">
      <w:pPr>
        <w:pStyle w:val="Memoheading"/>
        <w:jc w:val="both"/>
        <w:outlineLvl w:val="0"/>
        <w:rPr>
          <w:noProof w:val="0"/>
          <w:sz w:val="24"/>
          <w:szCs w:val="24"/>
        </w:rPr>
      </w:pPr>
    </w:p>
    <w:tbl>
      <w:tblPr>
        <w:tblStyle w:val="TableGrid"/>
        <w:tblW w:w="0" w:type="auto"/>
        <w:tblLook w:val="04A0" w:firstRow="1" w:lastRow="0" w:firstColumn="1" w:lastColumn="0" w:noHBand="0" w:noVBand="1"/>
      </w:tblPr>
      <w:tblGrid>
        <w:gridCol w:w="4707"/>
        <w:gridCol w:w="4643"/>
      </w:tblGrid>
      <w:tr w:rsidR="00076518" w:rsidRPr="00B1643D" w14:paraId="22C176BA" w14:textId="77777777" w:rsidTr="00076518">
        <w:tc>
          <w:tcPr>
            <w:tcW w:w="4707" w:type="dxa"/>
            <w:tcBorders>
              <w:top w:val="single" w:sz="4" w:space="0" w:color="auto"/>
              <w:left w:val="single" w:sz="4" w:space="0" w:color="auto"/>
              <w:bottom w:val="single" w:sz="4" w:space="0" w:color="auto"/>
              <w:right w:val="single" w:sz="4" w:space="0" w:color="auto"/>
            </w:tcBorders>
            <w:hideMark/>
          </w:tcPr>
          <w:p w14:paraId="095F25A1" w14:textId="7ECC2C67" w:rsidR="00076518" w:rsidRPr="00B1643D" w:rsidRDefault="00076518" w:rsidP="00426933">
            <w:pPr>
              <w:pStyle w:val="Memoheading"/>
              <w:jc w:val="both"/>
              <w:outlineLvl w:val="0"/>
              <w:rPr>
                <w:noProof w:val="0"/>
                <w:sz w:val="24"/>
                <w:szCs w:val="24"/>
              </w:rPr>
            </w:pPr>
            <w:r w:rsidRPr="00B1643D">
              <w:rPr>
                <w:noProof w:val="0"/>
                <w:sz w:val="24"/>
                <w:szCs w:val="24"/>
              </w:rPr>
              <w:t>Work plan and methodology on delivering evaluation of public call</w:t>
            </w:r>
            <w:r w:rsidR="00694487">
              <w:rPr>
                <w:noProof w:val="0"/>
                <w:sz w:val="24"/>
                <w:szCs w:val="24"/>
              </w:rPr>
              <w:t>, outline of evaluation report based on ToR</w:t>
            </w:r>
          </w:p>
        </w:tc>
        <w:tc>
          <w:tcPr>
            <w:tcW w:w="4643" w:type="dxa"/>
            <w:tcBorders>
              <w:top w:val="single" w:sz="4" w:space="0" w:color="auto"/>
              <w:left w:val="single" w:sz="4" w:space="0" w:color="auto"/>
              <w:bottom w:val="single" w:sz="4" w:space="0" w:color="auto"/>
              <w:right w:val="single" w:sz="4" w:space="0" w:color="auto"/>
            </w:tcBorders>
            <w:hideMark/>
          </w:tcPr>
          <w:p w14:paraId="22333D40" w14:textId="739382AD" w:rsidR="00076518" w:rsidRPr="00B1643D" w:rsidRDefault="00694487" w:rsidP="00426933">
            <w:pPr>
              <w:pStyle w:val="Memoheading"/>
              <w:jc w:val="both"/>
              <w:outlineLvl w:val="0"/>
              <w:rPr>
                <w:noProof w:val="0"/>
                <w:sz w:val="24"/>
                <w:szCs w:val="24"/>
              </w:rPr>
            </w:pPr>
            <w:r>
              <w:rPr>
                <w:noProof w:val="0"/>
                <w:sz w:val="24"/>
                <w:szCs w:val="24"/>
              </w:rPr>
              <w:t>2</w:t>
            </w:r>
            <w:r w:rsidR="00076518" w:rsidRPr="00B1643D">
              <w:rPr>
                <w:noProof w:val="0"/>
                <w:sz w:val="24"/>
                <w:szCs w:val="24"/>
              </w:rPr>
              <w:t xml:space="preserve"> day</w:t>
            </w:r>
            <w:r>
              <w:rPr>
                <w:noProof w:val="0"/>
                <w:sz w:val="24"/>
                <w:szCs w:val="24"/>
              </w:rPr>
              <w:t>s</w:t>
            </w:r>
          </w:p>
        </w:tc>
      </w:tr>
      <w:tr w:rsidR="00076518" w:rsidRPr="00B1643D" w14:paraId="54EACBCA" w14:textId="77777777" w:rsidTr="00400B81">
        <w:tc>
          <w:tcPr>
            <w:tcW w:w="4707" w:type="dxa"/>
            <w:tcBorders>
              <w:top w:val="single" w:sz="4" w:space="0" w:color="auto"/>
              <w:left w:val="single" w:sz="4" w:space="0" w:color="auto"/>
              <w:bottom w:val="single" w:sz="4" w:space="0" w:color="auto"/>
              <w:right w:val="single" w:sz="4" w:space="0" w:color="auto"/>
            </w:tcBorders>
            <w:shd w:val="clear" w:color="auto" w:fill="auto"/>
          </w:tcPr>
          <w:p w14:paraId="2338262F" w14:textId="5B791F6D" w:rsidR="00076518" w:rsidRPr="00B1643D" w:rsidRDefault="00076518" w:rsidP="00426933">
            <w:pPr>
              <w:spacing w:before="100" w:beforeAutospacing="1"/>
              <w:jc w:val="both"/>
              <w:outlineLvl w:val="0"/>
              <w:rPr>
                <w:shd w:val="clear" w:color="auto" w:fill="FFFFFF"/>
              </w:rPr>
            </w:pPr>
            <w:r w:rsidRPr="00B1643D">
              <w:t>Organized consultation process with stakeholders and collected feedback relevant for drafting the evaluation report</w:t>
            </w:r>
          </w:p>
        </w:tc>
        <w:tc>
          <w:tcPr>
            <w:tcW w:w="4643" w:type="dxa"/>
            <w:tcBorders>
              <w:top w:val="single" w:sz="4" w:space="0" w:color="auto"/>
              <w:left w:val="single" w:sz="4" w:space="0" w:color="auto"/>
              <w:bottom w:val="single" w:sz="4" w:space="0" w:color="auto"/>
              <w:right w:val="single" w:sz="4" w:space="0" w:color="auto"/>
            </w:tcBorders>
          </w:tcPr>
          <w:p w14:paraId="3C1D8E59" w14:textId="17761429" w:rsidR="00076518" w:rsidRPr="00B1643D" w:rsidRDefault="002E48B3" w:rsidP="00426933">
            <w:pPr>
              <w:pStyle w:val="Memoheading"/>
              <w:jc w:val="both"/>
              <w:outlineLvl w:val="0"/>
              <w:rPr>
                <w:noProof w:val="0"/>
                <w:sz w:val="24"/>
                <w:szCs w:val="24"/>
              </w:rPr>
            </w:pPr>
            <w:r w:rsidRPr="00B1643D">
              <w:rPr>
                <w:noProof w:val="0"/>
                <w:sz w:val="24"/>
                <w:szCs w:val="24"/>
              </w:rPr>
              <w:t>3</w:t>
            </w:r>
            <w:r w:rsidR="00076518" w:rsidRPr="00B1643D">
              <w:rPr>
                <w:noProof w:val="0"/>
                <w:sz w:val="24"/>
                <w:szCs w:val="24"/>
              </w:rPr>
              <w:t xml:space="preserve"> days</w:t>
            </w:r>
          </w:p>
        </w:tc>
      </w:tr>
      <w:tr w:rsidR="00076518" w:rsidRPr="00B1643D" w14:paraId="4734F9AB" w14:textId="77777777" w:rsidTr="00076518">
        <w:tc>
          <w:tcPr>
            <w:tcW w:w="4707" w:type="dxa"/>
            <w:tcBorders>
              <w:top w:val="single" w:sz="4" w:space="0" w:color="auto"/>
              <w:left w:val="single" w:sz="4" w:space="0" w:color="auto"/>
              <w:bottom w:val="single" w:sz="4" w:space="0" w:color="auto"/>
              <w:right w:val="single" w:sz="4" w:space="0" w:color="auto"/>
            </w:tcBorders>
          </w:tcPr>
          <w:p w14:paraId="4E98EDF5" w14:textId="1E079DBF" w:rsidR="00076518" w:rsidRPr="00B1643D" w:rsidRDefault="00076518" w:rsidP="00426933">
            <w:pPr>
              <w:pStyle w:val="Memoheading"/>
              <w:jc w:val="both"/>
              <w:outlineLvl w:val="0"/>
              <w:rPr>
                <w:noProof w:val="0"/>
                <w:sz w:val="24"/>
                <w:szCs w:val="24"/>
              </w:rPr>
            </w:pPr>
            <w:r w:rsidRPr="00B1643D">
              <w:rPr>
                <w:noProof w:val="0"/>
                <w:sz w:val="24"/>
                <w:szCs w:val="24"/>
              </w:rPr>
              <w:t>Draft version of evaluation report on public call “Supporting Innovative Approaches to Tackle Youth Employment and Employability” for 2020-2021</w:t>
            </w:r>
          </w:p>
        </w:tc>
        <w:tc>
          <w:tcPr>
            <w:tcW w:w="4643" w:type="dxa"/>
            <w:tcBorders>
              <w:top w:val="single" w:sz="4" w:space="0" w:color="auto"/>
              <w:left w:val="single" w:sz="4" w:space="0" w:color="auto"/>
              <w:bottom w:val="single" w:sz="4" w:space="0" w:color="auto"/>
              <w:right w:val="single" w:sz="4" w:space="0" w:color="auto"/>
            </w:tcBorders>
            <w:hideMark/>
          </w:tcPr>
          <w:p w14:paraId="5BEDA738" w14:textId="40D3A1D0" w:rsidR="00076518" w:rsidRPr="00B1643D" w:rsidRDefault="002E48B3" w:rsidP="00426933">
            <w:pPr>
              <w:pStyle w:val="Memoheading"/>
              <w:jc w:val="both"/>
              <w:outlineLvl w:val="0"/>
              <w:rPr>
                <w:noProof w:val="0"/>
                <w:sz w:val="24"/>
                <w:szCs w:val="24"/>
              </w:rPr>
            </w:pPr>
            <w:r w:rsidRPr="00B1643D">
              <w:rPr>
                <w:noProof w:val="0"/>
                <w:sz w:val="24"/>
                <w:szCs w:val="24"/>
              </w:rPr>
              <w:t>7</w:t>
            </w:r>
            <w:r w:rsidR="00076518" w:rsidRPr="00B1643D">
              <w:rPr>
                <w:noProof w:val="0"/>
                <w:sz w:val="24"/>
                <w:szCs w:val="24"/>
              </w:rPr>
              <w:t xml:space="preserve"> days</w:t>
            </w:r>
          </w:p>
        </w:tc>
      </w:tr>
      <w:tr w:rsidR="00076518" w:rsidRPr="00B1643D" w14:paraId="4BB46E20" w14:textId="77777777" w:rsidTr="00076518">
        <w:tc>
          <w:tcPr>
            <w:tcW w:w="4707" w:type="dxa"/>
            <w:tcBorders>
              <w:top w:val="single" w:sz="4" w:space="0" w:color="auto"/>
              <w:left w:val="single" w:sz="4" w:space="0" w:color="auto"/>
              <w:bottom w:val="single" w:sz="4" w:space="0" w:color="auto"/>
              <w:right w:val="single" w:sz="4" w:space="0" w:color="auto"/>
            </w:tcBorders>
          </w:tcPr>
          <w:p w14:paraId="565AE54B" w14:textId="7C6EC484" w:rsidR="00076518" w:rsidRPr="00B1643D" w:rsidRDefault="00076518" w:rsidP="00076518">
            <w:pPr>
              <w:pStyle w:val="Memoheading"/>
              <w:jc w:val="both"/>
              <w:outlineLvl w:val="0"/>
              <w:rPr>
                <w:noProof w:val="0"/>
                <w:sz w:val="24"/>
                <w:szCs w:val="24"/>
              </w:rPr>
            </w:pPr>
            <w:r w:rsidRPr="00B1643D">
              <w:rPr>
                <w:noProof w:val="0"/>
                <w:sz w:val="24"/>
                <w:szCs w:val="24"/>
              </w:rPr>
              <w:t>Final version of evaluation report on public call “Supporting Innovative Approaches to Tackle Youth Employment and Employability” for 2020-2021</w:t>
            </w:r>
          </w:p>
        </w:tc>
        <w:tc>
          <w:tcPr>
            <w:tcW w:w="4643" w:type="dxa"/>
            <w:tcBorders>
              <w:top w:val="single" w:sz="4" w:space="0" w:color="auto"/>
              <w:left w:val="single" w:sz="4" w:space="0" w:color="auto"/>
              <w:bottom w:val="single" w:sz="4" w:space="0" w:color="auto"/>
              <w:right w:val="single" w:sz="4" w:space="0" w:color="auto"/>
            </w:tcBorders>
            <w:hideMark/>
          </w:tcPr>
          <w:p w14:paraId="781B55B8" w14:textId="77777777" w:rsidR="00076518" w:rsidRPr="00B1643D" w:rsidRDefault="00076518" w:rsidP="00426933">
            <w:pPr>
              <w:pStyle w:val="Memoheading"/>
              <w:jc w:val="both"/>
              <w:outlineLvl w:val="0"/>
              <w:rPr>
                <w:noProof w:val="0"/>
                <w:sz w:val="24"/>
                <w:szCs w:val="24"/>
              </w:rPr>
            </w:pPr>
            <w:r w:rsidRPr="00B1643D">
              <w:rPr>
                <w:noProof w:val="0"/>
                <w:sz w:val="24"/>
                <w:szCs w:val="24"/>
              </w:rPr>
              <w:t>3 days</w:t>
            </w:r>
          </w:p>
        </w:tc>
      </w:tr>
    </w:tbl>
    <w:p w14:paraId="49A09FAB" w14:textId="77777777" w:rsidR="00076518" w:rsidRPr="00B1643D" w:rsidRDefault="00076518" w:rsidP="00076518">
      <w:pPr>
        <w:pStyle w:val="Memoheading"/>
        <w:jc w:val="both"/>
        <w:outlineLvl w:val="0"/>
        <w:rPr>
          <w:noProof w:val="0"/>
          <w:sz w:val="24"/>
          <w:szCs w:val="24"/>
        </w:rPr>
      </w:pPr>
    </w:p>
    <w:p w14:paraId="5DE3E52B" w14:textId="250796EC" w:rsidR="00076518" w:rsidRPr="00166678" w:rsidRDefault="00076518" w:rsidP="00076518">
      <w:pPr>
        <w:pStyle w:val="Memoheading"/>
        <w:jc w:val="both"/>
        <w:outlineLvl w:val="0"/>
        <w:rPr>
          <w:noProof w:val="0"/>
          <w:sz w:val="24"/>
          <w:szCs w:val="24"/>
        </w:rPr>
      </w:pPr>
      <w:r w:rsidRPr="00B1643D">
        <w:rPr>
          <w:noProof w:val="0"/>
          <w:sz w:val="24"/>
          <w:szCs w:val="24"/>
        </w:rPr>
        <w:t>For delivery of envisaged assignment, consultant will be hired with up to 15 days in total. Indicative deadlines for delivery of the assignment are presented in Chapter no. 7 of the Terms of References.</w:t>
      </w:r>
      <w:r w:rsidRPr="00166678">
        <w:rPr>
          <w:noProof w:val="0"/>
          <w:sz w:val="24"/>
          <w:szCs w:val="24"/>
        </w:rPr>
        <w:t xml:space="preserve"> </w:t>
      </w:r>
    </w:p>
    <w:p w14:paraId="3ABA7E4A" w14:textId="77777777" w:rsidR="00446BB9" w:rsidRPr="00076518" w:rsidRDefault="00446BB9" w:rsidP="006A730F">
      <w:pPr>
        <w:spacing w:before="120" w:after="120"/>
        <w:jc w:val="both"/>
        <w:rPr>
          <w:u w:val="single"/>
        </w:rPr>
      </w:pPr>
    </w:p>
    <w:p w14:paraId="0DFB2928" w14:textId="77777777" w:rsidR="00313109" w:rsidRPr="003A0498" w:rsidRDefault="00313109"/>
    <w:sectPr w:rsidR="00313109" w:rsidRPr="003A0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07541" w14:textId="77777777" w:rsidR="004205D3" w:rsidRDefault="004205D3" w:rsidP="00F86C05">
      <w:r>
        <w:separator/>
      </w:r>
    </w:p>
  </w:endnote>
  <w:endnote w:type="continuationSeparator" w:id="0">
    <w:p w14:paraId="41C86C46" w14:textId="77777777" w:rsidR="004205D3" w:rsidRDefault="004205D3" w:rsidP="00F8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E1B7" w14:textId="77777777" w:rsidR="004205D3" w:rsidRDefault="004205D3" w:rsidP="00F86C05">
      <w:r>
        <w:separator/>
      </w:r>
    </w:p>
  </w:footnote>
  <w:footnote w:type="continuationSeparator" w:id="0">
    <w:p w14:paraId="609F3582" w14:textId="77777777" w:rsidR="004205D3" w:rsidRDefault="004205D3" w:rsidP="00F8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945E6E3C"/>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08C3AB7"/>
    <w:multiLevelType w:val="hybridMultilevel"/>
    <w:tmpl w:val="A77CE5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791D22"/>
    <w:multiLevelType w:val="hybridMultilevel"/>
    <w:tmpl w:val="4942DB6A"/>
    <w:lvl w:ilvl="0" w:tplc="EF3EAB0A">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0073A"/>
    <w:multiLevelType w:val="hybridMultilevel"/>
    <w:tmpl w:val="B5C620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3631D"/>
    <w:multiLevelType w:val="hybridMultilevel"/>
    <w:tmpl w:val="1A26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37DBA"/>
    <w:multiLevelType w:val="hybridMultilevel"/>
    <w:tmpl w:val="AF887330"/>
    <w:lvl w:ilvl="0" w:tplc="52782CC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F0C77"/>
    <w:multiLevelType w:val="hybridMultilevel"/>
    <w:tmpl w:val="E0803B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B44103"/>
    <w:multiLevelType w:val="hybridMultilevel"/>
    <w:tmpl w:val="A740A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D12A59"/>
    <w:multiLevelType w:val="hybridMultilevel"/>
    <w:tmpl w:val="39967702"/>
    <w:lvl w:ilvl="0" w:tplc="186C704A">
      <w:start w:val="1"/>
      <w:numFmt w:val="decimal"/>
      <w:lvlText w:val="%1."/>
      <w:lvlJc w:val="left"/>
      <w:pPr>
        <w:ind w:left="720" w:hanging="360"/>
      </w:pPr>
      <w:rPr>
        <w:rFonts w:hint="default"/>
        <w:b/>
        <w:bCs/>
      </w:rPr>
    </w:lvl>
    <w:lvl w:ilvl="1" w:tplc="BA7475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835D9"/>
    <w:multiLevelType w:val="hybridMultilevel"/>
    <w:tmpl w:val="EA6C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C1AD7"/>
    <w:multiLevelType w:val="hybridMultilevel"/>
    <w:tmpl w:val="9C3645F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63495"/>
    <w:multiLevelType w:val="hybridMultilevel"/>
    <w:tmpl w:val="E1760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E4406"/>
    <w:multiLevelType w:val="hybridMultilevel"/>
    <w:tmpl w:val="81841820"/>
    <w:lvl w:ilvl="0" w:tplc="EE5A7B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5F7FAF"/>
    <w:multiLevelType w:val="hybridMultilevel"/>
    <w:tmpl w:val="558EC3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90EC0"/>
    <w:multiLevelType w:val="hybridMultilevel"/>
    <w:tmpl w:val="8DD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F060D8"/>
    <w:multiLevelType w:val="hybridMultilevel"/>
    <w:tmpl w:val="0BE00CF2"/>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9"/>
  </w:num>
  <w:num w:numId="6">
    <w:abstractNumId w:val="18"/>
  </w:num>
  <w:num w:numId="7">
    <w:abstractNumId w:val="8"/>
  </w:num>
  <w:num w:numId="8">
    <w:abstractNumId w:val="7"/>
  </w:num>
  <w:num w:numId="9">
    <w:abstractNumId w:val="1"/>
  </w:num>
  <w:num w:numId="10">
    <w:abstractNumId w:val="19"/>
  </w:num>
  <w:num w:numId="11">
    <w:abstractNumId w:val="0"/>
  </w:num>
  <w:num w:numId="12">
    <w:abstractNumId w:val="10"/>
  </w:num>
  <w:num w:numId="13">
    <w:abstractNumId w:val="2"/>
  </w:num>
  <w:num w:numId="14">
    <w:abstractNumId w:val="15"/>
  </w:num>
  <w:num w:numId="15">
    <w:abstractNumId w:val="3"/>
  </w:num>
  <w:num w:numId="16">
    <w:abstractNumId w:val="13"/>
  </w:num>
  <w:num w:numId="17">
    <w:abstractNumId w:val="14"/>
  </w:num>
  <w:num w:numId="18">
    <w:abstractNumId w:val="16"/>
  </w:num>
  <w:num w:numId="19">
    <w:abstractNumId w:val="1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0F"/>
    <w:rsid w:val="00001901"/>
    <w:rsid w:val="00001FE9"/>
    <w:rsid w:val="000169FD"/>
    <w:rsid w:val="00044F60"/>
    <w:rsid w:val="00045EED"/>
    <w:rsid w:val="00053F4E"/>
    <w:rsid w:val="000547D9"/>
    <w:rsid w:val="000629F0"/>
    <w:rsid w:val="00076518"/>
    <w:rsid w:val="0009559D"/>
    <w:rsid w:val="00096D86"/>
    <w:rsid w:val="000B0B6B"/>
    <w:rsid w:val="000F0644"/>
    <w:rsid w:val="00115DD3"/>
    <w:rsid w:val="00117618"/>
    <w:rsid w:val="0011777E"/>
    <w:rsid w:val="00120630"/>
    <w:rsid w:val="0013116B"/>
    <w:rsid w:val="00154411"/>
    <w:rsid w:val="0015693E"/>
    <w:rsid w:val="0016395A"/>
    <w:rsid w:val="00166028"/>
    <w:rsid w:val="001724E7"/>
    <w:rsid w:val="00180AE3"/>
    <w:rsid w:val="001876B0"/>
    <w:rsid w:val="001944EB"/>
    <w:rsid w:val="0019522E"/>
    <w:rsid w:val="001A4FEC"/>
    <w:rsid w:val="001A574C"/>
    <w:rsid w:val="001A6349"/>
    <w:rsid w:val="001D1BAE"/>
    <w:rsid w:val="001E348B"/>
    <w:rsid w:val="001E366D"/>
    <w:rsid w:val="001E654F"/>
    <w:rsid w:val="001E6F25"/>
    <w:rsid w:val="00207496"/>
    <w:rsid w:val="0021177F"/>
    <w:rsid w:val="00222C76"/>
    <w:rsid w:val="002231AD"/>
    <w:rsid w:val="002361AB"/>
    <w:rsid w:val="00242F11"/>
    <w:rsid w:val="00255B99"/>
    <w:rsid w:val="002663E2"/>
    <w:rsid w:val="002A6D2F"/>
    <w:rsid w:val="002B0C47"/>
    <w:rsid w:val="002E1422"/>
    <w:rsid w:val="002E2D69"/>
    <w:rsid w:val="002E4678"/>
    <w:rsid w:val="002E48B3"/>
    <w:rsid w:val="002F7884"/>
    <w:rsid w:val="00304F4E"/>
    <w:rsid w:val="00306967"/>
    <w:rsid w:val="00311BBF"/>
    <w:rsid w:val="00313109"/>
    <w:rsid w:val="00317108"/>
    <w:rsid w:val="00336AAC"/>
    <w:rsid w:val="00351771"/>
    <w:rsid w:val="003647EC"/>
    <w:rsid w:val="003A0498"/>
    <w:rsid w:val="003D3A74"/>
    <w:rsid w:val="003E43D7"/>
    <w:rsid w:val="003F0C7F"/>
    <w:rsid w:val="003F5579"/>
    <w:rsid w:val="003F7669"/>
    <w:rsid w:val="00400B81"/>
    <w:rsid w:val="004013FD"/>
    <w:rsid w:val="004205D3"/>
    <w:rsid w:val="00446BB9"/>
    <w:rsid w:val="0045225E"/>
    <w:rsid w:val="004546C5"/>
    <w:rsid w:val="004569EE"/>
    <w:rsid w:val="004613D4"/>
    <w:rsid w:val="00492327"/>
    <w:rsid w:val="00493223"/>
    <w:rsid w:val="004A45EA"/>
    <w:rsid w:val="004B2615"/>
    <w:rsid w:val="004B2F18"/>
    <w:rsid w:val="004B3287"/>
    <w:rsid w:val="004B3899"/>
    <w:rsid w:val="004B4EEE"/>
    <w:rsid w:val="004C196B"/>
    <w:rsid w:val="004E33BA"/>
    <w:rsid w:val="004E5F8E"/>
    <w:rsid w:val="00507431"/>
    <w:rsid w:val="00511DBD"/>
    <w:rsid w:val="005243B9"/>
    <w:rsid w:val="00535767"/>
    <w:rsid w:val="00537EC3"/>
    <w:rsid w:val="00546CFE"/>
    <w:rsid w:val="00555454"/>
    <w:rsid w:val="00562917"/>
    <w:rsid w:val="00563FC9"/>
    <w:rsid w:val="0057638C"/>
    <w:rsid w:val="00577D1E"/>
    <w:rsid w:val="00592CAF"/>
    <w:rsid w:val="005967DC"/>
    <w:rsid w:val="005B78F0"/>
    <w:rsid w:val="005C5CA9"/>
    <w:rsid w:val="005D37B6"/>
    <w:rsid w:val="005D4178"/>
    <w:rsid w:val="005E411F"/>
    <w:rsid w:val="005E61C1"/>
    <w:rsid w:val="005F0A90"/>
    <w:rsid w:val="005F7E01"/>
    <w:rsid w:val="006068DC"/>
    <w:rsid w:val="006102C5"/>
    <w:rsid w:val="0061441D"/>
    <w:rsid w:val="00616BE5"/>
    <w:rsid w:val="00643C00"/>
    <w:rsid w:val="006552E4"/>
    <w:rsid w:val="00685B60"/>
    <w:rsid w:val="00694487"/>
    <w:rsid w:val="006954F1"/>
    <w:rsid w:val="006A730F"/>
    <w:rsid w:val="006B4AF6"/>
    <w:rsid w:val="006C1E68"/>
    <w:rsid w:val="006C202F"/>
    <w:rsid w:val="006F299B"/>
    <w:rsid w:val="0071114F"/>
    <w:rsid w:val="0072369E"/>
    <w:rsid w:val="007249BC"/>
    <w:rsid w:val="00730E9F"/>
    <w:rsid w:val="0074293E"/>
    <w:rsid w:val="00767E35"/>
    <w:rsid w:val="00771956"/>
    <w:rsid w:val="00771A3F"/>
    <w:rsid w:val="00786176"/>
    <w:rsid w:val="00792E42"/>
    <w:rsid w:val="007B545E"/>
    <w:rsid w:val="008027CE"/>
    <w:rsid w:val="00823B77"/>
    <w:rsid w:val="00831F02"/>
    <w:rsid w:val="008374B3"/>
    <w:rsid w:val="00855773"/>
    <w:rsid w:val="0086223B"/>
    <w:rsid w:val="008666FA"/>
    <w:rsid w:val="008668D5"/>
    <w:rsid w:val="00887800"/>
    <w:rsid w:val="00890EE0"/>
    <w:rsid w:val="008A3637"/>
    <w:rsid w:val="008A65DE"/>
    <w:rsid w:val="008C7703"/>
    <w:rsid w:val="008F0470"/>
    <w:rsid w:val="00901E0C"/>
    <w:rsid w:val="00905368"/>
    <w:rsid w:val="00921EA3"/>
    <w:rsid w:val="00925537"/>
    <w:rsid w:val="00952098"/>
    <w:rsid w:val="0095425D"/>
    <w:rsid w:val="00964E06"/>
    <w:rsid w:val="00973561"/>
    <w:rsid w:val="00982A6A"/>
    <w:rsid w:val="009879E8"/>
    <w:rsid w:val="0099702B"/>
    <w:rsid w:val="009A000B"/>
    <w:rsid w:val="009A38A7"/>
    <w:rsid w:val="009E762E"/>
    <w:rsid w:val="009F3E57"/>
    <w:rsid w:val="00A00CA6"/>
    <w:rsid w:val="00A1493A"/>
    <w:rsid w:val="00A31A79"/>
    <w:rsid w:val="00A32002"/>
    <w:rsid w:val="00A336D7"/>
    <w:rsid w:val="00A36A25"/>
    <w:rsid w:val="00A75559"/>
    <w:rsid w:val="00A85F03"/>
    <w:rsid w:val="00AC5F00"/>
    <w:rsid w:val="00AE391D"/>
    <w:rsid w:val="00B11722"/>
    <w:rsid w:val="00B1643D"/>
    <w:rsid w:val="00B303DB"/>
    <w:rsid w:val="00B35474"/>
    <w:rsid w:val="00B357B2"/>
    <w:rsid w:val="00B37AD3"/>
    <w:rsid w:val="00B50C29"/>
    <w:rsid w:val="00B80077"/>
    <w:rsid w:val="00B82F1B"/>
    <w:rsid w:val="00B9086E"/>
    <w:rsid w:val="00BA6BB2"/>
    <w:rsid w:val="00BB1F1E"/>
    <w:rsid w:val="00BB5903"/>
    <w:rsid w:val="00BD06B9"/>
    <w:rsid w:val="00BD7CDA"/>
    <w:rsid w:val="00BF744C"/>
    <w:rsid w:val="00C22FF4"/>
    <w:rsid w:val="00C51552"/>
    <w:rsid w:val="00C518E3"/>
    <w:rsid w:val="00C538CF"/>
    <w:rsid w:val="00C5714C"/>
    <w:rsid w:val="00C638CF"/>
    <w:rsid w:val="00C716C9"/>
    <w:rsid w:val="00C7443D"/>
    <w:rsid w:val="00C81125"/>
    <w:rsid w:val="00C934E0"/>
    <w:rsid w:val="00CB69FB"/>
    <w:rsid w:val="00CC4F50"/>
    <w:rsid w:val="00CC5729"/>
    <w:rsid w:val="00D117FC"/>
    <w:rsid w:val="00D13C66"/>
    <w:rsid w:val="00D14972"/>
    <w:rsid w:val="00D32998"/>
    <w:rsid w:val="00D35B22"/>
    <w:rsid w:val="00D36D9F"/>
    <w:rsid w:val="00D443E0"/>
    <w:rsid w:val="00D5519B"/>
    <w:rsid w:val="00D6653D"/>
    <w:rsid w:val="00D67DD7"/>
    <w:rsid w:val="00D72F94"/>
    <w:rsid w:val="00D91F58"/>
    <w:rsid w:val="00DA1A00"/>
    <w:rsid w:val="00DB176E"/>
    <w:rsid w:val="00DB284E"/>
    <w:rsid w:val="00DB7460"/>
    <w:rsid w:val="00DD027D"/>
    <w:rsid w:val="00DE4F2F"/>
    <w:rsid w:val="00DE595B"/>
    <w:rsid w:val="00DF1A79"/>
    <w:rsid w:val="00E34867"/>
    <w:rsid w:val="00E34C5E"/>
    <w:rsid w:val="00E85112"/>
    <w:rsid w:val="00E85209"/>
    <w:rsid w:val="00E923C0"/>
    <w:rsid w:val="00EB0B45"/>
    <w:rsid w:val="00EC5B55"/>
    <w:rsid w:val="00ED3DF5"/>
    <w:rsid w:val="00EE5BBA"/>
    <w:rsid w:val="00EF0903"/>
    <w:rsid w:val="00F12A4B"/>
    <w:rsid w:val="00F1759C"/>
    <w:rsid w:val="00F309AE"/>
    <w:rsid w:val="00F34297"/>
    <w:rsid w:val="00F600E2"/>
    <w:rsid w:val="00F8190E"/>
    <w:rsid w:val="00F82D3B"/>
    <w:rsid w:val="00F84A5A"/>
    <w:rsid w:val="00F85E2B"/>
    <w:rsid w:val="00F86021"/>
    <w:rsid w:val="00F86C05"/>
    <w:rsid w:val="00F909C7"/>
    <w:rsid w:val="00F91D8F"/>
    <w:rsid w:val="00F97D9F"/>
    <w:rsid w:val="00FB6032"/>
    <w:rsid w:val="00FD27CE"/>
    <w:rsid w:val="00FE099C"/>
    <w:rsid w:val="00FE37E2"/>
    <w:rsid w:val="00FF0EBF"/>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8875"/>
  <w15:chartTrackingRefBased/>
  <w15:docId w15:val="{C3C36F2E-4FB8-4D99-8DB6-13D12D88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BB9"/>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qFormat/>
    <w:rsid w:val="006A730F"/>
    <w:rPr>
      <w:rFonts w:ascii="Courier New" w:hAnsi="Courier New" w:cs="Courier New"/>
      <w:sz w:val="20"/>
      <w:szCs w:val="20"/>
    </w:rPr>
  </w:style>
  <w:style w:type="character" w:customStyle="1" w:styleId="PlainTextChar">
    <w:name w:val="Plain Text Char"/>
    <w:basedOn w:val="DefaultParagraphFont"/>
    <w:link w:val="PlainText"/>
    <w:uiPriority w:val="99"/>
    <w:qFormat/>
    <w:rsid w:val="006A730F"/>
    <w:rPr>
      <w:rFonts w:ascii="Courier New" w:eastAsia="Times New Roman" w:hAnsi="Courier New" w:cs="Courier New"/>
      <w:sz w:val="20"/>
      <w:szCs w:val="20"/>
    </w:rPr>
  </w:style>
  <w:style w:type="paragraph" w:customStyle="1" w:styleId="BodyText1">
    <w:name w:val="Body Text1"/>
    <w:aliases w:val="OPM,Body text"/>
    <w:basedOn w:val="Normal"/>
    <w:qFormat/>
    <w:rsid w:val="006A730F"/>
    <w:pPr>
      <w:spacing w:after="240"/>
      <w:jc w:val="both"/>
    </w:pPr>
    <w:rPr>
      <w:rFonts w:ascii="Arial" w:hAnsi="Arial"/>
      <w:sz w:val="22"/>
      <w:szCs w:val="20"/>
      <w:lang w:val="en-GB"/>
    </w:rPr>
  </w:style>
  <w:style w:type="paragraph" w:customStyle="1" w:styleId="Memoheading">
    <w:name w:val="Memo heading"/>
    <w:qFormat/>
    <w:rsid w:val="006A730F"/>
    <w:pPr>
      <w:spacing w:after="0" w:line="240" w:lineRule="auto"/>
    </w:pPr>
    <w:rPr>
      <w:rFonts w:ascii="Times New Roman" w:eastAsia="Times New Roman" w:hAnsi="Times New Roman" w:cs="Times New Roman"/>
      <w:noProof/>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6A730F"/>
    <w:pPr>
      <w:ind w:left="720"/>
      <w:contextualSpacing/>
    </w:p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6A7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561"/>
    <w:rPr>
      <w:sz w:val="18"/>
      <w:szCs w:val="18"/>
    </w:rPr>
  </w:style>
  <w:style w:type="character" w:customStyle="1" w:styleId="BalloonTextChar">
    <w:name w:val="Balloon Text Char"/>
    <w:basedOn w:val="DefaultParagraphFont"/>
    <w:link w:val="BalloonText"/>
    <w:uiPriority w:val="99"/>
    <w:semiHidden/>
    <w:rsid w:val="00973561"/>
    <w:rPr>
      <w:rFonts w:ascii="Times New Roman" w:eastAsia="Times New Roman" w:hAnsi="Times New Roman" w:cs="Times New Roman"/>
      <w:sz w:val="18"/>
      <w:szCs w:val="18"/>
    </w:rPr>
  </w:style>
  <w:style w:type="character" w:customStyle="1" w:styleId="Heading1Char">
    <w:name w:val="Heading 1 Char"/>
    <w:basedOn w:val="DefaultParagraphFont"/>
    <w:link w:val="Heading1"/>
    <w:rsid w:val="00446BB9"/>
    <w:rPr>
      <w:rFonts w:ascii="Times New Roman" w:eastAsia="Times New Roman" w:hAnsi="Times New Roman" w:cs="Times New Roman"/>
      <w:b/>
      <w:bCs/>
      <w:sz w:val="24"/>
      <w:szCs w:val="24"/>
    </w:rPr>
  </w:style>
  <w:style w:type="table" w:styleId="TableGrid">
    <w:name w:val="Table Grid"/>
    <w:basedOn w:val="TableNormal"/>
    <w:uiPriority w:val="39"/>
    <w:rsid w:val="00446B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BB9"/>
    <w:rPr>
      <w:sz w:val="16"/>
      <w:szCs w:val="16"/>
    </w:rPr>
  </w:style>
  <w:style w:type="paragraph" w:styleId="CommentText">
    <w:name w:val="annotation text"/>
    <w:basedOn w:val="Normal"/>
    <w:link w:val="CommentTextChar"/>
    <w:uiPriority w:val="99"/>
    <w:semiHidden/>
    <w:unhideWhenUsed/>
    <w:rsid w:val="00446BB9"/>
    <w:rPr>
      <w:sz w:val="20"/>
      <w:szCs w:val="20"/>
    </w:rPr>
  </w:style>
  <w:style w:type="character" w:customStyle="1" w:styleId="CommentTextChar">
    <w:name w:val="Comment Text Char"/>
    <w:basedOn w:val="DefaultParagraphFont"/>
    <w:link w:val="CommentText"/>
    <w:uiPriority w:val="99"/>
    <w:semiHidden/>
    <w:rsid w:val="00446B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BB9"/>
    <w:rPr>
      <w:b/>
      <w:bCs/>
    </w:rPr>
  </w:style>
  <w:style w:type="character" w:customStyle="1" w:styleId="CommentSubjectChar">
    <w:name w:val="Comment Subject Char"/>
    <w:basedOn w:val="CommentTextChar"/>
    <w:link w:val="CommentSubject"/>
    <w:uiPriority w:val="99"/>
    <w:semiHidden/>
    <w:rsid w:val="00446BB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86C05"/>
    <w:pPr>
      <w:tabs>
        <w:tab w:val="center" w:pos="4680"/>
        <w:tab w:val="right" w:pos="9360"/>
      </w:tabs>
    </w:pPr>
  </w:style>
  <w:style w:type="character" w:customStyle="1" w:styleId="HeaderChar">
    <w:name w:val="Header Char"/>
    <w:basedOn w:val="DefaultParagraphFont"/>
    <w:link w:val="Header"/>
    <w:uiPriority w:val="99"/>
    <w:rsid w:val="00F86C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C05"/>
    <w:pPr>
      <w:tabs>
        <w:tab w:val="center" w:pos="4680"/>
        <w:tab w:val="right" w:pos="9360"/>
      </w:tabs>
    </w:pPr>
  </w:style>
  <w:style w:type="character" w:customStyle="1" w:styleId="FooterChar">
    <w:name w:val="Footer Char"/>
    <w:basedOn w:val="DefaultParagraphFont"/>
    <w:link w:val="Footer"/>
    <w:uiPriority w:val="99"/>
    <w:rsid w:val="00F86C05"/>
    <w:rPr>
      <w:rFonts w:ascii="Times New Roman" w:eastAsia="Times New Roman" w:hAnsi="Times New Roman" w:cs="Times New Roman"/>
      <w:sz w:val="24"/>
      <w:szCs w:val="24"/>
    </w:rPr>
  </w:style>
  <w:style w:type="paragraph" w:styleId="Revision">
    <w:name w:val="Revision"/>
    <w:hidden/>
    <w:uiPriority w:val="99"/>
    <w:semiHidden/>
    <w:rsid w:val="006944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BAF3-3391-4753-A4CC-9A445278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Stoiljkovic</dc:creator>
  <cp:keywords/>
  <dc:description/>
  <cp:lastModifiedBy>Boban Gledović</cp:lastModifiedBy>
  <cp:revision>4</cp:revision>
  <dcterms:created xsi:type="dcterms:W3CDTF">2021-11-10T09:31:00Z</dcterms:created>
  <dcterms:modified xsi:type="dcterms:W3CDTF">2021-11-17T11:48:00Z</dcterms:modified>
</cp:coreProperties>
</file>