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31" w:rsidRPr="005B5F57" w:rsidRDefault="000B1432" w:rsidP="00324431">
      <w:pPr>
        <w:jc w:val="center"/>
        <w:rPr>
          <w:rFonts w:cs="Times New Roman"/>
          <w:i/>
          <w:szCs w:val="24"/>
          <w:lang w:val="en-GB"/>
        </w:rPr>
      </w:pPr>
      <w:bookmarkStart w:id="0" w:name="_GoBack"/>
      <w:bookmarkEnd w:id="0"/>
      <w:r w:rsidRPr="005B5F57">
        <w:rPr>
          <w:rFonts w:cs="Times New Roman"/>
          <w:noProof/>
          <w:szCs w:val="24"/>
        </w:rPr>
        <w:drawing>
          <wp:inline distT="0" distB="0" distL="0" distR="0" wp14:anchorId="2F77C3D7" wp14:editId="20A0D40B">
            <wp:extent cx="3314700" cy="485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inline>
        </w:drawing>
      </w:r>
    </w:p>
    <w:p w:rsidR="00324431" w:rsidRPr="005B5F57" w:rsidRDefault="00324431" w:rsidP="00324431">
      <w:pPr>
        <w:jc w:val="center"/>
        <w:rPr>
          <w:rFonts w:cs="Times New Roman"/>
          <w:i/>
          <w:szCs w:val="24"/>
          <w:lang w:val="en-GB"/>
        </w:rPr>
      </w:pPr>
    </w:p>
    <w:p w:rsidR="00324431" w:rsidRPr="005B5F57" w:rsidRDefault="00324431" w:rsidP="00324431">
      <w:pPr>
        <w:jc w:val="center"/>
        <w:rPr>
          <w:rFonts w:cs="Times New Roman"/>
          <w:i/>
          <w:szCs w:val="24"/>
          <w:lang w:val="en-GB"/>
        </w:rPr>
      </w:pPr>
    </w:p>
    <w:p w:rsidR="00324431" w:rsidRPr="005B5F57" w:rsidRDefault="00324431" w:rsidP="00324431">
      <w:pPr>
        <w:jc w:val="center"/>
        <w:rPr>
          <w:rFonts w:cs="Times New Roman"/>
          <w:i/>
          <w:szCs w:val="24"/>
          <w:lang w:val="en-GB"/>
        </w:rPr>
      </w:pPr>
    </w:p>
    <w:p w:rsidR="00324431" w:rsidRPr="005B5F57" w:rsidRDefault="00324431" w:rsidP="00324431">
      <w:pPr>
        <w:jc w:val="center"/>
        <w:rPr>
          <w:rFonts w:cs="Times New Roman"/>
          <w:i/>
          <w:szCs w:val="24"/>
          <w:lang w:val="en-GB"/>
        </w:rPr>
      </w:pPr>
    </w:p>
    <w:p w:rsidR="009A5953" w:rsidRPr="00182D71" w:rsidRDefault="009A5953" w:rsidP="00182D71">
      <w:pPr>
        <w:pStyle w:val="Title"/>
      </w:pPr>
      <w:r w:rsidRPr="00182D71">
        <w:t xml:space="preserve">Study on </w:t>
      </w:r>
      <w:r w:rsidRPr="00182D71">
        <w:rPr>
          <w:rStyle w:val="IntenseEmphasis"/>
          <w:b w:val="0"/>
          <w:bCs w:val="0"/>
          <w:i w:val="0"/>
          <w:iCs w:val="0"/>
          <w:color w:val="000000" w:themeColor="text1"/>
        </w:rPr>
        <w:t>Options</w:t>
      </w:r>
      <w:r w:rsidRPr="00182D71">
        <w:t xml:space="preserve"> for the Establishment of the Social Inclusion Fund in the Republic of Serbia</w:t>
      </w:r>
    </w:p>
    <w:p w:rsidR="009A5953" w:rsidRPr="00597853" w:rsidRDefault="009A5953" w:rsidP="009A5953">
      <w:pPr>
        <w:jc w:val="center"/>
        <w:rPr>
          <w:b/>
          <w:i/>
          <w:sz w:val="32"/>
          <w:szCs w:val="32"/>
          <w:lang w:val="en-GB"/>
        </w:rPr>
      </w:pPr>
    </w:p>
    <w:p w:rsidR="009A5953" w:rsidRPr="00B26241" w:rsidRDefault="009A5953" w:rsidP="009A5953">
      <w:pPr>
        <w:jc w:val="center"/>
        <w:rPr>
          <w:i/>
          <w:szCs w:val="24"/>
          <w:lang w:val="en-GB"/>
        </w:rPr>
      </w:pPr>
    </w:p>
    <w:p w:rsidR="009A5953" w:rsidRPr="00B26241" w:rsidRDefault="009A5953" w:rsidP="009A5953">
      <w:pPr>
        <w:jc w:val="center"/>
        <w:rPr>
          <w:i/>
          <w:szCs w:val="24"/>
          <w:lang w:val="en-GB"/>
        </w:rPr>
      </w:pPr>
    </w:p>
    <w:p w:rsidR="009A5953" w:rsidRDefault="009A5953" w:rsidP="009A5953">
      <w:pPr>
        <w:jc w:val="center"/>
        <w:rPr>
          <w:i/>
          <w:szCs w:val="24"/>
          <w:lang w:val="en-GB"/>
        </w:rPr>
      </w:pPr>
    </w:p>
    <w:p w:rsidR="00825384" w:rsidRDefault="00825384" w:rsidP="009A5953">
      <w:pPr>
        <w:jc w:val="center"/>
        <w:rPr>
          <w:i/>
          <w:szCs w:val="24"/>
          <w:lang w:val="en-GB"/>
        </w:rPr>
      </w:pPr>
    </w:p>
    <w:p w:rsidR="00D43FE7" w:rsidRDefault="00D43FE7" w:rsidP="009A5953">
      <w:pPr>
        <w:jc w:val="center"/>
        <w:rPr>
          <w:i/>
          <w:szCs w:val="24"/>
          <w:lang w:val="en-GB"/>
        </w:rPr>
      </w:pPr>
    </w:p>
    <w:p w:rsidR="00D43FE7" w:rsidRDefault="00D43FE7" w:rsidP="009A5953">
      <w:pPr>
        <w:jc w:val="center"/>
        <w:rPr>
          <w:i/>
          <w:szCs w:val="24"/>
          <w:lang w:val="en-GB"/>
        </w:rPr>
      </w:pPr>
    </w:p>
    <w:p w:rsidR="00D43FE7" w:rsidRDefault="00D43FE7" w:rsidP="009A5953">
      <w:pPr>
        <w:jc w:val="center"/>
        <w:rPr>
          <w:i/>
          <w:szCs w:val="24"/>
          <w:lang w:val="en-GB"/>
        </w:rPr>
      </w:pPr>
    </w:p>
    <w:p w:rsidR="00D43FE7" w:rsidRDefault="00D43FE7" w:rsidP="009A5953">
      <w:pPr>
        <w:jc w:val="center"/>
        <w:rPr>
          <w:i/>
          <w:szCs w:val="24"/>
          <w:lang w:val="en-GB"/>
        </w:rPr>
      </w:pPr>
    </w:p>
    <w:p w:rsidR="00D43FE7" w:rsidRDefault="00D43FE7" w:rsidP="009A5953">
      <w:pPr>
        <w:jc w:val="center"/>
        <w:rPr>
          <w:i/>
          <w:szCs w:val="24"/>
          <w:lang w:val="en-GB"/>
        </w:rPr>
      </w:pPr>
    </w:p>
    <w:p w:rsidR="00825384" w:rsidRPr="00B26241" w:rsidRDefault="00825384" w:rsidP="009A5953">
      <w:pPr>
        <w:jc w:val="center"/>
        <w:rPr>
          <w:i/>
          <w:szCs w:val="24"/>
          <w:lang w:val="en-GB"/>
        </w:rPr>
      </w:pPr>
    </w:p>
    <w:p w:rsidR="00273831" w:rsidRPr="00273831" w:rsidRDefault="00273831" w:rsidP="00273831">
      <w:pPr>
        <w:jc w:val="center"/>
        <w:rPr>
          <w:i/>
          <w:szCs w:val="24"/>
        </w:rPr>
      </w:pPr>
    </w:p>
    <w:p w:rsidR="009A5953" w:rsidRDefault="00920D5A" w:rsidP="00273831">
      <w:pPr>
        <w:jc w:val="center"/>
        <w:rPr>
          <w:i/>
          <w:szCs w:val="24"/>
          <w:lang w:val="en-GB"/>
        </w:rPr>
      </w:pPr>
      <w:r>
        <w:rPr>
          <w:i/>
          <w:szCs w:val="24"/>
        </w:rPr>
        <w:t>April</w:t>
      </w:r>
      <w:r w:rsidR="00273831" w:rsidRPr="00B26241">
        <w:rPr>
          <w:i/>
          <w:szCs w:val="24"/>
          <w:lang w:val="en-GB"/>
        </w:rPr>
        <w:t xml:space="preserve"> 201</w:t>
      </w:r>
      <w:r w:rsidR="00273831">
        <w:rPr>
          <w:i/>
          <w:szCs w:val="24"/>
          <w:lang w:val="en-GB"/>
        </w:rPr>
        <w:t>3</w:t>
      </w:r>
    </w:p>
    <w:p w:rsidR="00825384" w:rsidRPr="00B26241" w:rsidRDefault="00825384" w:rsidP="009A5953">
      <w:pPr>
        <w:jc w:val="center"/>
        <w:rPr>
          <w:i/>
          <w:szCs w:val="24"/>
          <w:lang w:val="en-GB"/>
        </w:rPr>
      </w:pPr>
    </w:p>
    <w:p w:rsidR="009A5953" w:rsidRPr="00B26241" w:rsidRDefault="009A5953" w:rsidP="009A5953">
      <w:pPr>
        <w:rPr>
          <w:i/>
          <w:szCs w:val="24"/>
          <w:lang w:val="en-GB"/>
        </w:rPr>
      </w:pPr>
    </w:p>
    <w:p w:rsidR="009A5953" w:rsidRPr="00B26241" w:rsidRDefault="009A5953" w:rsidP="009A5953">
      <w:pPr>
        <w:rPr>
          <w:lang w:val="en-GB"/>
        </w:rPr>
      </w:pPr>
      <w:r w:rsidRPr="00B26241">
        <w:rPr>
          <w:lang w:val="en-GB"/>
        </w:rPr>
        <w:t xml:space="preserve">This </w:t>
      </w:r>
      <w:r>
        <w:rPr>
          <w:lang w:val="en-GB"/>
        </w:rPr>
        <w:t>Study</w:t>
      </w:r>
      <w:r w:rsidRPr="00B26241">
        <w:rPr>
          <w:lang w:val="en-GB"/>
        </w:rPr>
        <w:t xml:space="preserve"> is conducted </w:t>
      </w:r>
      <w:r>
        <w:rPr>
          <w:lang w:val="en-GB"/>
        </w:rPr>
        <w:t>on behalf of</w:t>
      </w:r>
      <w:r w:rsidRPr="00B26241">
        <w:rPr>
          <w:lang w:val="en-GB"/>
        </w:rPr>
        <w:t xml:space="preserve"> the Social Inclusion and Poverty Reduction Unit</w:t>
      </w:r>
      <w:r>
        <w:rPr>
          <w:lang w:val="en-GB"/>
        </w:rPr>
        <w:t xml:space="preserve"> (SIPRU)</w:t>
      </w:r>
      <w:r w:rsidR="00D43FE7">
        <w:rPr>
          <w:lang w:val="en-GB"/>
        </w:rPr>
        <w:t>, within the Office of the Deputy Prime Minister for European Integration.</w:t>
      </w:r>
    </w:p>
    <w:p w:rsidR="009A5953" w:rsidRPr="00B26241" w:rsidRDefault="009A5953" w:rsidP="009A5953">
      <w:pPr>
        <w:rPr>
          <w:lang w:val="en-GB"/>
        </w:rPr>
      </w:pPr>
      <w:r w:rsidRPr="00B26241">
        <w:rPr>
          <w:lang w:val="en-GB"/>
        </w:rPr>
        <w:t xml:space="preserve">This </w:t>
      </w:r>
      <w:r>
        <w:rPr>
          <w:lang w:val="en-GB"/>
        </w:rPr>
        <w:t>Study</w:t>
      </w:r>
      <w:r w:rsidRPr="00B26241">
        <w:rPr>
          <w:lang w:val="en-GB"/>
        </w:rPr>
        <w:t xml:space="preserve"> does not represent the official position of the Government of the Republic of Serbia. </w:t>
      </w:r>
    </w:p>
    <w:p w:rsidR="009A5953" w:rsidRPr="00B26241" w:rsidRDefault="009A5953" w:rsidP="009A5953">
      <w:pPr>
        <w:jc w:val="center"/>
        <w:rPr>
          <w:i/>
          <w:szCs w:val="24"/>
          <w:lang w:val="en-GB"/>
        </w:rPr>
      </w:pPr>
    </w:p>
    <w:p w:rsidR="009A5953" w:rsidRPr="00B26241" w:rsidRDefault="009A5953" w:rsidP="009A5953">
      <w:pPr>
        <w:jc w:val="center"/>
        <w:rPr>
          <w:i/>
          <w:szCs w:val="24"/>
          <w:lang w:val="en-GB"/>
        </w:rPr>
      </w:pPr>
    </w:p>
    <w:p w:rsidR="009A5953" w:rsidRDefault="00FA2F9B">
      <w:pPr>
        <w:pStyle w:val="TOC1"/>
        <w:rPr>
          <w:b/>
          <w:szCs w:val="24"/>
        </w:rPr>
      </w:pPr>
      <w:r w:rsidRPr="00FA2F9B">
        <w:rPr>
          <w:b/>
          <w:szCs w:val="24"/>
        </w:rPr>
        <w:lastRenderedPageBreak/>
        <w:t>Contents</w:t>
      </w:r>
    </w:p>
    <w:p w:rsidR="00920D5A" w:rsidRDefault="001011DB" w:rsidP="00920D5A">
      <w:pPr>
        <w:pStyle w:val="TOC1"/>
        <w:rPr>
          <w:rFonts w:asciiTheme="minorHAnsi" w:eastAsiaTheme="minorEastAsia" w:hAnsiTheme="minorHAnsi"/>
          <w:sz w:val="22"/>
          <w:lang w:val="en-US"/>
        </w:rPr>
      </w:pPr>
      <w:r w:rsidRPr="00B26241">
        <w:rPr>
          <w:szCs w:val="24"/>
          <w:lang w:val="en-US" w:eastAsia="ja-JP"/>
        </w:rPr>
        <w:fldChar w:fldCharType="begin"/>
      </w:r>
      <w:r w:rsidR="009A5953" w:rsidRPr="00B26241">
        <w:rPr>
          <w:szCs w:val="24"/>
        </w:rPr>
        <w:instrText xml:space="preserve"> TOC \o "1-3" \h \z \u </w:instrText>
      </w:r>
      <w:r w:rsidRPr="00B26241">
        <w:rPr>
          <w:szCs w:val="24"/>
          <w:lang w:val="en-US" w:eastAsia="ja-JP"/>
        </w:rPr>
        <w:fldChar w:fldCharType="separate"/>
      </w:r>
      <w:hyperlink w:anchor="_Toc353200751" w:history="1">
        <w:r w:rsidR="00920D5A">
          <w:rPr>
            <w:rStyle w:val="Hyperlink"/>
          </w:rPr>
          <w:t>Summary</w:t>
        </w:r>
        <w:r w:rsidR="00920D5A">
          <w:rPr>
            <w:webHidden/>
          </w:rPr>
          <w:tab/>
        </w:r>
        <w:r w:rsidR="00920D5A">
          <w:rPr>
            <w:webHidden/>
          </w:rPr>
          <w:fldChar w:fldCharType="begin"/>
        </w:r>
        <w:r w:rsidR="00920D5A">
          <w:rPr>
            <w:webHidden/>
          </w:rPr>
          <w:instrText xml:space="preserve"> PAGEREF _Toc353200751 \h </w:instrText>
        </w:r>
        <w:r w:rsidR="00920D5A">
          <w:rPr>
            <w:webHidden/>
          </w:rPr>
        </w:r>
        <w:r w:rsidR="00920D5A">
          <w:rPr>
            <w:webHidden/>
          </w:rPr>
          <w:fldChar w:fldCharType="separate"/>
        </w:r>
        <w:r w:rsidR="00920D5A">
          <w:rPr>
            <w:webHidden/>
          </w:rPr>
          <w:t>6</w:t>
        </w:r>
        <w:r w:rsidR="00920D5A">
          <w:rPr>
            <w:webHidden/>
          </w:rPr>
          <w:fldChar w:fldCharType="end"/>
        </w:r>
      </w:hyperlink>
    </w:p>
    <w:p w:rsidR="00920D5A" w:rsidRDefault="004B7C20" w:rsidP="00920D5A">
      <w:pPr>
        <w:pStyle w:val="TOC1"/>
        <w:rPr>
          <w:rFonts w:asciiTheme="minorHAnsi" w:eastAsiaTheme="minorEastAsia" w:hAnsiTheme="minorHAnsi"/>
          <w:sz w:val="22"/>
          <w:lang w:val="en-US"/>
        </w:rPr>
      </w:pPr>
      <w:hyperlink w:anchor="_Toc353200751" w:history="1">
        <w:r w:rsidR="00920D5A" w:rsidRPr="00B82A0E">
          <w:rPr>
            <w:rStyle w:val="Hyperlink"/>
          </w:rPr>
          <w:t>Introduction</w:t>
        </w:r>
        <w:r w:rsidR="00920D5A">
          <w:rPr>
            <w:webHidden/>
          </w:rPr>
          <w:tab/>
        </w:r>
        <w:r w:rsidR="00920D5A">
          <w:rPr>
            <w:webHidden/>
          </w:rPr>
          <w:fldChar w:fldCharType="begin"/>
        </w:r>
        <w:r w:rsidR="00920D5A">
          <w:rPr>
            <w:webHidden/>
          </w:rPr>
          <w:instrText xml:space="preserve"> PAGEREF _Toc353200751 \h </w:instrText>
        </w:r>
        <w:r w:rsidR="00920D5A">
          <w:rPr>
            <w:webHidden/>
          </w:rPr>
        </w:r>
        <w:r w:rsidR="00920D5A">
          <w:rPr>
            <w:webHidden/>
          </w:rPr>
          <w:fldChar w:fldCharType="separate"/>
        </w:r>
        <w:r w:rsidR="00920D5A">
          <w:rPr>
            <w:webHidden/>
          </w:rPr>
          <w:t>6</w:t>
        </w:r>
        <w:r w:rsidR="00920D5A">
          <w:rPr>
            <w:webHidden/>
          </w:rPr>
          <w:fldChar w:fldCharType="end"/>
        </w:r>
      </w:hyperlink>
    </w:p>
    <w:p w:rsidR="00351681" w:rsidRDefault="004B7C20" w:rsidP="00920D5A">
      <w:pPr>
        <w:pStyle w:val="TOC1"/>
        <w:rPr>
          <w:rFonts w:asciiTheme="minorHAnsi" w:eastAsiaTheme="minorEastAsia" w:hAnsiTheme="minorHAnsi"/>
          <w:sz w:val="22"/>
        </w:rPr>
      </w:pPr>
      <w:hyperlink w:anchor="_Toc353200752" w:history="1">
        <w:r w:rsidR="00920D5A">
          <w:rPr>
            <w:rStyle w:val="Hyperlink"/>
          </w:rPr>
          <w:t>Research M</w:t>
        </w:r>
        <w:r w:rsidR="00351681" w:rsidRPr="00B82A0E">
          <w:rPr>
            <w:rStyle w:val="Hyperlink"/>
          </w:rPr>
          <w:t>ethodology and Contents of the Study</w:t>
        </w:r>
        <w:r w:rsidR="00351681">
          <w:rPr>
            <w:webHidden/>
          </w:rPr>
          <w:tab/>
        </w:r>
        <w:r w:rsidR="00351681">
          <w:rPr>
            <w:webHidden/>
          </w:rPr>
          <w:fldChar w:fldCharType="begin"/>
        </w:r>
        <w:r w:rsidR="00351681">
          <w:rPr>
            <w:webHidden/>
          </w:rPr>
          <w:instrText xml:space="preserve"> PAGEREF _Toc353200752 \h </w:instrText>
        </w:r>
        <w:r w:rsidR="00351681">
          <w:rPr>
            <w:webHidden/>
          </w:rPr>
        </w:r>
        <w:r w:rsidR="00351681">
          <w:rPr>
            <w:webHidden/>
          </w:rPr>
          <w:fldChar w:fldCharType="separate"/>
        </w:r>
        <w:r w:rsidR="00351681">
          <w:rPr>
            <w:webHidden/>
          </w:rPr>
          <w:t>8</w:t>
        </w:r>
        <w:r w:rsidR="00351681">
          <w:rPr>
            <w:webHidden/>
          </w:rPr>
          <w:fldChar w:fldCharType="end"/>
        </w:r>
      </w:hyperlink>
    </w:p>
    <w:p w:rsidR="00351681" w:rsidRDefault="004B7C20">
      <w:pPr>
        <w:pStyle w:val="TOC1"/>
        <w:rPr>
          <w:rFonts w:asciiTheme="minorHAnsi" w:eastAsiaTheme="minorEastAsia" w:hAnsiTheme="minorHAnsi"/>
          <w:sz w:val="22"/>
          <w:lang w:val="en-US"/>
        </w:rPr>
      </w:pPr>
      <w:hyperlink w:anchor="_Toc353200753" w:history="1">
        <w:r w:rsidR="00351681" w:rsidRPr="00B82A0E">
          <w:rPr>
            <w:rStyle w:val="Hyperlink"/>
          </w:rPr>
          <w:t>1.</w:t>
        </w:r>
        <w:r w:rsidR="00351681">
          <w:rPr>
            <w:rFonts w:asciiTheme="minorHAnsi" w:eastAsiaTheme="minorEastAsia" w:hAnsiTheme="minorHAnsi"/>
            <w:sz w:val="22"/>
            <w:lang w:val="en-US"/>
          </w:rPr>
          <w:tab/>
        </w:r>
        <w:r w:rsidR="00351681" w:rsidRPr="00B82A0E">
          <w:rPr>
            <w:rStyle w:val="Hyperlink"/>
          </w:rPr>
          <w:t>National Framework And Lessons Learnt</w:t>
        </w:r>
        <w:r w:rsidR="00351681">
          <w:rPr>
            <w:webHidden/>
          </w:rPr>
          <w:tab/>
        </w:r>
        <w:r w:rsidR="00351681">
          <w:rPr>
            <w:webHidden/>
          </w:rPr>
          <w:fldChar w:fldCharType="begin"/>
        </w:r>
        <w:r w:rsidR="00351681">
          <w:rPr>
            <w:webHidden/>
          </w:rPr>
          <w:instrText xml:space="preserve"> PAGEREF _Toc353200753 \h </w:instrText>
        </w:r>
        <w:r w:rsidR="00351681">
          <w:rPr>
            <w:webHidden/>
          </w:rPr>
        </w:r>
        <w:r w:rsidR="00351681">
          <w:rPr>
            <w:webHidden/>
          </w:rPr>
          <w:fldChar w:fldCharType="separate"/>
        </w:r>
        <w:r w:rsidR="00351681">
          <w:rPr>
            <w:webHidden/>
          </w:rPr>
          <w:t>10</w:t>
        </w:r>
        <w:r w:rsidR="00351681">
          <w:rPr>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54" w:history="1">
        <w:r w:rsidR="00351681" w:rsidRPr="00B82A0E">
          <w:rPr>
            <w:rStyle w:val="Hyperlink"/>
            <w:noProof/>
          </w:rPr>
          <w:t>1.1. Key Aspects and Principles</w:t>
        </w:r>
        <w:r w:rsidR="00351681">
          <w:rPr>
            <w:noProof/>
            <w:webHidden/>
          </w:rPr>
          <w:tab/>
        </w:r>
        <w:r w:rsidR="00351681">
          <w:rPr>
            <w:noProof/>
            <w:webHidden/>
          </w:rPr>
          <w:fldChar w:fldCharType="begin"/>
        </w:r>
        <w:r w:rsidR="00351681">
          <w:rPr>
            <w:noProof/>
            <w:webHidden/>
          </w:rPr>
          <w:instrText xml:space="preserve"> PAGEREF _Toc353200754 \h </w:instrText>
        </w:r>
        <w:r w:rsidR="00351681">
          <w:rPr>
            <w:noProof/>
            <w:webHidden/>
          </w:rPr>
        </w:r>
        <w:r w:rsidR="00351681">
          <w:rPr>
            <w:noProof/>
            <w:webHidden/>
          </w:rPr>
          <w:fldChar w:fldCharType="separate"/>
        </w:r>
        <w:r w:rsidR="00351681">
          <w:rPr>
            <w:noProof/>
            <w:webHidden/>
          </w:rPr>
          <w:t>10</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55" w:history="1">
        <w:r w:rsidR="00351681" w:rsidRPr="00B82A0E">
          <w:rPr>
            <w:rStyle w:val="Hyperlink"/>
            <w:noProof/>
          </w:rPr>
          <w:t>1.2. Ministries and Public Bodies</w:t>
        </w:r>
        <w:r w:rsidR="00351681">
          <w:rPr>
            <w:noProof/>
            <w:webHidden/>
          </w:rPr>
          <w:tab/>
        </w:r>
        <w:r w:rsidR="00351681">
          <w:rPr>
            <w:noProof/>
            <w:webHidden/>
          </w:rPr>
          <w:fldChar w:fldCharType="begin"/>
        </w:r>
        <w:r w:rsidR="00351681">
          <w:rPr>
            <w:noProof/>
            <w:webHidden/>
          </w:rPr>
          <w:instrText xml:space="preserve"> PAGEREF _Toc353200755 \h </w:instrText>
        </w:r>
        <w:r w:rsidR="00351681">
          <w:rPr>
            <w:noProof/>
            <w:webHidden/>
          </w:rPr>
        </w:r>
        <w:r w:rsidR="00351681">
          <w:rPr>
            <w:noProof/>
            <w:webHidden/>
          </w:rPr>
          <w:fldChar w:fldCharType="separate"/>
        </w:r>
        <w:r w:rsidR="00351681">
          <w:rPr>
            <w:noProof/>
            <w:webHidden/>
          </w:rPr>
          <w:t>10</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56" w:history="1">
        <w:r w:rsidR="00351681" w:rsidRPr="00B82A0E">
          <w:rPr>
            <w:rStyle w:val="Hyperlink"/>
            <w:noProof/>
          </w:rPr>
          <w:t>1.3. Coordination</w:t>
        </w:r>
        <w:r w:rsidR="00920D5A">
          <w:rPr>
            <w:rStyle w:val="Hyperlink"/>
            <w:noProof/>
          </w:rPr>
          <w:t xml:space="preserve"> across Sectors</w:t>
        </w:r>
        <w:r w:rsidR="00351681">
          <w:rPr>
            <w:noProof/>
            <w:webHidden/>
          </w:rPr>
          <w:tab/>
        </w:r>
        <w:r w:rsidR="00351681">
          <w:rPr>
            <w:noProof/>
            <w:webHidden/>
          </w:rPr>
          <w:fldChar w:fldCharType="begin"/>
        </w:r>
        <w:r w:rsidR="00351681">
          <w:rPr>
            <w:noProof/>
            <w:webHidden/>
          </w:rPr>
          <w:instrText xml:space="preserve"> PAGEREF _Toc353200756 \h </w:instrText>
        </w:r>
        <w:r w:rsidR="00351681">
          <w:rPr>
            <w:noProof/>
            <w:webHidden/>
          </w:rPr>
        </w:r>
        <w:r w:rsidR="00351681">
          <w:rPr>
            <w:noProof/>
            <w:webHidden/>
          </w:rPr>
          <w:fldChar w:fldCharType="separate"/>
        </w:r>
        <w:r w:rsidR="00351681">
          <w:rPr>
            <w:noProof/>
            <w:webHidden/>
          </w:rPr>
          <w:t>12</w:t>
        </w:r>
        <w:r w:rsidR="00351681">
          <w:rPr>
            <w:noProof/>
            <w:webHidden/>
          </w:rPr>
          <w:fldChar w:fldCharType="end"/>
        </w:r>
      </w:hyperlink>
    </w:p>
    <w:p w:rsidR="00351681" w:rsidRDefault="004B7C20">
      <w:pPr>
        <w:pStyle w:val="TOC1"/>
        <w:rPr>
          <w:rFonts w:asciiTheme="minorHAnsi" w:eastAsiaTheme="minorEastAsia" w:hAnsiTheme="minorHAnsi"/>
          <w:sz w:val="22"/>
          <w:lang w:val="en-US"/>
        </w:rPr>
      </w:pPr>
      <w:hyperlink w:anchor="_Toc353200758" w:history="1">
        <w:r w:rsidR="00351681" w:rsidRPr="00B82A0E">
          <w:rPr>
            <w:rStyle w:val="Hyperlink"/>
          </w:rPr>
          <w:t>2.</w:t>
        </w:r>
        <w:r w:rsidR="00351681">
          <w:rPr>
            <w:rFonts w:asciiTheme="minorHAnsi" w:eastAsiaTheme="minorEastAsia" w:hAnsiTheme="minorHAnsi"/>
            <w:sz w:val="22"/>
            <w:lang w:val="en-US"/>
          </w:rPr>
          <w:tab/>
        </w:r>
        <w:r w:rsidR="00351681" w:rsidRPr="00B82A0E">
          <w:rPr>
            <w:rStyle w:val="Hyperlink"/>
          </w:rPr>
          <w:t xml:space="preserve">Financial Instruments for </w:t>
        </w:r>
        <w:r w:rsidR="00920D5A">
          <w:rPr>
            <w:rStyle w:val="Hyperlink"/>
          </w:rPr>
          <w:t>S</w:t>
        </w:r>
        <w:r w:rsidR="00351681" w:rsidRPr="00B82A0E">
          <w:rPr>
            <w:rStyle w:val="Hyperlink"/>
          </w:rPr>
          <w:t xml:space="preserve">ocial </w:t>
        </w:r>
        <w:r w:rsidR="00920D5A">
          <w:rPr>
            <w:rStyle w:val="Hyperlink"/>
          </w:rPr>
          <w:t>I</w:t>
        </w:r>
        <w:r w:rsidR="00351681" w:rsidRPr="00B82A0E">
          <w:rPr>
            <w:rStyle w:val="Hyperlink"/>
          </w:rPr>
          <w:t xml:space="preserve">nclusion </w:t>
        </w:r>
        <w:r w:rsidR="00920D5A">
          <w:rPr>
            <w:rStyle w:val="Hyperlink"/>
          </w:rPr>
          <w:t>of</w:t>
        </w:r>
        <w:r w:rsidR="00351681" w:rsidRPr="00B82A0E">
          <w:rPr>
            <w:rStyle w:val="Hyperlink"/>
          </w:rPr>
          <w:t xml:space="preserve"> the Republic of Serbia</w:t>
        </w:r>
        <w:r w:rsidR="00351681">
          <w:rPr>
            <w:webHidden/>
          </w:rPr>
          <w:tab/>
        </w:r>
        <w:r w:rsidR="00351681">
          <w:rPr>
            <w:webHidden/>
          </w:rPr>
          <w:fldChar w:fldCharType="begin"/>
        </w:r>
        <w:r w:rsidR="00351681">
          <w:rPr>
            <w:webHidden/>
          </w:rPr>
          <w:instrText xml:space="preserve"> PAGEREF _Toc353200758 \h </w:instrText>
        </w:r>
        <w:r w:rsidR="00351681">
          <w:rPr>
            <w:webHidden/>
          </w:rPr>
        </w:r>
        <w:r w:rsidR="00351681">
          <w:rPr>
            <w:webHidden/>
          </w:rPr>
          <w:fldChar w:fldCharType="separate"/>
        </w:r>
        <w:r w:rsidR="00351681">
          <w:rPr>
            <w:webHidden/>
          </w:rPr>
          <w:t>14</w:t>
        </w:r>
        <w:r w:rsidR="00351681">
          <w:rPr>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59" w:history="1">
        <w:r w:rsidR="00920D5A" w:rsidRPr="00B82A0E">
          <w:rPr>
            <w:rStyle w:val="Hyperlink"/>
            <w:noProof/>
          </w:rPr>
          <w:t xml:space="preserve">2.1. Financing Social Inclusion </w:t>
        </w:r>
        <w:r w:rsidR="00CA36CD">
          <w:rPr>
            <w:rStyle w:val="Hyperlink"/>
            <w:noProof/>
          </w:rPr>
          <w:t>o</w:t>
        </w:r>
        <w:r w:rsidR="00920D5A" w:rsidRPr="00B82A0E">
          <w:rPr>
            <w:rStyle w:val="Hyperlink"/>
            <w:noProof/>
          </w:rPr>
          <w:t xml:space="preserve">n </w:t>
        </w:r>
        <w:r w:rsidR="008227A2">
          <w:rPr>
            <w:rStyle w:val="Hyperlink"/>
            <w:noProof/>
          </w:rPr>
          <w:t>t</w:t>
        </w:r>
        <w:r w:rsidR="00920D5A" w:rsidRPr="00B82A0E">
          <w:rPr>
            <w:rStyle w:val="Hyperlink"/>
            <w:noProof/>
          </w:rPr>
          <w:t xml:space="preserve">he </w:t>
        </w:r>
        <w:r w:rsidR="00CA36CD">
          <w:rPr>
            <w:rStyle w:val="Hyperlink"/>
            <w:noProof/>
          </w:rPr>
          <w:t xml:space="preserve">Central </w:t>
        </w:r>
        <w:r w:rsidR="00920D5A" w:rsidRPr="00B82A0E">
          <w:rPr>
            <w:rStyle w:val="Hyperlink"/>
            <w:noProof/>
          </w:rPr>
          <w:t>Government Level</w:t>
        </w:r>
        <w:r w:rsidR="00351681">
          <w:rPr>
            <w:noProof/>
            <w:webHidden/>
          </w:rPr>
          <w:tab/>
        </w:r>
        <w:r w:rsidR="00351681">
          <w:rPr>
            <w:noProof/>
            <w:webHidden/>
          </w:rPr>
          <w:fldChar w:fldCharType="begin"/>
        </w:r>
        <w:r w:rsidR="00351681">
          <w:rPr>
            <w:noProof/>
            <w:webHidden/>
          </w:rPr>
          <w:instrText xml:space="preserve"> PAGEREF _Toc353200759 \h </w:instrText>
        </w:r>
        <w:r w:rsidR="00351681">
          <w:rPr>
            <w:noProof/>
            <w:webHidden/>
          </w:rPr>
        </w:r>
        <w:r w:rsidR="00351681">
          <w:rPr>
            <w:noProof/>
            <w:webHidden/>
          </w:rPr>
          <w:fldChar w:fldCharType="separate"/>
        </w:r>
        <w:r w:rsidR="00351681">
          <w:rPr>
            <w:noProof/>
            <w:webHidden/>
          </w:rPr>
          <w:t>14</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60" w:history="1">
        <w:r w:rsidR="00920D5A" w:rsidRPr="00B82A0E">
          <w:rPr>
            <w:rStyle w:val="Hyperlink"/>
            <w:noProof/>
          </w:rPr>
          <w:t xml:space="preserve">2.2. Financing Social Inclusion </w:t>
        </w:r>
        <w:r w:rsidR="00CA36CD">
          <w:rPr>
            <w:rStyle w:val="Hyperlink"/>
            <w:noProof/>
          </w:rPr>
          <w:t>on</w:t>
        </w:r>
        <w:r w:rsidR="00920D5A" w:rsidRPr="00B82A0E">
          <w:rPr>
            <w:rStyle w:val="Hyperlink"/>
            <w:noProof/>
          </w:rPr>
          <w:t xml:space="preserve"> </w:t>
        </w:r>
        <w:r w:rsidR="008227A2">
          <w:rPr>
            <w:rStyle w:val="Hyperlink"/>
            <w:noProof/>
          </w:rPr>
          <w:t>t</w:t>
        </w:r>
        <w:r w:rsidR="00920D5A" w:rsidRPr="00B82A0E">
          <w:rPr>
            <w:rStyle w:val="Hyperlink"/>
            <w:noProof/>
          </w:rPr>
          <w:t xml:space="preserve">he </w:t>
        </w:r>
        <w:r w:rsidR="00CA36CD">
          <w:rPr>
            <w:rStyle w:val="Hyperlink"/>
            <w:noProof/>
          </w:rPr>
          <w:t xml:space="preserve">Local </w:t>
        </w:r>
        <w:r w:rsidR="00920D5A" w:rsidRPr="00B82A0E">
          <w:rPr>
            <w:rStyle w:val="Hyperlink"/>
            <w:noProof/>
          </w:rPr>
          <w:t>Level</w:t>
        </w:r>
        <w:r w:rsidR="00920D5A">
          <w:rPr>
            <w:noProof/>
            <w:webHidden/>
          </w:rPr>
          <w:tab/>
        </w:r>
        <w:r w:rsidR="00351681">
          <w:rPr>
            <w:noProof/>
            <w:webHidden/>
          </w:rPr>
          <w:fldChar w:fldCharType="begin"/>
        </w:r>
        <w:r w:rsidR="00351681">
          <w:rPr>
            <w:noProof/>
            <w:webHidden/>
          </w:rPr>
          <w:instrText xml:space="preserve"> PAGEREF _Toc353200760 \h </w:instrText>
        </w:r>
        <w:r w:rsidR="00351681">
          <w:rPr>
            <w:noProof/>
            <w:webHidden/>
          </w:rPr>
        </w:r>
        <w:r w:rsidR="00351681">
          <w:rPr>
            <w:noProof/>
            <w:webHidden/>
          </w:rPr>
          <w:fldChar w:fldCharType="separate"/>
        </w:r>
        <w:r w:rsidR="00920D5A">
          <w:rPr>
            <w:noProof/>
            <w:webHidden/>
          </w:rPr>
          <w:t>17</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61" w:history="1">
        <w:r w:rsidR="00920D5A" w:rsidRPr="00B82A0E">
          <w:rPr>
            <w:rStyle w:val="Hyperlink"/>
            <w:noProof/>
          </w:rPr>
          <w:t>2.3. Relevant Projects</w:t>
        </w:r>
        <w:r w:rsidR="00920D5A">
          <w:rPr>
            <w:noProof/>
            <w:webHidden/>
          </w:rPr>
          <w:tab/>
        </w:r>
        <w:r w:rsidR="00351681">
          <w:rPr>
            <w:noProof/>
            <w:webHidden/>
          </w:rPr>
          <w:fldChar w:fldCharType="begin"/>
        </w:r>
        <w:r w:rsidR="00351681">
          <w:rPr>
            <w:noProof/>
            <w:webHidden/>
          </w:rPr>
          <w:instrText xml:space="preserve"> PAGEREF _Toc353200761 \h </w:instrText>
        </w:r>
        <w:r w:rsidR="00351681">
          <w:rPr>
            <w:noProof/>
            <w:webHidden/>
          </w:rPr>
        </w:r>
        <w:r w:rsidR="00351681">
          <w:rPr>
            <w:noProof/>
            <w:webHidden/>
          </w:rPr>
          <w:fldChar w:fldCharType="separate"/>
        </w:r>
        <w:r w:rsidR="00920D5A">
          <w:rPr>
            <w:noProof/>
            <w:webHidden/>
          </w:rPr>
          <w:t>18</w:t>
        </w:r>
        <w:r w:rsidR="00351681">
          <w:rPr>
            <w:noProof/>
            <w:webHidden/>
          </w:rPr>
          <w:fldChar w:fldCharType="end"/>
        </w:r>
      </w:hyperlink>
    </w:p>
    <w:p w:rsidR="00351681" w:rsidRDefault="004B7C20">
      <w:pPr>
        <w:pStyle w:val="TOC1"/>
        <w:rPr>
          <w:rFonts w:asciiTheme="minorHAnsi" w:eastAsiaTheme="minorEastAsia" w:hAnsiTheme="minorHAnsi"/>
          <w:sz w:val="22"/>
          <w:lang w:val="en-US"/>
        </w:rPr>
      </w:pPr>
      <w:hyperlink w:anchor="_Toc353200762" w:history="1">
        <w:r w:rsidR="00351681" w:rsidRPr="00B82A0E">
          <w:rPr>
            <w:rStyle w:val="Hyperlink"/>
          </w:rPr>
          <w:t>3. Management of EU Funds and Key Challenges</w:t>
        </w:r>
        <w:r w:rsidR="00351681">
          <w:rPr>
            <w:webHidden/>
          </w:rPr>
          <w:tab/>
        </w:r>
        <w:r w:rsidR="00351681">
          <w:rPr>
            <w:webHidden/>
          </w:rPr>
          <w:fldChar w:fldCharType="begin"/>
        </w:r>
        <w:r w:rsidR="00351681">
          <w:rPr>
            <w:webHidden/>
          </w:rPr>
          <w:instrText xml:space="preserve"> PAGEREF _Toc353200762 \h </w:instrText>
        </w:r>
        <w:r w:rsidR="00351681">
          <w:rPr>
            <w:webHidden/>
          </w:rPr>
        </w:r>
        <w:r w:rsidR="00351681">
          <w:rPr>
            <w:webHidden/>
          </w:rPr>
          <w:fldChar w:fldCharType="separate"/>
        </w:r>
        <w:r w:rsidR="00351681">
          <w:rPr>
            <w:webHidden/>
          </w:rPr>
          <w:t>22</w:t>
        </w:r>
        <w:r w:rsidR="00351681">
          <w:rPr>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63" w:history="1">
        <w:r w:rsidR="00351681" w:rsidRPr="00B82A0E">
          <w:rPr>
            <w:rStyle w:val="Hyperlink"/>
            <w:noProof/>
            <w:lang w:val="en-GB"/>
          </w:rPr>
          <w:t>3.1. EU Framework</w:t>
        </w:r>
        <w:r w:rsidR="00351681">
          <w:rPr>
            <w:noProof/>
            <w:webHidden/>
          </w:rPr>
          <w:tab/>
        </w:r>
        <w:r w:rsidR="00351681">
          <w:rPr>
            <w:noProof/>
            <w:webHidden/>
          </w:rPr>
          <w:fldChar w:fldCharType="begin"/>
        </w:r>
        <w:r w:rsidR="00351681">
          <w:rPr>
            <w:noProof/>
            <w:webHidden/>
          </w:rPr>
          <w:instrText xml:space="preserve"> PAGEREF _Toc353200763 \h </w:instrText>
        </w:r>
        <w:r w:rsidR="00351681">
          <w:rPr>
            <w:noProof/>
            <w:webHidden/>
          </w:rPr>
        </w:r>
        <w:r w:rsidR="00351681">
          <w:rPr>
            <w:noProof/>
            <w:webHidden/>
          </w:rPr>
          <w:fldChar w:fldCharType="separate"/>
        </w:r>
        <w:r w:rsidR="00351681">
          <w:rPr>
            <w:noProof/>
            <w:webHidden/>
          </w:rPr>
          <w:t>22</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64" w:history="1">
        <w:r w:rsidR="00351681" w:rsidRPr="00B82A0E">
          <w:rPr>
            <w:rStyle w:val="Hyperlink"/>
            <w:noProof/>
            <w:lang w:val="en-GB"/>
          </w:rPr>
          <w:t xml:space="preserve">3.1.1. European </w:t>
        </w:r>
        <w:r w:rsidR="00351681" w:rsidRPr="00B82A0E">
          <w:rPr>
            <w:rStyle w:val="Hyperlink"/>
            <w:noProof/>
          </w:rPr>
          <w:t>Social</w:t>
        </w:r>
        <w:r w:rsidR="00351681" w:rsidRPr="00B82A0E">
          <w:rPr>
            <w:rStyle w:val="Hyperlink"/>
            <w:noProof/>
            <w:lang w:val="en-GB"/>
          </w:rPr>
          <w:t xml:space="preserve"> Fund (ESF) and other EU funds and programmes</w:t>
        </w:r>
        <w:r w:rsidR="00351681">
          <w:rPr>
            <w:noProof/>
            <w:webHidden/>
          </w:rPr>
          <w:tab/>
        </w:r>
        <w:r w:rsidR="00351681">
          <w:rPr>
            <w:noProof/>
            <w:webHidden/>
          </w:rPr>
          <w:fldChar w:fldCharType="begin"/>
        </w:r>
        <w:r w:rsidR="00351681">
          <w:rPr>
            <w:noProof/>
            <w:webHidden/>
          </w:rPr>
          <w:instrText xml:space="preserve"> PAGEREF _Toc353200764 \h </w:instrText>
        </w:r>
        <w:r w:rsidR="00351681">
          <w:rPr>
            <w:noProof/>
            <w:webHidden/>
          </w:rPr>
        </w:r>
        <w:r w:rsidR="00351681">
          <w:rPr>
            <w:noProof/>
            <w:webHidden/>
          </w:rPr>
          <w:fldChar w:fldCharType="separate"/>
        </w:r>
        <w:r w:rsidR="00351681">
          <w:rPr>
            <w:noProof/>
            <w:webHidden/>
          </w:rPr>
          <w:t>22</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65" w:history="1">
        <w:r w:rsidR="00351681" w:rsidRPr="00B82A0E">
          <w:rPr>
            <w:rStyle w:val="Hyperlink"/>
            <w:noProof/>
            <w:lang w:val="en-GB"/>
          </w:rPr>
          <w:t xml:space="preserve">3.1.2. Instrument </w:t>
        </w:r>
        <w:r w:rsidR="00351681" w:rsidRPr="00B82A0E">
          <w:rPr>
            <w:rStyle w:val="Hyperlink"/>
            <w:noProof/>
          </w:rPr>
          <w:t>for</w:t>
        </w:r>
        <w:r w:rsidR="00351681" w:rsidRPr="00B82A0E">
          <w:rPr>
            <w:rStyle w:val="Hyperlink"/>
            <w:noProof/>
            <w:lang w:val="en-GB"/>
          </w:rPr>
          <w:t xml:space="preserve"> Pre-Accession Assistance (IPA)</w:t>
        </w:r>
        <w:r w:rsidR="00351681">
          <w:rPr>
            <w:noProof/>
            <w:webHidden/>
          </w:rPr>
          <w:tab/>
        </w:r>
        <w:r w:rsidR="00351681">
          <w:rPr>
            <w:noProof/>
            <w:webHidden/>
          </w:rPr>
          <w:fldChar w:fldCharType="begin"/>
        </w:r>
        <w:r w:rsidR="00351681">
          <w:rPr>
            <w:noProof/>
            <w:webHidden/>
          </w:rPr>
          <w:instrText xml:space="preserve"> PAGEREF _Toc353200765 \h </w:instrText>
        </w:r>
        <w:r w:rsidR="00351681">
          <w:rPr>
            <w:noProof/>
            <w:webHidden/>
          </w:rPr>
        </w:r>
        <w:r w:rsidR="00351681">
          <w:rPr>
            <w:noProof/>
            <w:webHidden/>
          </w:rPr>
          <w:fldChar w:fldCharType="separate"/>
        </w:r>
        <w:r w:rsidR="00351681">
          <w:rPr>
            <w:noProof/>
            <w:webHidden/>
          </w:rPr>
          <w:t>24</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66" w:history="1">
        <w:r w:rsidR="00351681" w:rsidRPr="00B82A0E">
          <w:rPr>
            <w:rStyle w:val="Hyperlink"/>
            <w:noProof/>
            <w:lang w:val="en-GB"/>
          </w:rPr>
          <w:t>3.1.3. Decentralised Management of EU Funds</w:t>
        </w:r>
        <w:r w:rsidR="00351681">
          <w:rPr>
            <w:noProof/>
            <w:webHidden/>
          </w:rPr>
          <w:tab/>
        </w:r>
        <w:r w:rsidR="00351681">
          <w:rPr>
            <w:noProof/>
            <w:webHidden/>
          </w:rPr>
          <w:fldChar w:fldCharType="begin"/>
        </w:r>
        <w:r w:rsidR="00351681">
          <w:rPr>
            <w:noProof/>
            <w:webHidden/>
          </w:rPr>
          <w:instrText xml:space="preserve"> PAGEREF _Toc353200766 \h </w:instrText>
        </w:r>
        <w:r w:rsidR="00351681">
          <w:rPr>
            <w:noProof/>
            <w:webHidden/>
          </w:rPr>
        </w:r>
        <w:r w:rsidR="00351681">
          <w:rPr>
            <w:noProof/>
            <w:webHidden/>
          </w:rPr>
          <w:fldChar w:fldCharType="separate"/>
        </w:r>
        <w:r w:rsidR="00351681">
          <w:rPr>
            <w:noProof/>
            <w:webHidden/>
          </w:rPr>
          <w:t>28</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67" w:history="1">
        <w:r w:rsidR="00351681" w:rsidRPr="00B82A0E">
          <w:rPr>
            <w:rStyle w:val="Hyperlink"/>
            <w:noProof/>
            <w:lang w:val="en-GB"/>
          </w:rPr>
          <w:t>3.2. Key Challenges</w:t>
        </w:r>
        <w:r w:rsidR="00351681">
          <w:rPr>
            <w:noProof/>
            <w:webHidden/>
          </w:rPr>
          <w:tab/>
        </w:r>
        <w:r w:rsidR="00351681">
          <w:rPr>
            <w:noProof/>
            <w:webHidden/>
          </w:rPr>
          <w:fldChar w:fldCharType="begin"/>
        </w:r>
        <w:r w:rsidR="00351681">
          <w:rPr>
            <w:noProof/>
            <w:webHidden/>
          </w:rPr>
          <w:instrText xml:space="preserve"> PAGEREF _Toc353200767 \h </w:instrText>
        </w:r>
        <w:r w:rsidR="00351681">
          <w:rPr>
            <w:noProof/>
            <w:webHidden/>
          </w:rPr>
        </w:r>
        <w:r w:rsidR="00351681">
          <w:rPr>
            <w:noProof/>
            <w:webHidden/>
          </w:rPr>
          <w:fldChar w:fldCharType="separate"/>
        </w:r>
        <w:r w:rsidR="00351681">
          <w:rPr>
            <w:noProof/>
            <w:webHidden/>
          </w:rPr>
          <w:t>29</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68" w:history="1">
        <w:r w:rsidR="00351681" w:rsidRPr="00B82A0E">
          <w:rPr>
            <w:rStyle w:val="Hyperlink"/>
            <w:noProof/>
          </w:rPr>
          <w:t>3.2.1. Administrative</w:t>
        </w:r>
        <w:r w:rsidR="00351681" w:rsidRPr="00B82A0E">
          <w:rPr>
            <w:rStyle w:val="Hyperlink"/>
            <w:noProof/>
            <w:lang w:val="en-GB"/>
          </w:rPr>
          <w:t xml:space="preserve"> Capacity for EU Funds Management</w:t>
        </w:r>
        <w:r w:rsidR="00351681">
          <w:rPr>
            <w:noProof/>
            <w:webHidden/>
          </w:rPr>
          <w:tab/>
        </w:r>
        <w:r w:rsidR="00351681">
          <w:rPr>
            <w:noProof/>
            <w:webHidden/>
          </w:rPr>
          <w:fldChar w:fldCharType="begin"/>
        </w:r>
        <w:r w:rsidR="00351681">
          <w:rPr>
            <w:noProof/>
            <w:webHidden/>
          </w:rPr>
          <w:instrText xml:space="preserve"> PAGEREF _Toc353200768 \h </w:instrText>
        </w:r>
        <w:r w:rsidR="00351681">
          <w:rPr>
            <w:noProof/>
            <w:webHidden/>
          </w:rPr>
        </w:r>
        <w:r w:rsidR="00351681">
          <w:rPr>
            <w:noProof/>
            <w:webHidden/>
          </w:rPr>
          <w:fldChar w:fldCharType="separate"/>
        </w:r>
        <w:r w:rsidR="00351681">
          <w:rPr>
            <w:noProof/>
            <w:webHidden/>
          </w:rPr>
          <w:t>29</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69" w:history="1">
        <w:r w:rsidR="00351681" w:rsidRPr="00B82A0E">
          <w:rPr>
            <w:rStyle w:val="Hyperlink"/>
            <w:noProof/>
            <w:lang w:val="en-GB"/>
          </w:rPr>
          <w:t>3.2.2. Timely Management of EU Funds</w:t>
        </w:r>
        <w:r w:rsidR="00351681">
          <w:rPr>
            <w:noProof/>
            <w:webHidden/>
          </w:rPr>
          <w:tab/>
        </w:r>
        <w:r w:rsidR="00351681">
          <w:rPr>
            <w:noProof/>
            <w:webHidden/>
          </w:rPr>
          <w:fldChar w:fldCharType="begin"/>
        </w:r>
        <w:r w:rsidR="00351681">
          <w:rPr>
            <w:noProof/>
            <w:webHidden/>
          </w:rPr>
          <w:instrText xml:space="preserve"> PAGEREF _Toc353200769 \h </w:instrText>
        </w:r>
        <w:r w:rsidR="00351681">
          <w:rPr>
            <w:noProof/>
            <w:webHidden/>
          </w:rPr>
        </w:r>
        <w:r w:rsidR="00351681">
          <w:rPr>
            <w:noProof/>
            <w:webHidden/>
          </w:rPr>
          <w:fldChar w:fldCharType="separate"/>
        </w:r>
        <w:r w:rsidR="00351681">
          <w:rPr>
            <w:noProof/>
            <w:webHidden/>
          </w:rPr>
          <w:t>31</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70" w:history="1">
        <w:r w:rsidR="00351681" w:rsidRPr="00B82A0E">
          <w:rPr>
            <w:rStyle w:val="Hyperlink"/>
            <w:noProof/>
            <w:lang w:val="en-GB"/>
          </w:rPr>
          <w:t>3.2.3. Co-</w:t>
        </w:r>
        <w:r w:rsidR="00351681" w:rsidRPr="00B82A0E">
          <w:rPr>
            <w:rStyle w:val="Hyperlink"/>
            <w:noProof/>
          </w:rPr>
          <w:t>financing</w:t>
        </w:r>
        <w:r w:rsidR="00351681" w:rsidRPr="00B82A0E">
          <w:rPr>
            <w:rStyle w:val="Hyperlink"/>
            <w:noProof/>
            <w:lang w:val="en-GB"/>
          </w:rPr>
          <w:t xml:space="preserve"> and Pre-financing</w:t>
        </w:r>
        <w:r w:rsidR="00351681">
          <w:rPr>
            <w:noProof/>
            <w:webHidden/>
          </w:rPr>
          <w:tab/>
        </w:r>
        <w:r w:rsidR="00351681">
          <w:rPr>
            <w:noProof/>
            <w:webHidden/>
          </w:rPr>
          <w:fldChar w:fldCharType="begin"/>
        </w:r>
        <w:r w:rsidR="00351681">
          <w:rPr>
            <w:noProof/>
            <w:webHidden/>
          </w:rPr>
          <w:instrText xml:space="preserve"> PAGEREF _Toc353200770 \h </w:instrText>
        </w:r>
        <w:r w:rsidR="00351681">
          <w:rPr>
            <w:noProof/>
            <w:webHidden/>
          </w:rPr>
        </w:r>
        <w:r w:rsidR="00351681">
          <w:rPr>
            <w:noProof/>
            <w:webHidden/>
          </w:rPr>
          <w:fldChar w:fldCharType="separate"/>
        </w:r>
        <w:r w:rsidR="00351681">
          <w:rPr>
            <w:noProof/>
            <w:webHidden/>
          </w:rPr>
          <w:t>33</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71" w:history="1">
        <w:r w:rsidR="00351681" w:rsidRPr="00B82A0E">
          <w:rPr>
            <w:rStyle w:val="Hyperlink"/>
            <w:noProof/>
            <w:lang w:val="en-GB"/>
          </w:rPr>
          <w:t xml:space="preserve">3.3. </w:t>
        </w:r>
        <w:r w:rsidR="008227A2">
          <w:rPr>
            <w:rStyle w:val="Hyperlink"/>
            <w:noProof/>
            <w:lang w:val="en-GB"/>
          </w:rPr>
          <w:t>Contracting</w:t>
        </w:r>
        <w:r w:rsidR="00351681" w:rsidRPr="00B82A0E">
          <w:rPr>
            <w:rStyle w:val="Hyperlink"/>
            <w:noProof/>
            <w:lang w:val="en-GB"/>
          </w:rPr>
          <w:t xml:space="preserve"> Bodies as Part of the Operating Structure</w:t>
        </w:r>
        <w:r w:rsidR="00351681">
          <w:rPr>
            <w:noProof/>
            <w:webHidden/>
          </w:rPr>
          <w:tab/>
        </w:r>
        <w:r w:rsidR="00351681">
          <w:rPr>
            <w:noProof/>
            <w:webHidden/>
          </w:rPr>
          <w:fldChar w:fldCharType="begin"/>
        </w:r>
        <w:r w:rsidR="00351681">
          <w:rPr>
            <w:noProof/>
            <w:webHidden/>
          </w:rPr>
          <w:instrText xml:space="preserve"> PAGEREF _Toc353200771 \h </w:instrText>
        </w:r>
        <w:r w:rsidR="00351681">
          <w:rPr>
            <w:noProof/>
            <w:webHidden/>
          </w:rPr>
        </w:r>
        <w:r w:rsidR="00351681">
          <w:rPr>
            <w:noProof/>
            <w:webHidden/>
          </w:rPr>
          <w:fldChar w:fldCharType="separate"/>
        </w:r>
        <w:r w:rsidR="00351681">
          <w:rPr>
            <w:noProof/>
            <w:webHidden/>
          </w:rPr>
          <w:t>34</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72" w:history="1">
        <w:r w:rsidR="00351681" w:rsidRPr="00B82A0E">
          <w:rPr>
            <w:rStyle w:val="Hyperlink"/>
            <w:noProof/>
            <w:lang w:val="en-GB"/>
          </w:rPr>
          <w:t>3.4. Experiences of Other Countries</w:t>
        </w:r>
        <w:r w:rsidR="00351681">
          <w:rPr>
            <w:noProof/>
            <w:webHidden/>
          </w:rPr>
          <w:tab/>
        </w:r>
        <w:r w:rsidR="00351681">
          <w:rPr>
            <w:noProof/>
            <w:webHidden/>
          </w:rPr>
          <w:fldChar w:fldCharType="begin"/>
        </w:r>
        <w:r w:rsidR="00351681">
          <w:rPr>
            <w:noProof/>
            <w:webHidden/>
          </w:rPr>
          <w:instrText xml:space="preserve"> PAGEREF _Toc353200772 \h </w:instrText>
        </w:r>
        <w:r w:rsidR="00351681">
          <w:rPr>
            <w:noProof/>
            <w:webHidden/>
          </w:rPr>
        </w:r>
        <w:r w:rsidR="00351681">
          <w:rPr>
            <w:noProof/>
            <w:webHidden/>
          </w:rPr>
          <w:fldChar w:fldCharType="separate"/>
        </w:r>
        <w:r w:rsidR="00351681">
          <w:rPr>
            <w:noProof/>
            <w:webHidden/>
          </w:rPr>
          <w:t>37</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73" w:history="1">
        <w:r w:rsidR="00351681" w:rsidRPr="00B82A0E">
          <w:rPr>
            <w:rStyle w:val="Hyperlink"/>
            <w:noProof/>
            <w:lang w:val="en-GB"/>
          </w:rPr>
          <w:t>3.4.1. Republic of Ireland</w:t>
        </w:r>
        <w:r w:rsidR="00351681">
          <w:rPr>
            <w:noProof/>
            <w:webHidden/>
          </w:rPr>
          <w:tab/>
        </w:r>
        <w:r w:rsidR="00351681">
          <w:rPr>
            <w:noProof/>
            <w:webHidden/>
          </w:rPr>
          <w:fldChar w:fldCharType="begin"/>
        </w:r>
        <w:r w:rsidR="00351681">
          <w:rPr>
            <w:noProof/>
            <w:webHidden/>
          </w:rPr>
          <w:instrText xml:space="preserve"> PAGEREF _Toc353200773 \h </w:instrText>
        </w:r>
        <w:r w:rsidR="00351681">
          <w:rPr>
            <w:noProof/>
            <w:webHidden/>
          </w:rPr>
        </w:r>
        <w:r w:rsidR="00351681">
          <w:rPr>
            <w:noProof/>
            <w:webHidden/>
          </w:rPr>
          <w:fldChar w:fldCharType="separate"/>
        </w:r>
        <w:r w:rsidR="00351681">
          <w:rPr>
            <w:noProof/>
            <w:webHidden/>
          </w:rPr>
          <w:t>38</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74" w:history="1">
        <w:r w:rsidR="00351681" w:rsidRPr="00B82A0E">
          <w:rPr>
            <w:rStyle w:val="Hyperlink"/>
            <w:noProof/>
            <w:lang w:val="en-GB"/>
          </w:rPr>
          <w:t>3.4.2. Slovak Republic</w:t>
        </w:r>
        <w:r w:rsidR="00351681">
          <w:rPr>
            <w:noProof/>
            <w:webHidden/>
          </w:rPr>
          <w:tab/>
        </w:r>
        <w:r w:rsidR="00351681">
          <w:rPr>
            <w:noProof/>
            <w:webHidden/>
          </w:rPr>
          <w:fldChar w:fldCharType="begin"/>
        </w:r>
        <w:r w:rsidR="00351681">
          <w:rPr>
            <w:noProof/>
            <w:webHidden/>
          </w:rPr>
          <w:instrText xml:space="preserve"> PAGEREF _Toc353200774 \h </w:instrText>
        </w:r>
        <w:r w:rsidR="00351681">
          <w:rPr>
            <w:noProof/>
            <w:webHidden/>
          </w:rPr>
        </w:r>
        <w:r w:rsidR="00351681">
          <w:rPr>
            <w:noProof/>
            <w:webHidden/>
          </w:rPr>
          <w:fldChar w:fldCharType="separate"/>
        </w:r>
        <w:r w:rsidR="00351681">
          <w:rPr>
            <w:noProof/>
            <w:webHidden/>
          </w:rPr>
          <w:t>38</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75" w:history="1">
        <w:r w:rsidR="00351681" w:rsidRPr="00B82A0E">
          <w:rPr>
            <w:rStyle w:val="Hyperlink"/>
            <w:noProof/>
            <w:lang w:val="en-GB"/>
          </w:rPr>
          <w:t>3.4.3. Bulgaria</w:t>
        </w:r>
        <w:r w:rsidR="00351681">
          <w:rPr>
            <w:noProof/>
            <w:webHidden/>
          </w:rPr>
          <w:tab/>
        </w:r>
        <w:r w:rsidR="00351681">
          <w:rPr>
            <w:noProof/>
            <w:webHidden/>
          </w:rPr>
          <w:fldChar w:fldCharType="begin"/>
        </w:r>
        <w:r w:rsidR="00351681">
          <w:rPr>
            <w:noProof/>
            <w:webHidden/>
          </w:rPr>
          <w:instrText xml:space="preserve"> PAGEREF _Toc353200775 \h </w:instrText>
        </w:r>
        <w:r w:rsidR="00351681">
          <w:rPr>
            <w:noProof/>
            <w:webHidden/>
          </w:rPr>
        </w:r>
        <w:r w:rsidR="00351681">
          <w:rPr>
            <w:noProof/>
            <w:webHidden/>
          </w:rPr>
          <w:fldChar w:fldCharType="separate"/>
        </w:r>
        <w:r w:rsidR="00351681">
          <w:rPr>
            <w:noProof/>
            <w:webHidden/>
          </w:rPr>
          <w:t>39</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76" w:history="1">
        <w:r w:rsidR="00351681" w:rsidRPr="00B82A0E">
          <w:rPr>
            <w:rStyle w:val="Hyperlink"/>
            <w:noProof/>
            <w:lang w:val="en-GB"/>
          </w:rPr>
          <w:t>3.4.4. United Kingdom</w:t>
        </w:r>
        <w:r w:rsidR="00351681">
          <w:rPr>
            <w:noProof/>
            <w:webHidden/>
          </w:rPr>
          <w:tab/>
        </w:r>
        <w:r w:rsidR="00351681">
          <w:rPr>
            <w:noProof/>
            <w:webHidden/>
          </w:rPr>
          <w:fldChar w:fldCharType="begin"/>
        </w:r>
        <w:r w:rsidR="00351681">
          <w:rPr>
            <w:noProof/>
            <w:webHidden/>
          </w:rPr>
          <w:instrText xml:space="preserve"> PAGEREF _Toc353200776 \h </w:instrText>
        </w:r>
        <w:r w:rsidR="00351681">
          <w:rPr>
            <w:noProof/>
            <w:webHidden/>
          </w:rPr>
        </w:r>
        <w:r w:rsidR="00351681">
          <w:rPr>
            <w:noProof/>
            <w:webHidden/>
          </w:rPr>
          <w:fldChar w:fldCharType="separate"/>
        </w:r>
        <w:r w:rsidR="00351681">
          <w:rPr>
            <w:noProof/>
            <w:webHidden/>
          </w:rPr>
          <w:t>40</w:t>
        </w:r>
        <w:r w:rsidR="00351681">
          <w:rPr>
            <w:noProof/>
            <w:webHidden/>
          </w:rPr>
          <w:fldChar w:fldCharType="end"/>
        </w:r>
      </w:hyperlink>
    </w:p>
    <w:p w:rsidR="00351681" w:rsidRDefault="004B7C20">
      <w:pPr>
        <w:pStyle w:val="TOC3"/>
        <w:tabs>
          <w:tab w:val="right" w:leader="dot" w:pos="9017"/>
        </w:tabs>
        <w:rPr>
          <w:rFonts w:asciiTheme="minorHAnsi" w:eastAsiaTheme="minorEastAsia" w:hAnsiTheme="minorHAnsi"/>
          <w:noProof/>
          <w:sz w:val="22"/>
        </w:rPr>
      </w:pPr>
      <w:hyperlink w:anchor="_Toc353200777" w:history="1">
        <w:r w:rsidR="00351681" w:rsidRPr="00B82A0E">
          <w:rPr>
            <w:rStyle w:val="Hyperlink"/>
            <w:noProof/>
            <w:lang w:val="en-GB"/>
          </w:rPr>
          <w:t>3.4.5. Croatia</w:t>
        </w:r>
        <w:r w:rsidR="00351681">
          <w:rPr>
            <w:noProof/>
            <w:webHidden/>
          </w:rPr>
          <w:tab/>
        </w:r>
        <w:r w:rsidR="00351681">
          <w:rPr>
            <w:noProof/>
            <w:webHidden/>
          </w:rPr>
          <w:fldChar w:fldCharType="begin"/>
        </w:r>
        <w:r w:rsidR="00351681">
          <w:rPr>
            <w:noProof/>
            <w:webHidden/>
          </w:rPr>
          <w:instrText xml:space="preserve"> PAGEREF _Toc353200777 \h </w:instrText>
        </w:r>
        <w:r w:rsidR="00351681">
          <w:rPr>
            <w:noProof/>
            <w:webHidden/>
          </w:rPr>
        </w:r>
        <w:r w:rsidR="00351681">
          <w:rPr>
            <w:noProof/>
            <w:webHidden/>
          </w:rPr>
          <w:fldChar w:fldCharType="separate"/>
        </w:r>
        <w:r w:rsidR="00351681">
          <w:rPr>
            <w:noProof/>
            <w:webHidden/>
          </w:rPr>
          <w:t>40</w:t>
        </w:r>
        <w:r w:rsidR="00351681">
          <w:rPr>
            <w:noProof/>
            <w:webHidden/>
          </w:rPr>
          <w:fldChar w:fldCharType="end"/>
        </w:r>
      </w:hyperlink>
    </w:p>
    <w:p w:rsidR="00351681" w:rsidRDefault="004B7C20">
      <w:pPr>
        <w:pStyle w:val="TOC1"/>
        <w:rPr>
          <w:rFonts w:asciiTheme="minorHAnsi" w:eastAsiaTheme="minorEastAsia" w:hAnsiTheme="minorHAnsi"/>
          <w:sz w:val="22"/>
          <w:lang w:val="en-US"/>
        </w:rPr>
      </w:pPr>
      <w:hyperlink w:anchor="_Toc353200778" w:history="1">
        <w:r w:rsidR="00351681" w:rsidRPr="00B82A0E">
          <w:rPr>
            <w:rStyle w:val="Hyperlink"/>
          </w:rPr>
          <w:t>4. Steps towards the Establishment of the Social Inclusion Fund</w:t>
        </w:r>
        <w:r w:rsidR="00351681">
          <w:rPr>
            <w:webHidden/>
          </w:rPr>
          <w:tab/>
        </w:r>
        <w:r w:rsidR="00351681">
          <w:rPr>
            <w:webHidden/>
          </w:rPr>
          <w:fldChar w:fldCharType="begin"/>
        </w:r>
        <w:r w:rsidR="00351681">
          <w:rPr>
            <w:webHidden/>
          </w:rPr>
          <w:instrText xml:space="preserve"> PAGEREF _Toc353200778 \h </w:instrText>
        </w:r>
        <w:r w:rsidR="00351681">
          <w:rPr>
            <w:webHidden/>
          </w:rPr>
        </w:r>
        <w:r w:rsidR="00351681">
          <w:rPr>
            <w:webHidden/>
          </w:rPr>
          <w:fldChar w:fldCharType="separate"/>
        </w:r>
        <w:r w:rsidR="00351681">
          <w:rPr>
            <w:webHidden/>
          </w:rPr>
          <w:t>44</w:t>
        </w:r>
        <w:r w:rsidR="00351681">
          <w:rPr>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79" w:history="1">
        <w:r w:rsidR="00351681" w:rsidRPr="00B82A0E">
          <w:rPr>
            <w:rStyle w:val="Hyperlink"/>
            <w:noProof/>
          </w:rPr>
          <w:t>4.1. Governance Structure for the Future Social Inclusion Fund</w:t>
        </w:r>
        <w:r w:rsidR="00351681">
          <w:rPr>
            <w:noProof/>
            <w:webHidden/>
          </w:rPr>
          <w:tab/>
        </w:r>
        <w:r w:rsidR="00351681">
          <w:rPr>
            <w:noProof/>
            <w:webHidden/>
          </w:rPr>
          <w:fldChar w:fldCharType="begin"/>
        </w:r>
        <w:r w:rsidR="00351681">
          <w:rPr>
            <w:noProof/>
            <w:webHidden/>
          </w:rPr>
          <w:instrText xml:space="preserve"> PAGEREF _Toc353200779 \h </w:instrText>
        </w:r>
        <w:r w:rsidR="00351681">
          <w:rPr>
            <w:noProof/>
            <w:webHidden/>
          </w:rPr>
        </w:r>
        <w:r w:rsidR="00351681">
          <w:rPr>
            <w:noProof/>
            <w:webHidden/>
          </w:rPr>
          <w:fldChar w:fldCharType="separate"/>
        </w:r>
        <w:r w:rsidR="00351681">
          <w:rPr>
            <w:noProof/>
            <w:webHidden/>
          </w:rPr>
          <w:t>44</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80" w:history="1">
        <w:r w:rsidR="00351681" w:rsidRPr="00B82A0E">
          <w:rPr>
            <w:rStyle w:val="Hyperlink"/>
            <w:noProof/>
          </w:rPr>
          <w:t>4.2. Possible Legal Grounding of the Social Inclusion Fund</w:t>
        </w:r>
        <w:r w:rsidR="00351681">
          <w:rPr>
            <w:noProof/>
            <w:webHidden/>
          </w:rPr>
          <w:tab/>
        </w:r>
        <w:r w:rsidR="00351681">
          <w:rPr>
            <w:noProof/>
            <w:webHidden/>
          </w:rPr>
          <w:fldChar w:fldCharType="begin"/>
        </w:r>
        <w:r w:rsidR="00351681">
          <w:rPr>
            <w:noProof/>
            <w:webHidden/>
          </w:rPr>
          <w:instrText xml:space="preserve"> PAGEREF _Toc353200780 \h </w:instrText>
        </w:r>
        <w:r w:rsidR="00351681">
          <w:rPr>
            <w:noProof/>
            <w:webHidden/>
          </w:rPr>
        </w:r>
        <w:r w:rsidR="00351681">
          <w:rPr>
            <w:noProof/>
            <w:webHidden/>
          </w:rPr>
          <w:fldChar w:fldCharType="separate"/>
        </w:r>
        <w:r w:rsidR="00351681">
          <w:rPr>
            <w:noProof/>
            <w:webHidden/>
          </w:rPr>
          <w:t>45</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81" w:history="1">
        <w:r w:rsidR="00351681" w:rsidRPr="00B82A0E">
          <w:rPr>
            <w:rStyle w:val="Hyperlink"/>
            <w:noProof/>
            <w:lang w:val="en-GB"/>
          </w:rPr>
          <w:t>4.3. Policy Options and Recommendations Regarding the Key Functions of the Social Inclusion Fund</w:t>
        </w:r>
        <w:r w:rsidR="00351681">
          <w:rPr>
            <w:noProof/>
            <w:webHidden/>
          </w:rPr>
          <w:tab/>
        </w:r>
        <w:r w:rsidR="00351681">
          <w:rPr>
            <w:noProof/>
            <w:webHidden/>
          </w:rPr>
          <w:fldChar w:fldCharType="begin"/>
        </w:r>
        <w:r w:rsidR="00351681">
          <w:rPr>
            <w:noProof/>
            <w:webHidden/>
          </w:rPr>
          <w:instrText xml:space="preserve"> PAGEREF _Toc353200781 \h </w:instrText>
        </w:r>
        <w:r w:rsidR="00351681">
          <w:rPr>
            <w:noProof/>
            <w:webHidden/>
          </w:rPr>
        </w:r>
        <w:r w:rsidR="00351681">
          <w:rPr>
            <w:noProof/>
            <w:webHidden/>
          </w:rPr>
          <w:fldChar w:fldCharType="separate"/>
        </w:r>
        <w:r w:rsidR="00351681">
          <w:rPr>
            <w:noProof/>
            <w:webHidden/>
          </w:rPr>
          <w:t>47</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82" w:history="1">
        <w:r w:rsidR="00351681" w:rsidRPr="00B82A0E">
          <w:rPr>
            <w:rStyle w:val="Hyperlink"/>
            <w:noProof/>
          </w:rPr>
          <w:t>4.4. Financial Aspects of the Social Inclusion Fund</w:t>
        </w:r>
        <w:r w:rsidR="00351681">
          <w:rPr>
            <w:noProof/>
            <w:webHidden/>
          </w:rPr>
          <w:tab/>
        </w:r>
        <w:r w:rsidR="00351681">
          <w:rPr>
            <w:noProof/>
            <w:webHidden/>
          </w:rPr>
          <w:fldChar w:fldCharType="begin"/>
        </w:r>
        <w:r w:rsidR="00351681">
          <w:rPr>
            <w:noProof/>
            <w:webHidden/>
          </w:rPr>
          <w:instrText xml:space="preserve"> PAGEREF _Toc353200782 \h </w:instrText>
        </w:r>
        <w:r w:rsidR="00351681">
          <w:rPr>
            <w:noProof/>
            <w:webHidden/>
          </w:rPr>
        </w:r>
        <w:r w:rsidR="00351681">
          <w:rPr>
            <w:noProof/>
            <w:webHidden/>
          </w:rPr>
          <w:fldChar w:fldCharType="separate"/>
        </w:r>
        <w:r w:rsidR="00351681">
          <w:rPr>
            <w:noProof/>
            <w:webHidden/>
          </w:rPr>
          <w:t>49</w:t>
        </w:r>
        <w:r w:rsidR="00351681">
          <w:rPr>
            <w:noProof/>
            <w:webHidden/>
          </w:rPr>
          <w:fldChar w:fldCharType="end"/>
        </w:r>
      </w:hyperlink>
    </w:p>
    <w:p w:rsidR="00351681" w:rsidRDefault="004B7C20">
      <w:pPr>
        <w:pStyle w:val="TOC2"/>
        <w:tabs>
          <w:tab w:val="right" w:leader="dot" w:pos="9017"/>
        </w:tabs>
        <w:rPr>
          <w:rFonts w:asciiTheme="minorHAnsi" w:eastAsiaTheme="minorEastAsia" w:hAnsiTheme="minorHAnsi"/>
          <w:noProof/>
          <w:sz w:val="22"/>
        </w:rPr>
      </w:pPr>
      <w:hyperlink w:anchor="_Toc353200783" w:history="1">
        <w:r w:rsidR="00351681" w:rsidRPr="00B82A0E">
          <w:rPr>
            <w:rStyle w:val="Hyperlink"/>
            <w:noProof/>
            <w:lang w:val="en-GB"/>
          </w:rPr>
          <w:t>4.5. Roadmap for the Establishment of the Social Inclusion Fund</w:t>
        </w:r>
        <w:r w:rsidR="00351681">
          <w:rPr>
            <w:noProof/>
            <w:webHidden/>
          </w:rPr>
          <w:tab/>
        </w:r>
        <w:r w:rsidR="00351681">
          <w:rPr>
            <w:noProof/>
            <w:webHidden/>
          </w:rPr>
          <w:fldChar w:fldCharType="begin"/>
        </w:r>
        <w:r w:rsidR="00351681">
          <w:rPr>
            <w:noProof/>
            <w:webHidden/>
          </w:rPr>
          <w:instrText xml:space="preserve"> PAGEREF _Toc353200783 \h </w:instrText>
        </w:r>
        <w:r w:rsidR="00351681">
          <w:rPr>
            <w:noProof/>
            <w:webHidden/>
          </w:rPr>
        </w:r>
        <w:r w:rsidR="00351681">
          <w:rPr>
            <w:noProof/>
            <w:webHidden/>
          </w:rPr>
          <w:fldChar w:fldCharType="separate"/>
        </w:r>
        <w:r w:rsidR="00351681">
          <w:rPr>
            <w:noProof/>
            <w:webHidden/>
          </w:rPr>
          <w:t>49</w:t>
        </w:r>
        <w:r w:rsidR="00351681">
          <w:rPr>
            <w:noProof/>
            <w:webHidden/>
          </w:rPr>
          <w:fldChar w:fldCharType="end"/>
        </w:r>
      </w:hyperlink>
    </w:p>
    <w:p w:rsidR="00351681" w:rsidRDefault="004B7C20">
      <w:pPr>
        <w:pStyle w:val="TOC1"/>
        <w:rPr>
          <w:rFonts w:asciiTheme="minorHAnsi" w:eastAsiaTheme="minorEastAsia" w:hAnsiTheme="minorHAnsi"/>
          <w:sz w:val="22"/>
          <w:lang w:val="en-US"/>
        </w:rPr>
      </w:pPr>
      <w:hyperlink w:anchor="_Toc353200784" w:history="1">
        <w:r w:rsidR="00351681" w:rsidRPr="00B82A0E">
          <w:rPr>
            <w:rStyle w:val="Hyperlink"/>
          </w:rPr>
          <w:t>Literature</w:t>
        </w:r>
        <w:r w:rsidR="00351681">
          <w:rPr>
            <w:webHidden/>
          </w:rPr>
          <w:tab/>
        </w:r>
        <w:r w:rsidR="00351681">
          <w:rPr>
            <w:webHidden/>
          </w:rPr>
          <w:fldChar w:fldCharType="begin"/>
        </w:r>
        <w:r w:rsidR="00351681">
          <w:rPr>
            <w:webHidden/>
          </w:rPr>
          <w:instrText xml:space="preserve"> PAGEREF _Toc353200784 \h </w:instrText>
        </w:r>
        <w:r w:rsidR="00351681">
          <w:rPr>
            <w:webHidden/>
          </w:rPr>
        </w:r>
        <w:r w:rsidR="00351681">
          <w:rPr>
            <w:webHidden/>
          </w:rPr>
          <w:fldChar w:fldCharType="separate"/>
        </w:r>
        <w:r w:rsidR="00351681">
          <w:rPr>
            <w:webHidden/>
          </w:rPr>
          <w:t>52</w:t>
        </w:r>
        <w:r w:rsidR="00351681">
          <w:rPr>
            <w:webHidden/>
          </w:rPr>
          <w:fldChar w:fldCharType="end"/>
        </w:r>
      </w:hyperlink>
    </w:p>
    <w:p w:rsidR="00351681" w:rsidRDefault="004B7C20">
      <w:pPr>
        <w:pStyle w:val="TOC1"/>
        <w:rPr>
          <w:rFonts w:asciiTheme="minorHAnsi" w:eastAsiaTheme="minorEastAsia" w:hAnsiTheme="minorHAnsi"/>
          <w:sz w:val="22"/>
          <w:lang w:val="en-US"/>
        </w:rPr>
      </w:pPr>
      <w:hyperlink w:anchor="_Toc353200785" w:history="1">
        <w:r w:rsidR="00351681" w:rsidRPr="00B82A0E">
          <w:rPr>
            <w:rStyle w:val="Hyperlink"/>
          </w:rPr>
          <w:t>Annexes</w:t>
        </w:r>
        <w:r w:rsidR="00351681">
          <w:rPr>
            <w:webHidden/>
          </w:rPr>
          <w:tab/>
        </w:r>
        <w:r w:rsidR="00351681">
          <w:rPr>
            <w:webHidden/>
          </w:rPr>
          <w:fldChar w:fldCharType="begin"/>
        </w:r>
        <w:r w:rsidR="00351681">
          <w:rPr>
            <w:webHidden/>
          </w:rPr>
          <w:instrText xml:space="preserve"> PAGEREF _Toc353200785 \h </w:instrText>
        </w:r>
        <w:r w:rsidR="00351681">
          <w:rPr>
            <w:webHidden/>
          </w:rPr>
        </w:r>
        <w:r w:rsidR="00351681">
          <w:rPr>
            <w:webHidden/>
          </w:rPr>
          <w:fldChar w:fldCharType="separate"/>
        </w:r>
        <w:r w:rsidR="00351681">
          <w:rPr>
            <w:webHidden/>
          </w:rPr>
          <w:t>55</w:t>
        </w:r>
        <w:r w:rsidR="00351681">
          <w:rPr>
            <w:webHidden/>
          </w:rPr>
          <w:fldChar w:fldCharType="end"/>
        </w:r>
      </w:hyperlink>
    </w:p>
    <w:p w:rsidR="00F14CA0" w:rsidRDefault="001011DB" w:rsidP="00460BF5">
      <w:pPr>
        <w:pStyle w:val="Heading1"/>
        <w:numPr>
          <w:ilvl w:val="0"/>
          <w:numId w:val="0"/>
        </w:numPr>
        <w:spacing w:before="60" w:after="60"/>
        <w:ind w:left="360" w:hanging="360"/>
        <w:rPr>
          <w:szCs w:val="24"/>
          <w:lang w:val="en-GB"/>
        </w:rPr>
      </w:pPr>
      <w:r w:rsidRPr="00B26241">
        <w:rPr>
          <w:b w:val="0"/>
          <w:bCs w:val="0"/>
          <w:caps w:val="0"/>
          <w:lang w:val="en-GB"/>
        </w:rPr>
        <w:fldChar w:fldCharType="end"/>
      </w:r>
    </w:p>
    <w:p w:rsidR="00CF3769" w:rsidRDefault="00CF3769">
      <w:pPr>
        <w:spacing w:before="0" w:after="200"/>
        <w:jc w:val="left"/>
        <w:rPr>
          <w:b/>
        </w:rPr>
      </w:pPr>
      <w:r>
        <w:rPr>
          <w:b/>
        </w:rPr>
        <w:br w:type="page"/>
      </w:r>
    </w:p>
    <w:p w:rsidR="006B7850" w:rsidRDefault="006B7850" w:rsidP="00451AAB">
      <w:pPr>
        <w:pBdr>
          <w:top w:val="single" w:sz="4" w:space="1" w:color="auto"/>
          <w:left w:val="single" w:sz="4" w:space="4" w:color="auto"/>
          <w:bottom w:val="single" w:sz="4" w:space="1" w:color="auto"/>
          <w:right w:val="single" w:sz="4" w:space="4" w:color="auto"/>
        </w:pBdr>
        <w:jc w:val="center"/>
        <w:rPr>
          <w:b/>
        </w:rPr>
      </w:pPr>
      <w:r w:rsidRPr="00293C19">
        <w:rPr>
          <w:b/>
        </w:rPr>
        <w:t>SUMMARY</w:t>
      </w:r>
    </w:p>
    <w:p w:rsidR="006B7850" w:rsidRDefault="006B7850" w:rsidP="00451AAB">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imesNewRoman" w:cs="Times New Roman"/>
          <w:szCs w:val="24"/>
        </w:rPr>
      </w:pPr>
      <w:r w:rsidRPr="00293C19">
        <w:rPr>
          <w:lang w:val="en-GB"/>
        </w:rPr>
        <w:t xml:space="preserve">The aim of this study is to explore the options for the establishment of the </w:t>
      </w:r>
      <w:r w:rsidRPr="006B7850">
        <w:rPr>
          <w:b/>
          <w:lang w:val="en-GB"/>
        </w:rPr>
        <w:t>Social Inclusion Fund</w:t>
      </w:r>
      <w:r w:rsidRPr="00293C19">
        <w:rPr>
          <w:lang w:val="en-GB"/>
        </w:rPr>
        <w:t xml:space="preserve">, as the most suitable model for the </w:t>
      </w:r>
      <w:r w:rsidRPr="00293C19">
        <w:rPr>
          <w:szCs w:val="24"/>
          <w:lang w:val="en-GB"/>
        </w:rPr>
        <w:t xml:space="preserve">support of implementation of the programmes for social inclusion of vulnerable groups in the Republic of Serbia. This need was identified </w:t>
      </w:r>
      <w:r>
        <w:rPr>
          <w:szCs w:val="24"/>
          <w:lang w:val="en-GB"/>
        </w:rPr>
        <w:t>in</w:t>
      </w:r>
      <w:r w:rsidRPr="00293C19">
        <w:rPr>
          <w:szCs w:val="24"/>
          <w:lang w:val="en-GB"/>
        </w:rPr>
        <w:t xml:space="preserve"> the </w:t>
      </w:r>
      <w:r w:rsidRPr="006B7850">
        <w:rPr>
          <w:b/>
          <w:szCs w:val="24"/>
          <w:lang w:val="en-GB"/>
        </w:rPr>
        <w:t>First National Report on Social Inclusion and Poverty Reduction</w:t>
      </w:r>
      <w:r w:rsidRPr="00293C19">
        <w:rPr>
          <w:szCs w:val="24"/>
          <w:lang w:val="en-GB"/>
        </w:rPr>
        <w:t>. The aim of the initiative is to contribute to more efficient and successful utilisation of the available national and future EU funds earmarked for social inclusion</w:t>
      </w:r>
      <w:r w:rsidRPr="00293C19">
        <w:rPr>
          <w:rFonts w:cs="Times New Roman"/>
          <w:szCs w:val="24"/>
          <w:lang w:val="en-GB"/>
        </w:rPr>
        <w:t>. It correlates with the challenges identified by the EC Progress report on Serbia (2012) according to which “</w:t>
      </w:r>
      <w:r w:rsidRPr="00293C19">
        <w:rPr>
          <w:rFonts w:eastAsia="TimesNewRoman" w:cs="Times New Roman"/>
          <w:szCs w:val="24"/>
          <w:lang w:val="sr-Cyrl-RS"/>
        </w:rPr>
        <w:t>efforts are needed</w:t>
      </w:r>
      <w:r w:rsidRPr="00293C19">
        <w:rPr>
          <w:rFonts w:eastAsia="TimesNewRoman" w:cs="Times New Roman"/>
          <w:szCs w:val="24"/>
        </w:rPr>
        <w:t xml:space="preserve"> </w:t>
      </w:r>
      <w:r w:rsidRPr="00293C19">
        <w:rPr>
          <w:rFonts w:eastAsia="TimesNewRoman" w:cs="Times New Roman"/>
          <w:szCs w:val="24"/>
          <w:lang w:val="sr-Cyrl-RS"/>
        </w:rPr>
        <w:t xml:space="preserve">to </w:t>
      </w:r>
      <w:r w:rsidRPr="007B6997">
        <w:rPr>
          <w:rFonts w:eastAsia="TimesNewRoman" w:cs="Times New Roman"/>
          <w:i/>
          <w:szCs w:val="24"/>
          <w:lang w:val="sr-Cyrl-RS"/>
        </w:rPr>
        <w:t>avoid the parallel systems</w:t>
      </w:r>
      <w:r w:rsidRPr="00293C19">
        <w:rPr>
          <w:rFonts w:eastAsia="TimesNewRoman" w:cs="Times New Roman"/>
          <w:szCs w:val="24"/>
          <w:lang w:val="sr-Cyrl-RS"/>
        </w:rPr>
        <w:t>, namely for national policy and for the Cohesion Policy</w:t>
      </w:r>
      <w:r w:rsidRPr="00293C19">
        <w:rPr>
          <w:rFonts w:eastAsia="TimesNewRoman" w:cs="Times New Roman"/>
          <w:szCs w:val="24"/>
        </w:rPr>
        <w:t>”</w:t>
      </w:r>
      <w:r w:rsidRPr="00293C19">
        <w:rPr>
          <w:rFonts w:eastAsia="TimesNewRoman" w:cs="Times New Roman"/>
          <w:szCs w:val="24"/>
          <w:lang w:val="sr-Cyrl-RS"/>
        </w:rPr>
        <w:t>.</w:t>
      </w:r>
      <w:r w:rsidRPr="00293C19">
        <w:rPr>
          <w:rFonts w:eastAsia="TimesNewRoman" w:cs="Times New Roman"/>
          <w:szCs w:val="24"/>
        </w:rPr>
        <w:t xml:space="preserve"> </w:t>
      </w:r>
    </w:p>
    <w:p w:rsidR="004D7000" w:rsidRPr="004D7000" w:rsidRDefault="004D7000" w:rsidP="00451AAB">
      <w:pPr>
        <w:pBdr>
          <w:top w:val="single" w:sz="4" w:space="1" w:color="auto"/>
          <w:left w:val="single" w:sz="4" w:space="4" w:color="auto"/>
          <w:bottom w:val="single" w:sz="4" w:space="1" w:color="auto"/>
          <w:right w:val="single" w:sz="4" w:space="4" w:color="auto"/>
        </w:pBdr>
        <w:rPr>
          <w:color w:val="000000"/>
        </w:rPr>
      </w:pPr>
      <w:r w:rsidRPr="001250AD">
        <w:t xml:space="preserve">As a consequence of insufficiently developed level of cooperation on the side of policy creation, implementation of the policies targeting social exclusion is also fragmented and not entirely </w:t>
      </w:r>
      <w:r w:rsidRPr="006B032E">
        <w:t>synchronized</w:t>
      </w:r>
      <w:r w:rsidRPr="001250AD">
        <w:t>.</w:t>
      </w:r>
      <w:r>
        <w:t xml:space="preserve"> There is a clear </w:t>
      </w:r>
      <w:r w:rsidRPr="004D7000">
        <w:rPr>
          <w:b/>
        </w:rPr>
        <w:t>need to merge a number of financial instruments</w:t>
      </w:r>
      <w:r>
        <w:t xml:space="preserve"> on the central and local level into a single stronger and joint mechanism. The Fund should improve the implementation of social inclusion measures envisaged in a number of laws and strategic documents. </w:t>
      </w:r>
    </w:p>
    <w:p w:rsidR="006B7850" w:rsidRPr="004D7000" w:rsidRDefault="004D7000" w:rsidP="00451AAB">
      <w:pPr>
        <w:pBdr>
          <w:top w:val="single" w:sz="4" w:space="1" w:color="auto"/>
          <w:left w:val="single" w:sz="4" w:space="4" w:color="auto"/>
          <w:bottom w:val="single" w:sz="4" w:space="1" w:color="auto"/>
          <w:right w:val="single" w:sz="4" w:space="4" w:color="auto"/>
        </w:pBdr>
        <w:rPr>
          <w:b/>
          <w:color w:val="000000"/>
          <w:lang w:val="sr-Cyrl-RS"/>
        </w:rPr>
      </w:pPr>
      <w:r>
        <w:rPr>
          <w:color w:val="000000"/>
        </w:rPr>
        <w:t xml:space="preserve">The establishment of the Fund for Social Inclusion shall insure: </w:t>
      </w:r>
      <w:r>
        <w:rPr>
          <w:b/>
          <w:color w:val="000000"/>
        </w:rPr>
        <w:t>effective decentralization, inter-sector networking and building partnerships, higher allocations on the local level (in line with the principle of complementary EU grants and earmarked transfers for the development of social protection services), more effective and efficient fulfillment of European integration commitments and monitoring the effects of implemented measures</w:t>
      </w:r>
      <w:r w:rsidR="006B7850" w:rsidRPr="004D7000">
        <w:rPr>
          <w:b/>
          <w:color w:val="000000"/>
          <w:lang w:val="sr-Cyrl-RS"/>
        </w:rPr>
        <w:t>.</w:t>
      </w:r>
    </w:p>
    <w:p w:rsidR="004D7000" w:rsidRDefault="004D7000" w:rsidP="00451AAB">
      <w:pPr>
        <w:pBdr>
          <w:top w:val="single" w:sz="4" w:space="1" w:color="auto"/>
          <w:left w:val="single" w:sz="4" w:space="4" w:color="auto"/>
          <w:bottom w:val="single" w:sz="4" w:space="1" w:color="auto"/>
          <w:right w:val="single" w:sz="4" w:space="4" w:color="auto"/>
        </w:pBdr>
        <w:rPr>
          <w:noProof/>
          <w:color w:val="000000"/>
        </w:rPr>
      </w:pPr>
      <w:r>
        <w:rPr>
          <w:noProof/>
          <w:color w:val="000000"/>
        </w:rPr>
        <w:t xml:space="preserve">In view of the preparation for European structural funds, primarily </w:t>
      </w:r>
      <w:r w:rsidRPr="004D7000">
        <w:rPr>
          <w:b/>
          <w:noProof/>
          <w:color w:val="000000"/>
        </w:rPr>
        <w:t>the European Social Fund</w:t>
      </w:r>
      <w:r>
        <w:rPr>
          <w:noProof/>
          <w:color w:val="000000"/>
        </w:rPr>
        <w:t xml:space="preserve">, having in mind the challenges relating to absorption and administrative capacities, coordination, timely EU funds management and co-financing flexibility, the Study lays out an option which would locate the majority of functions relating to the implementation of social inclusion measures to be financed by the future EU funds in </w:t>
      </w:r>
      <w:r w:rsidR="00451AAB">
        <w:rPr>
          <w:noProof/>
          <w:color w:val="000000"/>
        </w:rPr>
        <w:t xml:space="preserve">a single institution – the Social Inclusion Fund. Thus the Social Inclusion Fund will represent a pratical mechanism which is </w:t>
      </w:r>
      <w:r w:rsidR="00451AAB" w:rsidRPr="00451AAB">
        <w:rPr>
          <w:b/>
          <w:noProof/>
          <w:color w:val="000000"/>
        </w:rPr>
        <w:t>to ensure more EU funds targeting social inclusion is utilized</w:t>
      </w:r>
      <w:r w:rsidR="00451AAB">
        <w:rPr>
          <w:noProof/>
          <w:color w:val="000000"/>
        </w:rPr>
        <w:t xml:space="preserve">. </w:t>
      </w:r>
    </w:p>
    <w:p w:rsidR="006B7850" w:rsidRDefault="00451AAB" w:rsidP="00451AAB">
      <w:pPr>
        <w:pBdr>
          <w:top w:val="single" w:sz="4" w:space="1" w:color="auto"/>
          <w:left w:val="single" w:sz="4" w:space="4" w:color="auto"/>
          <w:bottom w:val="single" w:sz="4" w:space="1" w:color="auto"/>
          <w:right w:val="single" w:sz="4" w:space="4" w:color="auto"/>
        </w:pBdr>
        <w:rPr>
          <w:color w:val="000000"/>
        </w:rPr>
      </w:pPr>
      <w:r>
        <w:rPr>
          <w:szCs w:val="24"/>
          <w:lang w:val="en-GB"/>
        </w:rPr>
        <w:t>The Social Inclusion Fund would</w:t>
      </w:r>
      <w:r w:rsidRPr="00451AAB">
        <w:rPr>
          <w:szCs w:val="24"/>
          <w:lang w:val="en-GB"/>
        </w:rPr>
        <w:t xml:space="preserve"> </w:t>
      </w:r>
      <w:r>
        <w:rPr>
          <w:szCs w:val="24"/>
          <w:lang w:val="en-GB"/>
        </w:rPr>
        <w:t xml:space="preserve">have the role of an </w:t>
      </w:r>
      <w:r w:rsidR="007B6997">
        <w:rPr>
          <w:szCs w:val="24"/>
          <w:lang w:val="en-GB"/>
        </w:rPr>
        <w:t>authorized</w:t>
      </w:r>
      <w:r>
        <w:rPr>
          <w:szCs w:val="24"/>
          <w:lang w:val="en-GB"/>
        </w:rPr>
        <w:t xml:space="preserve"> </w:t>
      </w:r>
      <w:r w:rsidR="007B6997">
        <w:rPr>
          <w:szCs w:val="24"/>
          <w:lang w:val="en-GB"/>
        </w:rPr>
        <w:t xml:space="preserve">contracting </w:t>
      </w:r>
      <w:r>
        <w:rPr>
          <w:szCs w:val="24"/>
          <w:lang w:val="en-GB"/>
        </w:rPr>
        <w:t>body in the future operating structu</w:t>
      </w:r>
      <w:r w:rsidR="007B6997">
        <w:rPr>
          <w:szCs w:val="24"/>
          <w:lang w:val="en-GB"/>
        </w:rPr>
        <w:t>re for employment, social policies</w:t>
      </w:r>
      <w:r>
        <w:rPr>
          <w:szCs w:val="24"/>
          <w:lang w:val="en-GB"/>
        </w:rPr>
        <w:t xml:space="preserve"> and human resources development of the next financial perspective – more specifically, it would take over some functions from the Department for Contracting and Financing of EU Funded Projects</w:t>
      </w:r>
      <w:r>
        <w:rPr>
          <w:noProof/>
          <w:color w:val="000000"/>
        </w:rPr>
        <w:t xml:space="preserve"> within the Ministry of Finance and Economy. This solution is based on a number of examples from EU member states and candidate states.</w:t>
      </w:r>
      <w:r w:rsidR="006B7850" w:rsidRPr="004D7000">
        <w:rPr>
          <w:color w:val="000000"/>
          <w:lang w:val="sr-Cyrl-RS"/>
        </w:rPr>
        <w:t xml:space="preserve"> </w:t>
      </w:r>
    </w:p>
    <w:p w:rsidR="00451AAB" w:rsidRPr="00451AAB" w:rsidRDefault="00451AAB" w:rsidP="00451AAB">
      <w:pPr>
        <w:pBdr>
          <w:top w:val="single" w:sz="4" w:space="1" w:color="auto"/>
          <w:left w:val="single" w:sz="4" w:space="4" w:color="auto"/>
          <w:bottom w:val="single" w:sz="4" w:space="1" w:color="auto"/>
          <w:right w:val="single" w:sz="4" w:space="4" w:color="auto"/>
        </w:pBdr>
        <w:rPr>
          <w:color w:val="000000"/>
        </w:rPr>
      </w:pPr>
      <w:r>
        <w:rPr>
          <w:lang w:val="en-GB"/>
        </w:rPr>
        <w:t>A</w:t>
      </w:r>
      <w:r w:rsidR="007B554E">
        <w:rPr>
          <w:lang w:val="en-GB"/>
        </w:rPr>
        <w:t>n</w:t>
      </w:r>
      <w:r>
        <w:rPr>
          <w:lang w:val="en-GB"/>
        </w:rPr>
        <w:t xml:space="preserve"> </w:t>
      </w:r>
      <w:r w:rsidR="007B554E">
        <w:rPr>
          <w:lang w:val="en-GB"/>
        </w:rPr>
        <w:t>optimal</w:t>
      </w:r>
      <w:r>
        <w:rPr>
          <w:lang w:val="en-GB"/>
        </w:rPr>
        <w:t xml:space="preserve"> </w:t>
      </w:r>
      <w:r w:rsidR="007B554E">
        <w:rPr>
          <w:lang w:val="en-GB"/>
        </w:rPr>
        <w:t xml:space="preserve">next </w:t>
      </w:r>
      <w:r>
        <w:rPr>
          <w:lang w:val="en-GB"/>
        </w:rPr>
        <w:t xml:space="preserve">step in the initiative to establish the Fund for Social Inclusion </w:t>
      </w:r>
      <w:r w:rsidR="007B554E">
        <w:rPr>
          <w:lang w:val="en-GB"/>
        </w:rPr>
        <w:t>would be</w:t>
      </w:r>
      <w:r>
        <w:rPr>
          <w:lang w:val="en-GB"/>
        </w:rPr>
        <w:t xml:space="preserve"> the preparation of the </w:t>
      </w:r>
      <w:r w:rsidRPr="00451AAB">
        <w:rPr>
          <w:b/>
          <w:lang w:val="en-GB"/>
        </w:rPr>
        <w:t>feasibility study on the establishment of the Fund</w:t>
      </w:r>
      <w:r>
        <w:rPr>
          <w:lang w:val="en-GB"/>
        </w:rPr>
        <w:t xml:space="preserve">, which would cover a wide range of issues indicated by the respondents of the consultations conducted during this study. These issues relate to: the methodology, strategic framework, the establishment and functions, structure, financial and human resources, as well as partnerships with civil society. </w:t>
      </w:r>
    </w:p>
    <w:p w:rsidR="001243DA" w:rsidRPr="004D7000" w:rsidRDefault="001243DA" w:rsidP="00451AAB">
      <w:pPr>
        <w:spacing w:before="0" w:after="200"/>
        <w:rPr>
          <w:rFonts w:asciiTheme="majorHAnsi" w:eastAsiaTheme="majorEastAsia" w:hAnsiTheme="majorHAnsi" w:cstheme="majorBidi"/>
          <w:b/>
          <w:bCs/>
          <w:caps/>
          <w:color w:val="365F91" w:themeColor="accent1" w:themeShade="BF"/>
          <w:sz w:val="32"/>
          <w:szCs w:val="28"/>
          <w:u w:val="single"/>
        </w:rPr>
      </w:pPr>
      <w:r w:rsidRPr="00451AAB">
        <w:rPr>
          <w:b/>
          <w:sz w:val="28"/>
        </w:rPr>
        <w:br w:type="page"/>
      </w:r>
    </w:p>
    <w:p w:rsidR="00AE1884" w:rsidRPr="00F4424E" w:rsidRDefault="00BE5D5B" w:rsidP="00B04284">
      <w:pPr>
        <w:pStyle w:val="Heading1"/>
        <w:numPr>
          <w:ilvl w:val="0"/>
          <w:numId w:val="0"/>
        </w:numPr>
        <w:rPr>
          <w:rStyle w:val="IntenseReference"/>
          <w:b/>
          <w:bCs/>
          <w:smallCaps w:val="0"/>
          <w:color w:val="365F91" w:themeColor="accent1" w:themeShade="BF"/>
          <w:spacing w:val="0"/>
        </w:rPr>
      </w:pPr>
      <w:bookmarkStart w:id="1" w:name="_Toc353200751"/>
      <w:r w:rsidRPr="00B04284">
        <w:t>Introduction</w:t>
      </w:r>
      <w:bookmarkEnd w:id="1"/>
    </w:p>
    <w:p w:rsidR="00CD1E75" w:rsidRPr="00D715EF" w:rsidRDefault="00CD1E75" w:rsidP="00A51DD4">
      <w:pPr>
        <w:autoSpaceDE w:val="0"/>
        <w:autoSpaceDN w:val="0"/>
        <w:adjustRightInd w:val="0"/>
        <w:spacing w:before="0" w:after="0"/>
      </w:pPr>
      <w:r w:rsidRPr="00D715EF">
        <w:rPr>
          <w:b/>
          <w:lang w:val="en-GB"/>
        </w:rPr>
        <w:t xml:space="preserve">The aim of this </w:t>
      </w:r>
      <w:r w:rsidR="00460BF5" w:rsidRPr="00D715EF">
        <w:rPr>
          <w:b/>
          <w:lang w:val="en-GB"/>
        </w:rPr>
        <w:t xml:space="preserve">study </w:t>
      </w:r>
      <w:r w:rsidRPr="00D715EF">
        <w:rPr>
          <w:b/>
          <w:lang w:val="en-GB"/>
        </w:rPr>
        <w:t xml:space="preserve">is to </w:t>
      </w:r>
      <w:r w:rsidR="002741FF" w:rsidRPr="00D715EF">
        <w:rPr>
          <w:b/>
          <w:lang w:val="en-GB"/>
        </w:rPr>
        <w:t xml:space="preserve">explore the options for the establishment of the Social Inclusion Fund, as </w:t>
      </w:r>
      <w:r w:rsidRPr="00D715EF">
        <w:rPr>
          <w:b/>
          <w:lang w:val="en-GB"/>
        </w:rPr>
        <w:t xml:space="preserve">the most suitable model for the </w:t>
      </w:r>
      <w:r w:rsidRPr="00D715EF">
        <w:rPr>
          <w:b/>
          <w:szCs w:val="24"/>
          <w:lang w:val="en-GB"/>
        </w:rPr>
        <w:t xml:space="preserve">support of </w:t>
      </w:r>
      <w:r w:rsidR="000307D0" w:rsidRPr="00D715EF">
        <w:rPr>
          <w:b/>
          <w:szCs w:val="24"/>
          <w:lang w:val="en-GB"/>
        </w:rPr>
        <w:t xml:space="preserve">implementation of the </w:t>
      </w:r>
      <w:r w:rsidRPr="00D715EF">
        <w:rPr>
          <w:b/>
          <w:szCs w:val="24"/>
          <w:lang w:val="en-GB"/>
        </w:rPr>
        <w:t>programmes for social inclusion of vulnerable groups in the Republic of Serbia</w:t>
      </w:r>
      <w:r w:rsidR="002741FF" w:rsidRPr="00D715EF">
        <w:rPr>
          <w:b/>
          <w:szCs w:val="24"/>
          <w:lang w:val="en-GB"/>
        </w:rPr>
        <w:t xml:space="preserve">. This need was identified by the First National Report on Social Inclusion and Poverty Reduction. The aim of the initiative is </w:t>
      </w:r>
      <w:r w:rsidRPr="00D715EF">
        <w:rPr>
          <w:b/>
          <w:szCs w:val="24"/>
          <w:lang w:val="en-GB"/>
        </w:rPr>
        <w:t>to contribute to more efficient and successful utilisation of the available national and future EU funds earmarked for social inclusion</w:t>
      </w:r>
      <w:r w:rsidRPr="00D715EF">
        <w:rPr>
          <w:rFonts w:cs="Times New Roman"/>
          <w:b/>
          <w:szCs w:val="24"/>
          <w:lang w:val="en-GB"/>
        </w:rPr>
        <w:t>.</w:t>
      </w:r>
      <w:r w:rsidR="002741FF" w:rsidRPr="00D715EF">
        <w:rPr>
          <w:rFonts w:cs="Times New Roman"/>
          <w:b/>
          <w:szCs w:val="24"/>
          <w:lang w:val="en-GB"/>
        </w:rPr>
        <w:t xml:space="preserve"> </w:t>
      </w:r>
      <w:r w:rsidR="00A51DD4" w:rsidRPr="00D715EF">
        <w:rPr>
          <w:rFonts w:cs="Times New Roman"/>
          <w:b/>
          <w:szCs w:val="24"/>
          <w:lang w:val="en-GB"/>
        </w:rPr>
        <w:t xml:space="preserve">It </w:t>
      </w:r>
      <w:r w:rsidR="00CF3769">
        <w:rPr>
          <w:rFonts w:cs="Times New Roman"/>
          <w:b/>
          <w:szCs w:val="24"/>
          <w:lang w:val="en-GB"/>
        </w:rPr>
        <w:t>represents an attempt to tackle the</w:t>
      </w:r>
      <w:r w:rsidR="00A51DD4" w:rsidRPr="00D715EF">
        <w:rPr>
          <w:rFonts w:cs="Times New Roman"/>
          <w:b/>
          <w:szCs w:val="24"/>
          <w:lang w:val="en-GB"/>
        </w:rPr>
        <w:t xml:space="preserve"> challenges identified by the EC Progress report on Serbia (2012) according to which “</w:t>
      </w:r>
      <w:r w:rsidR="00A51DD4" w:rsidRPr="00D715EF">
        <w:rPr>
          <w:rFonts w:eastAsia="TimesNewRoman" w:cs="Times New Roman"/>
          <w:b/>
          <w:szCs w:val="24"/>
          <w:lang w:val="sr-Cyrl-RS"/>
        </w:rPr>
        <w:t>efforts are needed</w:t>
      </w:r>
      <w:r w:rsidR="00A51DD4" w:rsidRPr="00D715EF">
        <w:rPr>
          <w:rFonts w:eastAsia="TimesNewRoman" w:cs="Times New Roman"/>
          <w:b/>
          <w:szCs w:val="24"/>
        </w:rPr>
        <w:t xml:space="preserve"> </w:t>
      </w:r>
      <w:r w:rsidR="00A51DD4" w:rsidRPr="00D715EF">
        <w:rPr>
          <w:rFonts w:eastAsia="TimesNewRoman" w:cs="Times New Roman"/>
          <w:b/>
          <w:szCs w:val="24"/>
          <w:lang w:val="sr-Cyrl-RS"/>
        </w:rPr>
        <w:t>to avoid the parallel systems, namely for national policy and for the Cohesion Policy</w:t>
      </w:r>
      <w:r w:rsidR="006B7850" w:rsidRPr="00D715EF">
        <w:rPr>
          <w:rFonts w:eastAsia="TimesNewRoman" w:cs="Times New Roman"/>
          <w:b/>
          <w:szCs w:val="24"/>
        </w:rPr>
        <w:t>”</w:t>
      </w:r>
      <w:r w:rsidR="00A51DD4" w:rsidRPr="00D715EF">
        <w:rPr>
          <w:rFonts w:eastAsia="TimesNewRoman" w:cs="Times New Roman"/>
          <w:b/>
          <w:szCs w:val="24"/>
          <w:lang w:val="sr-Cyrl-RS"/>
        </w:rPr>
        <w:t>.</w:t>
      </w:r>
      <w:r w:rsidR="00BF0553" w:rsidRPr="00D715EF">
        <w:rPr>
          <w:rFonts w:eastAsia="TimesNewRoman" w:cs="Times New Roman"/>
          <w:b/>
          <w:szCs w:val="24"/>
        </w:rPr>
        <w:t xml:space="preserve"> </w:t>
      </w:r>
      <w:r w:rsidR="00CF3769">
        <w:rPr>
          <w:rFonts w:eastAsia="TimesNewRoman" w:cs="Times New Roman"/>
          <w:b/>
          <w:szCs w:val="24"/>
        </w:rPr>
        <w:t>It should be underlined that such a model would be most effective upon the adoption of a wider strategic framework for poverty reduction and social inclusion, in line with the priorities laid down in the E</w:t>
      </w:r>
      <w:r w:rsidR="007B554E">
        <w:rPr>
          <w:rFonts w:eastAsia="TimesNewRoman" w:cs="Times New Roman"/>
          <w:b/>
          <w:szCs w:val="24"/>
        </w:rPr>
        <w:t>urope</w:t>
      </w:r>
      <w:r w:rsidR="00CF3769">
        <w:rPr>
          <w:rFonts w:eastAsia="TimesNewRoman" w:cs="Times New Roman"/>
          <w:b/>
          <w:szCs w:val="24"/>
        </w:rPr>
        <w:t xml:space="preserve"> 2020 Strategy and the Open Method of Coordination in the field of social protection and social inclusion.</w:t>
      </w:r>
    </w:p>
    <w:p w:rsidR="00293C19" w:rsidRPr="00293C19" w:rsidRDefault="00293C19" w:rsidP="00A07B29">
      <w:pPr>
        <w:rPr>
          <w:szCs w:val="24"/>
        </w:rPr>
      </w:pPr>
      <w:bookmarkStart w:id="2" w:name="_Toc330558969"/>
      <w:r>
        <w:rPr>
          <w:szCs w:val="24"/>
        </w:rPr>
        <w:t xml:space="preserve">The Study is founded on the following assumptions: 1) the Fund for Social Inclusion will tackle </w:t>
      </w:r>
      <w:r w:rsidRPr="00293C19">
        <w:rPr>
          <w:b/>
          <w:i/>
          <w:szCs w:val="24"/>
        </w:rPr>
        <w:t>the cross-sector issues of social inclusion</w:t>
      </w:r>
      <w:r>
        <w:rPr>
          <w:b/>
          <w:szCs w:val="24"/>
        </w:rPr>
        <w:t xml:space="preserve">, </w:t>
      </w:r>
      <w:r>
        <w:rPr>
          <w:szCs w:val="24"/>
        </w:rPr>
        <w:t xml:space="preserve">which should be further elaborated having in mind the context; 2) the </w:t>
      </w:r>
      <w:r w:rsidRPr="00293C19">
        <w:rPr>
          <w:szCs w:val="24"/>
        </w:rPr>
        <w:t xml:space="preserve">Fund for Social Inclusion will </w:t>
      </w:r>
      <w:r w:rsidRPr="00293C19">
        <w:rPr>
          <w:b/>
          <w:i/>
          <w:szCs w:val="24"/>
        </w:rPr>
        <w:t>respect the existing legal and institution environment</w:t>
      </w:r>
      <w:r w:rsidRPr="00293C19">
        <w:rPr>
          <w:b/>
          <w:szCs w:val="24"/>
        </w:rPr>
        <w:t>.</w:t>
      </w:r>
      <w:r w:rsidRPr="00293C19">
        <w:rPr>
          <w:szCs w:val="24"/>
        </w:rPr>
        <w:t xml:space="preserve"> </w:t>
      </w:r>
      <w:r w:rsidRPr="00293C19">
        <w:rPr>
          <w:b/>
          <w:szCs w:val="24"/>
        </w:rPr>
        <w:t xml:space="preserve"> </w:t>
      </w:r>
      <w:r w:rsidRPr="00293C19">
        <w:rPr>
          <w:szCs w:val="24"/>
        </w:rPr>
        <w:t xml:space="preserve">Furthermore, it should be mentioned that the document relies on the experiences of previous interventions and existing structures relating to the process of social inclusion in the Republic of Serbia. </w:t>
      </w:r>
    </w:p>
    <w:p w:rsidR="00A07B29" w:rsidRDefault="00293C19" w:rsidP="00A07B29">
      <w:pPr>
        <w:pStyle w:val="2"/>
        <w:rPr>
          <w:b/>
          <w:i w:val="0"/>
          <w:szCs w:val="24"/>
        </w:rPr>
      </w:pPr>
      <w:r>
        <w:rPr>
          <w:rFonts w:eastAsia="Times New Roman"/>
          <w:i w:val="0"/>
          <w:szCs w:val="24"/>
          <w:lang w:val="en-GB"/>
        </w:rPr>
        <w:t>The establishment of the</w:t>
      </w:r>
      <w:r w:rsidR="00B1571C" w:rsidRPr="00293C19">
        <w:rPr>
          <w:rFonts w:eastAsia="Times New Roman"/>
          <w:b/>
          <w:i w:val="0"/>
          <w:szCs w:val="24"/>
          <w:lang w:val="en-GB"/>
        </w:rPr>
        <w:t xml:space="preserve"> Social Inclusion Fund </w:t>
      </w:r>
      <w:r w:rsidR="007B554E" w:rsidRPr="007B554E">
        <w:rPr>
          <w:rFonts w:eastAsia="Times New Roman"/>
          <w:i w:val="0"/>
          <w:szCs w:val="24"/>
          <w:lang w:val="en-GB"/>
        </w:rPr>
        <w:t>w</w:t>
      </w:r>
      <w:r w:rsidR="00B1571C" w:rsidRPr="00293C19">
        <w:rPr>
          <w:rFonts w:eastAsia="Times New Roman"/>
          <w:i w:val="0"/>
          <w:szCs w:val="24"/>
          <w:lang w:val="en-GB"/>
        </w:rPr>
        <w:t>ould enable more effective and efficient support to social inclusion of vulnerable population in the Republic of Serbia. The Fund should improve the implementation of social inclusion measures</w:t>
      </w:r>
      <w:r w:rsidR="00B1571C" w:rsidRPr="00293C19">
        <w:rPr>
          <w:rFonts w:eastAsia="Times New Roman"/>
          <w:b/>
          <w:i w:val="0"/>
          <w:szCs w:val="24"/>
          <w:lang w:val="en-GB"/>
        </w:rPr>
        <w:t xml:space="preserve"> </w:t>
      </w:r>
      <w:r w:rsidR="00B1571C" w:rsidRPr="00293C19">
        <w:rPr>
          <w:rFonts w:eastAsia="Times New Roman"/>
          <w:i w:val="0"/>
          <w:szCs w:val="24"/>
          <w:lang w:val="en-GB"/>
        </w:rPr>
        <w:t xml:space="preserve">foreseen by many laws and strategic documents. To establish the Fund, </w:t>
      </w:r>
      <w:r w:rsidR="00B1571C" w:rsidRPr="00293C19">
        <w:rPr>
          <w:rFonts w:eastAsia="Times New Roman"/>
          <w:b/>
          <w:i w:val="0"/>
          <w:szCs w:val="24"/>
          <w:lang w:val="en-GB"/>
        </w:rPr>
        <w:t>no additional funding or staff is required</w:t>
      </w:r>
      <w:r w:rsidR="00B1571C" w:rsidRPr="00293C19">
        <w:rPr>
          <w:rFonts w:eastAsia="Times New Roman"/>
          <w:i w:val="0"/>
          <w:szCs w:val="24"/>
          <w:lang w:val="en-GB"/>
        </w:rPr>
        <w:t xml:space="preserve">; instead, more effective results could be achieved through normative changes and better allocation of the existing resources. </w:t>
      </w:r>
      <w:r w:rsidRPr="00293C19">
        <w:rPr>
          <w:rFonts w:eastAsia="Times New Roman"/>
          <w:i w:val="0"/>
          <w:szCs w:val="24"/>
          <w:lang w:val="en-GB"/>
        </w:rPr>
        <w:t>The Fund could be an example of doing more with less</w:t>
      </w:r>
      <w:r w:rsidRPr="00293C19">
        <w:rPr>
          <w:i w:val="0"/>
          <w:szCs w:val="24"/>
          <w:lang w:val="sr-Cyrl-RS"/>
        </w:rPr>
        <w:t>.</w:t>
      </w:r>
      <w:r w:rsidR="00B1571C" w:rsidRPr="00293C19">
        <w:rPr>
          <w:rFonts w:eastAsia="Times New Roman"/>
          <w:i w:val="0"/>
          <w:szCs w:val="24"/>
          <w:lang w:val="en-GB"/>
        </w:rPr>
        <w:t xml:space="preserve"> </w:t>
      </w:r>
      <w:r>
        <w:rPr>
          <w:b/>
          <w:i w:val="0"/>
          <w:szCs w:val="24"/>
        </w:rPr>
        <w:t>To achieve this, it is necessary to make a decision to merge specific budget funds and administrative resources</w:t>
      </w:r>
      <w:r w:rsidR="00A07B29" w:rsidRPr="00293C19">
        <w:rPr>
          <w:b/>
          <w:i w:val="0"/>
          <w:szCs w:val="24"/>
          <w:lang w:val="sr-Cyrl-RS"/>
        </w:rPr>
        <w:t>.</w:t>
      </w:r>
    </w:p>
    <w:p w:rsidR="00825124" w:rsidRPr="00825124" w:rsidRDefault="00825124" w:rsidP="00825124">
      <w:pPr>
        <w:spacing w:line="240" w:lineRule="auto"/>
        <w:rPr>
          <w:rFonts w:cs="Times New Roman"/>
          <w:b/>
          <w:lang w:val="en-GB"/>
        </w:rPr>
      </w:pPr>
      <w:r w:rsidRPr="00825124">
        <w:rPr>
          <w:rFonts w:eastAsia="Times New Roman"/>
          <w:b/>
          <w:lang w:val="en-GB"/>
        </w:rPr>
        <w:t xml:space="preserve">The achievement of the identified mission of the Fund for Social Inclusion would ensure: </w:t>
      </w:r>
    </w:p>
    <w:p w:rsidR="00825124" w:rsidRPr="000D301C" w:rsidRDefault="00825124" w:rsidP="00351681">
      <w:pPr>
        <w:pStyle w:val="ListParagraph"/>
        <w:numPr>
          <w:ilvl w:val="0"/>
          <w:numId w:val="30"/>
        </w:numPr>
        <w:spacing w:line="240" w:lineRule="auto"/>
        <w:ind w:left="357" w:hanging="357"/>
        <w:contextualSpacing w:val="0"/>
        <w:rPr>
          <w:rFonts w:cs="Times New Roman"/>
          <w:b/>
          <w:u w:val="single"/>
          <w:lang w:val="en-GB"/>
        </w:rPr>
      </w:pPr>
      <w:r w:rsidRPr="000D301C">
        <w:rPr>
          <w:rFonts w:eastAsia="Times New Roman"/>
          <w:b/>
          <w:u w:val="single"/>
          <w:lang w:val="en-GB"/>
        </w:rPr>
        <w:t>Effective decentralisation</w:t>
      </w:r>
    </w:p>
    <w:p w:rsidR="00A07B29" w:rsidRPr="00387100" w:rsidRDefault="00825124" w:rsidP="00825124">
      <w:pPr>
        <w:pStyle w:val="ListParagraph"/>
        <w:spacing w:line="240" w:lineRule="auto"/>
        <w:ind w:left="360"/>
        <w:contextualSpacing w:val="0"/>
        <w:rPr>
          <w:sz w:val="22"/>
          <w:lang w:eastAsia="sr-Cyrl-RS"/>
        </w:rPr>
      </w:pPr>
      <w:r w:rsidRPr="000D301C">
        <w:rPr>
          <w:rFonts w:eastAsia="Times New Roman"/>
          <w:i/>
          <w:lang w:val="en-GB"/>
        </w:rPr>
        <w:t xml:space="preserve">The Fund </w:t>
      </w:r>
      <w:r w:rsidRPr="000D301C">
        <w:rPr>
          <w:rFonts w:eastAsia="Times New Roman"/>
          <w:lang w:val="en-GB"/>
        </w:rPr>
        <w:t>will provide an incentive for local governments to implement social inclusion and poverty reduction measures more efficiently within the</w:t>
      </w:r>
      <w:r>
        <w:rPr>
          <w:rFonts w:eastAsia="Times New Roman"/>
          <w:lang w:val="en-GB"/>
        </w:rPr>
        <w:t>ir devolved</w:t>
      </w:r>
      <w:r w:rsidRPr="000D301C">
        <w:rPr>
          <w:rFonts w:eastAsia="Times New Roman"/>
          <w:lang w:val="en-GB"/>
        </w:rPr>
        <w:t xml:space="preserve"> competences (e.g. social welfare services, intersectoral committees for additional support to children, local employment councils, support for poor children</w:t>
      </w:r>
      <w:r>
        <w:rPr>
          <w:rFonts w:eastAsia="Times New Roman"/>
          <w:lang w:val="en-GB"/>
        </w:rPr>
        <w:t xml:space="preserve"> </w:t>
      </w:r>
      <w:r w:rsidRPr="00387100">
        <w:rPr>
          <w:rFonts w:eastAsia="Times New Roman"/>
          <w:lang w:val="en-GB"/>
        </w:rPr>
        <w:t xml:space="preserve">in education, social housing, </w:t>
      </w:r>
      <w:r w:rsidR="007B554E" w:rsidRPr="00387100">
        <w:rPr>
          <w:rFonts w:eastAsia="Times New Roman"/>
          <w:lang w:val="en-GB"/>
        </w:rPr>
        <w:t>etc.</w:t>
      </w:r>
      <w:r w:rsidRPr="00387100">
        <w:rPr>
          <w:rFonts w:eastAsia="Times New Roman"/>
          <w:lang w:val="en-GB"/>
        </w:rPr>
        <w:t>). Thus contribution will be made to the implementation of the current and future legislative framework laying down the competencies and financing of local self-government, and thus will contribute to the elimination of the obstacle underlined by the European Commission in the Progress Report for Serbia (2012): “</w:t>
      </w:r>
      <w:r w:rsidR="007B554E">
        <w:rPr>
          <w:rFonts w:eastAsia="Times New Roman"/>
          <w:lang w:val="en-GB"/>
        </w:rPr>
        <w:t>C</w:t>
      </w:r>
      <w:r w:rsidRPr="00387100">
        <w:rPr>
          <w:rFonts w:eastAsia="Times New Roman"/>
          <w:lang w:val="en-GB"/>
        </w:rPr>
        <w:t>ompetencies are still conferred without a provision of sufficient capacities and resources on the local level</w:t>
      </w:r>
      <w:r w:rsidR="00A07B29" w:rsidRPr="00387100">
        <w:rPr>
          <w:sz w:val="22"/>
          <w:lang w:val="sr-Cyrl-RS" w:eastAsia="sr-Cyrl-RS"/>
        </w:rPr>
        <w:t>“.</w:t>
      </w:r>
    </w:p>
    <w:p w:rsidR="00825124" w:rsidRPr="00387100" w:rsidRDefault="00825124" w:rsidP="00351681">
      <w:pPr>
        <w:pStyle w:val="ListParagraph"/>
        <w:numPr>
          <w:ilvl w:val="0"/>
          <w:numId w:val="30"/>
        </w:numPr>
        <w:spacing w:line="240" w:lineRule="auto"/>
        <w:ind w:left="357" w:hanging="357"/>
        <w:contextualSpacing w:val="0"/>
        <w:rPr>
          <w:rFonts w:cs="Times New Roman"/>
          <w:b/>
          <w:u w:val="single"/>
          <w:lang w:val="en-GB"/>
        </w:rPr>
      </w:pPr>
      <w:r w:rsidRPr="00387100">
        <w:rPr>
          <w:rFonts w:eastAsia="Times New Roman"/>
          <w:b/>
          <w:u w:val="single"/>
          <w:lang w:val="en-GB"/>
        </w:rPr>
        <w:t xml:space="preserve">Local reforms and capacity building </w:t>
      </w:r>
    </w:p>
    <w:p w:rsidR="00825124" w:rsidRDefault="00825124" w:rsidP="00825124">
      <w:pPr>
        <w:pStyle w:val="ListParagraph"/>
        <w:spacing w:line="240" w:lineRule="auto"/>
        <w:ind w:left="360"/>
        <w:contextualSpacing w:val="0"/>
        <w:rPr>
          <w:rFonts w:eastAsia="Times New Roman"/>
          <w:lang w:val="en-GB"/>
        </w:rPr>
      </w:pPr>
      <w:r w:rsidRPr="000D301C">
        <w:rPr>
          <w:rFonts w:eastAsia="Times New Roman"/>
          <w:i/>
          <w:lang w:val="en-GB"/>
        </w:rPr>
        <w:t xml:space="preserve">The Fund </w:t>
      </w:r>
      <w:r w:rsidRPr="000D301C">
        <w:rPr>
          <w:rFonts w:eastAsia="Times New Roman"/>
          <w:lang w:val="en-GB"/>
        </w:rPr>
        <w:t xml:space="preserve">will enable building local governments' capacities to apply the rules defined at the national level, in compliance with the EU standards. </w:t>
      </w:r>
      <w:r w:rsidRPr="000D301C">
        <w:rPr>
          <w:rFonts w:eastAsia="Times New Roman"/>
          <w:i/>
          <w:lang w:val="en-GB"/>
        </w:rPr>
        <w:t xml:space="preserve">The Fund </w:t>
      </w:r>
      <w:r w:rsidRPr="000D301C">
        <w:rPr>
          <w:rFonts w:eastAsia="Times New Roman"/>
          <w:lang w:val="en-GB"/>
        </w:rPr>
        <w:t xml:space="preserve">will facilitate developing innovative practices and pilot-projects for all to learn from, including national policy makers. </w:t>
      </w:r>
    </w:p>
    <w:p w:rsidR="00825124" w:rsidRPr="000D301C" w:rsidRDefault="00825124" w:rsidP="00351681">
      <w:pPr>
        <w:pStyle w:val="ListParagraph"/>
        <w:numPr>
          <w:ilvl w:val="0"/>
          <w:numId w:val="30"/>
        </w:numPr>
        <w:spacing w:line="240" w:lineRule="auto"/>
        <w:ind w:left="357" w:hanging="357"/>
        <w:contextualSpacing w:val="0"/>
        <w:rPr>
          <w:rFonts w:cs="Times New Roman"/>
          <w:b/>
          <w:u w:val="single"/>
          <w:lang w:val="en-GB"/>
        </w:rPr>
      </w:pPr>
      <w:r w:rsidRPr="000D301C">
        <w:rPr>
          <w:rFonts w:eastAsia="Times New Roman"/>
          <w:b/>
          <w:u w:val="single"/>
          <w:lang w:val="en-GB"/>
        </w:rPr>
        <w:t xml:space="preserve">Intersectoral networking and building partnerships </w:t>
      </w:r>
    </w:p>
    <w:p w:rsidR="00825124" w:rsidRPr="000D301C" w:rsidRDefault="00825124" w:rsidP="00825124">
      <w:pPr>
        <w:pStyle w:val="ListParagraph"/>
        <w:spacing w:line="240" w:lineRule="auto"/>
        <w:ind w:left="360"/>
        <w:contextualSpacing w:val="0"/>
        <w:rPr>
          <w:rFonts w:cs="Times New Roman"/>
          <w:lang w:val="en-GB"/>
        </w:rPr>
      </w:pPr>
      <w:r w:rsidRPr="000D301C">
        <w:rPr>
          <w:rFonts w:eastAsia="Times New Roman"/>
          <w:lang w:val="en-GB"/>
        </w:rPr>
        <w:t xml:space="preserve">Establishing the </w:t>
      </w:r>
      <w:r w:rsidRPr="000D301C">
        <w:rPr>
          <w:rFonts w:eastAsia="Times New Roman"/>
          <w:i/>
          <w:lang w:val="en-GB"/>
        </w:rPr>
        <w:t>Fund</w:t>
      </w:r>
      <w:r w:rsidRPr="000D301C">
        <w:rPr>
          <w:rFonts w:eastAsia="Times New Roman"/>
          <w:lang w:val="en-GB"/>
        </w:rPr>
        <w:t xml:space="preserve"> will strengthen intersectoral cooperation and provide a platform for better coordination of social inclusion policy implementation in Serbia. The growing legal and strategic framework, local governments' extended competencies and fiscal restrictions result in unsatisfactory coordination among partners and institutions at all levels. By establishing the </w:t>
      </w:r>
      <w:r w:rsidRPr="000D301C">
        <w:rPr>
          <w:rFonts w:eastAsia="Times New Roman"/>
          <w:i/>
          <w:lang w:val="en-GB"/>
        </w:rPr>
        <w:t>Fund</w:t>
      </w:r>
      <w:r w:rsidRPr="000D301C">
        <w:rPr>
          <w:rFonts w:eastAsia="Times New Roman"/>
          <w:lang w:val="en-GB"/>
        </w:rPr>
        <w:t xml:space="preserve">, this challenge will partly be overcome – it will become possible to merge dispersed budget funds and initiatives at the national level into a more powerful mechanism, and building partnerships among institutions, </w:t>
      </w:r>
      <w:r>
        <w:rPr>
          <w:rFonts w:eastAsia="Times New Roman"/>
          <w:lang w:val="en-GB"/>
        </w:rPr>
        <w:t>civil society</w:t>
      </w:r>
      <w:r w:rsidRPr="000D301C">
        <w:rPr>
          <w:rFonts w:eastAsia="Times New Roman"/>
          <w:lang w:val="en-GB"/>
        </w:rPr>
        <w:t xml:space="preserve"> organisations and social partners at the local level will be promoted. </w:t>
      </w:r>
    </w:p>
    <w:p w:rsidR="00825124" w:rsidRPr="000D301C" w:rsidRDefault="00825124" w:rsidP="00351681">
      <w:pPr>
        <w:pStyle w:val="ListParagraph"/>
        <w:numPr>
          <w:ilvl w:val="0"/>
          <w:numId w:val="30"/>
        </w:numPr>
        <w:spacing w:line="240" w:lineRule="auto"/>
        <w:ind w:left="357" w:hanging="357"/>
        <w:contextualSpacing w:val="0"/>
        <w:rPr>
          <w:rFonts w:cs="Times New Roman"/>
          <w:b/>
          <w:u w:val="single"/>
          <w:lang w:val="en-GB"/>
        </w:rPr>
      </w:pPr>
      <w:r w:rsidRPr="000D301C">
        <w:rPr>
          <w:rFonts w:eastAsia="Times New Roman"/>
          <w:b/>
          <w:u w:val="single"/>
          <w:lang w:val="en-GB"/>
        </w:rPr>
        <w:t>Higher allocations at the local level (through complementary grants)</w:t>
      </w:r>
    </w:p>
    <w:p w:rsidR="00825124" w:rsidRPr="000D301C" w:rsidRDefault="00825124" w:rsidP="00825124">
      <w:pPr>
        <w:pStyle w:val="ListParagraph"/>
        <w:spacing w:line="240" w:lineRule="auto"/>
        <w:ind w:left="360"/>
        <w:contextualSpacing w:val="0"/>
        <w:rPr>
          <w:rFonts w:cs="Times New Roman"/>
          <w:lang w:val="en-GB"/>
        </w:rPr>
      </w:pPr>
      <w:r w:rsidRPr="000D301C">
        <w:rPr>
          <w:rFonts w:eastAsia="Times New Roman"/>
          <w:lang w:val="en-GB"/>
        </w:rPr>
        <w:t xml:space="preserve">Co-financing projects and delivering pertinent training will encourage local governments to increase their budget allocations for social inclusion measures. Establishing the </w:t>
      </w:r>
      <w:r w:rsidRPr="000D301C">
        <w:rPr>
          <w:rFonts w:eastAsia="Times New Roman"/>
          <w:i/>
          <w:lang w:val="en-GB"/>
        </w:rPr>
        <w:t>Fund</w:t>
      </w:r>
      <w:r w:rsidRPr="000D301C">
        <w:rPr>
          <w:rFonts w:eastAsia="Times New Roman"/>
          <w:lang w:val="en-GB"/>
        </w:rPr>
        <w:t xml:space="preserve"> will result in pooling the investments from the central government level (including </w:t>
      </w:r>
      <w:r>
        <w:rPr>
          <w:rFonts w:eastAsia="Times New Roman"/>
          <w:lang w:val="en-GB"/>
        </w:rPr>
        <w:t>earmarked</w:t>
      </w:r>
      <w:r w:rsidRPr="000D301C">
        <w:rPr>
          <w:rFonts w:eastAsia="Times New Roman"/>
          <w:lang w:val="en-GB"/>
        </w:rPr>
        <w:t xml:space="preserve"> transfers) and those from the local level in programmes in the </w:t>
      </w:r>
      <w:r>
        <w:rPr>
          <w:rFonts w:eastAsia="Times New Roman"/>
          <w:lang w:val="en-GB"/>
        </w:rPr>
        <w:t>domain</w:t>
      </w:r>
      <w:r w:rsidRPr="000D301C">
        <w:rPr>
          <w:rFonts w:eastAsia="Times New Roman"/>
          <w:lang w:val="en-GB"/>
        </w:rPr>
        <w:t xml:space="preserve"> of social welfare, employment, education and care for vulnerable population (in particular children, the elderly, persons with disabilities, the Roma, etc.). </w:t>
      </w:r>
    </w:p>
    <w:p w:rsidR="00B1571C" w:rsidRPr="000D301C" w:rsidRDefault="00B1571C" w:rsidP="00351681">
      <w:pPr>
        <w:pStyle w:val="ListParagraph"/>
        <w:numPr>
          <w:ilvl w:val="0"/>
          <w:numId w:val="30"/>
        </w:numPr>
        <w:spacing w:line="240" w:lineRule="auto"/>
        <w:ind w:left="357" w:hanging="357"/>
        <w:contextualSpacing w:val="0"/>
        <w:rPr>
          <w:rFonts w:cs="Times New Roman"/>
          <w:b/>
          <w:u w:val="single"/>
          <w:lang w:val="en-GB"/>
        </w:rPr>
      </w:pPr>
      <w:r w:rsidRPr="000D301C">
        <w:rPr>
          <w:rFonts w:eastAsia="Times New Roman"/>
          <w:b/>
          <w:u w:val="single"/>
          <w:lang w:val="en-GB"/>
        </w:rPr>
        <w:t>More effective and efficient fulfilment of European integration commitments</w:t>
      </w:r>
    </w:p>
    <w:p w:rsidR="00B1571C" w:rsidRPr="000D301C" w:rsidRDefault="00B1571C" w:rsidP="00B1571C">
      <w:pPr>
        <w:pStyle w:val="ListParagraph"/>
        <w:spacing w:line="240" w:lineRule="auto"/>
        <w:ind w:left="360"/>
        <w:contextualSpacing w:val="0"/>
        <w:rPr>
          <w:rFonts w:cs="Times New Roman"/>
          <w:lang w:val="en-GB"/>
        </w:rPr>
      </w:pPr>
      <w:r w:rsidRPr="000D301C">
        <w:rPr>
          <w:rFonts w:eastAsia="Times New Roman"/>
          <w:lang w:val="en-GB"/>
        </w:rPr>
        <w:t xml:space="preserve">Establishing the </w:t>
      </w:r>
      <w:r w:rsidRPr="00895D1F">
        <w:rPr>
          <w:rFonts w:eastAsia="Times New Roman"/>
          <w:i/>
          <w:lang w:val="en-GB"/>
        </w:rPr>
        <w:t>Fund</w:t>
      </w:r>
      <w:r w:rsidRPr="000D301C">
        <w:rPr>
          <w:rFonts w:eastAsia="Times New Roman"/>
          <w:lang w:val="en-GB"/>
        </w:rPr>
        <w:t xml:space="preserve"> will contribute to the fulfilment of the </w:t>
      </w:r>
      <w:r w:rsidRPr="000D301C">
        <w:rPr>
          <w:rFonts w:eastAsia="Times New Roman"/>
          <w:i/>
          <w:lang w:val="en-GB"/>
        </w:rPr>
        <w:t>EU Madrid criteria</w:t>
      </w:r>
      <w:r w:rsidRPr="000D301C">
        <w:rPr>
          <w:rFonts w:eastAsia="Times New Roman"/>
          <w:lang w:val="en-GB"/>
        </w:rPr>
        <w:t xml:space="preserve"> concerning adequate administrative capacity, i.e. the </w:t>
      </w:r>
      <w:r w:rsidRPr="000D301C">
        <w:rPr>
          <w:rFonts w:eastAsia="Times New Roman"/>
          <w:i/>
          <w:lang w:val="en-GB"/>
        </w:rPr>
        <w:t>Fund</w:t>
      </w:r>
      <w:r w:rsidRPr="000D301C">
        <w:rPr>
          <w:rFonts w:eastAsia="Times New Roman"/>
          <w:lang w:val="en-GB"/>
        </w:rPr>
        <w:t xml:space="preserve"> will assume the role of "intermediate body", attending to efficient contracting and project cycle monitoring</w:t>
      </w:r>
      <w:r>
        <w:rPr>
          <w:rFonts w:eastAsia="Times New Roman"/>
          <w:lang w:val="en-GB"/>
        </w:rPr>
        <w:t xml:space="preserve"> </w:t>
      </w:r>
      <w:r w:rsidRPr="000D301C">
        <w:rPr>
          <w:rFonts w:eastAsia="Times New Roman"/>
          <w:lang w:val="en-GB"/>
        </w:rPr>
        <w:t xml:space="preserve">and ensuring better implementation of EU-funded projects in the </w:t>
      </w:r>
      <w:r w:rsidRPr="000D301C">
        <w:rPr>
          <w:rFonts w:eastAsia="Times New Roman"/>
          <w:i/>
          <w:lang w:val="en-GB"/>
        </w:rPr>
        <w:t xml:space="preserve">social development </w:t>
      </w:r>
      <w:r w:rsidRPr="000D301C">
        <w:rPr>
          <w:rFonts w:eastAsia="Times New Roman"/>
          <w:lang w:val="en-GB"/>
        </w:rPr>
        <w:t>sector. The Social Inclusion Fund will constitute a practical mechanism to ensure we utilise more EU funding earmarked for social inclusion.</w:t>
      </w:r>
    </w:p>
    <w:p w:rsidR="00B1571C" w:rsidRPr="000D301C" w:rsidRDefault="00B1571C" w:rsidP="00351681">
      <w:pPr>
        <w:pStyle w:val="ListParagraph"/>
        <w:numPr>
          <w:ilvl w:val="0"/>
          <w:numId w:val="30"/>
        </w:numPr>
        <w:spacing w:line="240" w:lineRule="auto"/>
        <w:ind w:left="357" w:hanging="357"/>
        <w:contextualSpacing w:val="0"/>
        <w:rPr>
          <w:rFonts w:cs="Times New Roman"/>
          <w:b/>
          <w:u w:val="single"/>
          <w:lang w:val="en-GB"/>
        </w:rPr>
      </w:pPr>
      <w:r w:rsidRPr="000D301C">
        <w:rPr>
          <w:rFonts w:eastAsia="Times New Roman"/>
          <w:b/>
          <w:u w:val="single"/>
          <w:lang w:val="en-GB"/>
        </w:rPr>
        <w:t>Monitoring the effects of implemented measures</w:t>
      </w:r>
    </w:p>
    <w:p w:rsidR="00B1571C" w:rsidRPr="00825124" w:rsidRDefault="00B1571C" w:rsidP="00B1571C">
      <w:pPr>
        <w:pStyle w:val="ListParagraph"/>
        <w:spacing w:line="240" w:lineRule="auto"/>
        <w:ind w:left="360"/>
        <w:contextualSpacing w:val="0"/>
        <w:rPr>
          <w:rFonts w:eastAsia="Times New Roman"/>
          <w:lang w:val="en-GB"/>
        </w:rPr>
      </w:pPr>
      <w:r w:rsidRPr="00D62D06">
        <w:rPr>
          <w:rFonts w:eastAsia="Times New Roman"/>
          <w:lang w:val="en-GB"/>
        </w:rPr>
        <w:t xml:space="preserve">With the establishment of the </w:t>
      </w:r>
      <w:r w:rsidRPr="00D62D06">
        <w:rPr>
          <w:rFonts w:eastAsia="Times New Roman"/>
          <w:i/>
          <w:lang w:val="en-GB"/>
        </w:rPr>
        <w:t>Fund</w:t>
      </w:r>
      <w:r w:rsidRPr="00D62D06">
        <w:rPr>
          <w:rFonts w:eastAsia="Times New Roman"/>
          <w:lang w:val="en-GB"/>
        </w:rPr>
        <w:t xml:space="preserve">, conditions will be created to establish a results-oriented monitoring system, as an integral aspect of the implementation of social inclusion measures. The system will regularly receive information on the effectiveness and efficiency of investments and provide information on remedial measures to policy </w:t>
      </w:r>
      <w:r w:rsidRPr="00825124">
        <w:rPr>
          <w:rFonts w:eastAsia="Times New Roman"/>
          <w:lang w:val="en-GB"/>
        </w:rPr>
        <w:t xml:space="preserve">makers. By establishing the </w:t>
      </w:r>
      <w:r w:rsidRPr="00825124">
        <w:rPr>
          <w:rFonts w:eastAsia="Times New Roman"/>
          <w:i/>
          <w:lang w:val="en-GB"/>
        </w:rPr>
        <w:t>Social Inclusion Fund</w:t>
      </w:r>
      <w:r w:rsidRPr="00825124">
        <w:rPr>
          <w:rFonts w:eastAsia="Times New Roman"/>
          <w:lang w:val="en-GB"/>
        </w:rPr>
        <w:t>, we would have an institution that would implement expenditure control mechanisms applicable to national budget funds, as well as EU funds.</w:t>
      </w:r>
    </w:p>
    <w:bookmarkEnd w:id="2"/>
    <w:p w:rsidR="00AE1884" w:rsidRPr="00825124" w:rsidRDefault="00825124" w:rsidP="00AE1884">
      <w:pPr>
        <w:rPr>
          <w:szCs w:val="24"/>
          <w:lang w:val="en-GB"/>
        </w:rPr>
      </w:pPr>
      <w:r w:rsidRPr="00825124">
        <w:rPr>
          <w:b/>
          <w:szCs w:val="24"/>
          <w:lang w:val="en-GB"/>
        </w:rPr>
        <w:t>As has already been mentioned, t</w:t>
      </w:r>
      <w:r w:rsidR="00AE1884" w:rsidRPr="00825124">
        <w:rPr>
          <w:b/>
          <w:szCs w:val="24"/>
          <w:lang w:val="en-GB"/>
        </w:rPr>
        <w:t>he First National Report on Social Inclusion and Poverty Reduction</w:t>
      </w:r>
      <w:r w:rsidR="00AE1884" w:rsidRPr="00825124">
        <w:rPr>
          <w:szCs w:val="24"/>
          <w:lang w:val="en-GB"/>
        </w:rPr>
        <w:t>, adopted by the Government of the Republic of Serbia in March 2011</w:t>
      </w:r>
      <w:r w:rsidR="00B04284" w:rsidRPr="00825124">
        <w:rPr>
          <w:rStyle w:val="FootnoteReference"/>
          <w:szCs w:val="24"/>
          <w:lang w:val="en-GB"/>
        </w:rPr>
        <w:footnoteReference w:id="1"/>
      </w:r>
      <w:r w:rsidR="00AE1884" w:rsidRPr="00825124">
        <w:rPr>
          <w:szCs w:val="24"/>
          <w:lang w:val="en-GB"/>
        </w:rPr>
        <w:t>, identified the following challenge (p. 31): "</w:t>
      </w:r>
      <w:r w:rsidR="00AE1884" w:rsidRPr="00825124">
        <w:rPr>
          <w:i/>
          <w:szCs w:val="24"/>
          <w:lang w:val="en-GB"/>
        </w:rPr>
        <w:t>In addition to strengthening the existing structures for the use of European funds intended for social inclusion and poverty reduction (e.g. National Employment Service</w:t>
      </w:r>
      <w:r w:rsidR="00AE1884" w:rsidRPr="00825124">
        <w:rPr>
          <w:b/>
          <w:i/>
          <w:szCs w:val="24"/>
          <w:lang w:val="en-GB"/>
        </w:rPr>
        <w:t>), it is also crucial to establish the Social Inclusion Fund to support the programmes for social inclusion of vulnerable groups and contribute to more efficient and successful utilisation of the available EU funds earmarked for social inclusion</w:t>
      </w:r>
      <w:r w:rsidR="00AE1884" w:rsidRPr="00825124">
        <w:rPr>
          <w:i/>
          <w:szCs w:val="24"/>
          <w:lang w:val="en-GB"/>
        </w:rPr>
        <w:t>. The Fund would entail a support mechanism for implementation of the human resources development policy, which will also include the development of social innovations, in accordance with the obligations pertinent to the European integration process. This mechanism would help promote the coordination of implementation of the measures in the fields of employment, education, social welfare and health protection, as well as the coordination of rural and regional development measures with social inclusion and poverty reduction measures. Establishment of such a fund responds to the need to set up a national fund equivalent to the European Social Fund</w:t>
      </w:r>
      <w:r w:rsidR="00AE1884" w:rsidRPr="00825124">
        <w:rPr>
          <w:szCs w:val="24"/>
          <w:lang w:val="en-GB"/>
        </w:rPr>
        <w:t xml:space="preserve">”.  </w:t>
      </w:r>
    </w:p>
    <w:p w:rsidR="00AE1884" w:rsidRDefault="00AE1884" w:rsidP="00AE1884">
      <w:pPr>
        <w:rPr>
          <w:lang w:val="en-GB"/>
        </w:rPr>
      </w:pPr>
      <w:r w:rsidRPr="00825124">
        <w:rPr>
          <w:lang w:val="en-GB"/>
        </w:rPr>
        <w:t>In addition to the identified needs to step up the efforts to promote social inclusion and reduce poverty, this Study also addresses the framework for utilisation of the EU funds under the pre-accession assistance, as well as for setting the ground for future absorption of structural funds</w:t>
      </w:r>
      <w:r w:rsidRPr="00825124">
        <w:rPr>
          <w:b/>
          <w:lang w:val="en-GB"/>
        </w:rPr>
        <w:t>.</w:t>
      </w:r>
      <w:r w:rsidRPr="00825124">
        <w:rPr>
          <w:lang w:val="en-GB"/>
        </w:rPr>
        <w:t xml:space="preserve"> The importance of timely establishment of adequate capacities is supported by the example of a number of new Member States which have failed to absorb the available funds due to the poorly organised systems and absence of strong institutional arrangements.</w:t>
      </w:r>
    </w:p>
    <w:p w:rsidR="008A224F" w:rsidRDefault="00825124" w:rsidP="008A224F">
      <w:pPr>
        <w:rPr>
          <w:lang w:val="en-GB"/>
        </w:rPr>
      </w:pPr>
      <w:r>
        <w:rPr>
          <w:lang w:val="en-GB"/>
        </w:rPr>
        <w:t xml:space="preserve">A most convenient next step in the initiative to establish the Fund for Social Inclusion </w:t>
      </w:r>
      <w:r w:rsidR="007B554E">
        <w:rPr>
          <w:lang w:val="en-GB"/>
        </w:rPr>
        <w:t>would be</w:t>
      </w:r>
      <w:r>
        <w:rPr>
          <w:lang w:val="en-GB"/>
        </w:rPr>
        <w:t xml:space="preserve"> the preparation of the feasibility study on the establishment of the Fund, which would </w:t>
      </w:r>
      <w:r w:rsidR="008A224F">
        <w:rPr>
          <w:lang w:val="en-GB"/>
        </w:rPr>
        <w:t xml:space="preserve">cover a wide range of issues indicated by the respondents of the consultations conducted during this study. These are issues relating to: the methodology, such as need to conduct an </w:t>
      </w:r>
      <w:r w:rsidR="007B554E">
        <w:rPr>
          <w:lang w:val="en-GB"/>
        </w:rPr>
        <w:t>analysis</w:t>
      </w:r>
      <w:r w:rsidR="008A224F">
        <w:rPr>
          <w:lang w:val="en-GB"/>
        </w:rPr>
        <w:t xml:space="preserve"> of key stakeholders and the SWOT analysis; the strategic framework, such as the need to adopt a national strategy on social inclusion; the issues relating to the establishment and functions of the fund, such as the issue of whether the Fund should be established in a separate law or amendments to existing laws (e.g. the Law on Social </w:t>
      </w:r>
      <w:r w:rsidR="007371D9">
        <w:rPr>
          <w:lang w:val="en-GB"/>
        </w:rPr>
        <w:t>Protection</w:t>
      </w:r>
      <w:r w:rsidR="008A224F">
        <w:rPr>
          <w:lang w:val="en-GB"/>
        </w:rPr>
        <w:t xml:space="preserve">); finally, the issues relating to the structure, financial and human resources of the Fund, and building partnerships with civil society. It should be mentioned that all respondents emphasized the need for stronger coordination of social inclusion policies. Furthermore, most mentioned the issue of fragmented implementation of social inclusion policies and underlined the need for a more coherent approach, including the enhancement of the system of monitoring and reporting on the effects of implemented activities. </w:t>
      </w:r>
    </w:p>
    <w:p w:rsidR="00A07B29" w:rsidRPr="008A224F" w:rsidRDefault="008A224F" w:rsidP="00AE1884">
      <w:pPr>
        <w:rPr>
          <w:lang w:val="en-GB"/>
        </w:rPr>
      </w:pPr>
      <w:r>
        <w:rPr>
          <w:lang w:val="en-GB"/>
        </w:rPr>
        <w:t>The first version of this study was prepared by the team of experts of the European Project Centre, as the organization engaged by the Social Inclusion and Poverty Reduction Unit. The Social Inclusion and Poverty Reduction Unit then prepared the final version of the Study hereof, incorporating various useful suggestions and comments submitted by state bodies, civil society organizations and individuals. In this regard, the Social Inclusion and Poverty Reduction Unit would like to express gratitude to all partners who have provided significant contribution to the enhanced contents of the Study (see Annex 3).</w:t>
      </w:r>
    </w:p>
    <w:p w:rsidR="00A07B29" w:rsidRPr="008A224F" w:rsidRDefault="00A07B29" w:rsidP="00AE1884">
      <w:pPr>
        <w:rPr>
          <w:szCs w:val="24"/>
          <w:lang w:val="en-GB"/>
        </w:rPr>
      </w:pPr>
    </w:p>
    <w:p w:rsidR="00182D71" w:rsidRDefault="00182D71">
      <w:pPr>
        <w:spacing w:before="0" w:after="200"/>
        <w:jc w:val="left"/>
        <w:rPr>
          <w:rFonts w:asciiTheme="majorHAnsi" w:eastAsiaTheme="majorEastAsia" w:hAnsiTheme="majorHAnsi" w:cstheme="majorBidi"/>
          <w:b/>
          <w:bCs/>
          <w:color w:val="000000" w:themeColor="text1"/>
          <w:sz w:val="26"/>
          <w:szCs w:val="26"/>
        </w:rPr>
      </w:pPr>
      <w:bookmarkStart w:id="3" w:name="_Toc353200752"/>
      <w:r>
        <w:br w:type="page"/>
      </w:r>
    </w:p>
    <w:p w:rsidR="00AE1884" w:rsidRPr="00182D71" w:rsidRDefault="008A224F" w:rsidP="00182D71">
      <w:pPr>
        <w:pStyle w:val="Heading2"/>
      </w:pPr>
      <w:r w:rsidRPr="00182D71">
        <w:t>Methodology and Contents of the Study</w:t>
      </w:r>
      <w:bookmarkEnd w:id="3"/>
    </w:p>
    <w:p w:rsidR="00AE1884" w:rsidRPr="008E0B7A" w:rsidRDefault="00AE1884" w:rsidP="00AE1884">
      <w:pPr>
        <w:rPr>
          <w:szCs w:val="24"/>
          <w:lang w:val="en-GB"/>
        </w:rPr>
      </w:pPr>
      <w:r w:rsidRPr="008E0B7A">
        <w:rPr>
          <w:szCs w:val="24"/>
          <w:lang w:val="en-GB"/>
        </w:rPr>
        <w:t>The research was conducted in three stages:</w:t>
      </w:r>
    </w:p>
    <w:p w:rsidR="00AE1884" w:rsidRPr="008E0B7A" w:rsidRDefault="00AE1884" w:rsidP="00AE1884">
      <w:pPr>
        <w:rPr>
          <w:b/>
          <w:i/>
          <w:szCs w:val="24"/>
          <w:lang w:val="en-GB"/>
        </w:rPr>
      </w:pPr>
      <w:r w:rsidRPr="008E0B7A">
        <w:rPr>
          <w:b/>
          <w:i/>
          <w:szCs w:val="24"/>
          <w:lang w:val="en-GB"/>
        </w:rPr>
        <w:t>Stage 1: Initiation and mobilisation</w:t>
      </w:r>
    </w:p>
    <w:p w:rsidR="00AE1884" w:rsidRPr="008A224F" w:rsidRDefault="00AE1884" w:rsidP="00AE1884">
      <w:pPr>
        <w:rPr>
          <w:szCs w:val="24"/>
          <w:lang w:val="en-GB"/>
        </w:rPr>
      </w:pPr>
      <w:r w:rsidRPr="008E0B7A">
        <w:rPr>
          <w:szCs w:val="24"/>
          <w:lang w:val="en-GB"/>
        </w:rPr>
        <w:t xml:space="preserve">This stage focused on a literature review and a series of meetings </w:t>
      </w:r>
      <w:r w:rsidR="008A224F">
        <w:rPr>
          <w:szCs w:val="24"/>
          <w:lang w:val="en-GB"/>
        </w:rPr>
        <w:t xml:space="preserve">on the scope, </w:t>
      </w:r>
      <w:r w:rsidRPr="008A224F">
        <w:rPr>
          <w:szCs w:val="24"/>
          <w:lang w:val="en-GB"/>
        </w:rPr>
        <w:t xml:space="preserve">methodology and stakeholders. The research team </w:t>
      </w:r>
      <w:r w:rsidR="008E0B7A">
        <w:rPr>
          <w:szCs w:val="24"/>
          <w:lang w:val="en-GB"/>
        </w:rPr>
        <w:t>prepared the outline for conducting the study and its key components</w:t>
      </w:r>
      <w:r w:rsidRPr="008A224F">
        <w:rPr>
          <w:szCs w:val="24"/>
          <w:lang w:val="en-GB"/>
        </w:rPr>
        <w:t>.</w:t>
      </w:r>
    </w:p>
    <w:p w:rsidR="00AE1884" w:rsidRPr="008E0B7A" w:rsidRDefault="00AE1884" w:rsidP="00AE1884">
      <w:pPr>
        <w:rPr>
          <w:b/>
          <w:i/>
          <w:szCs w:val="24"/>
          <w:lang w:val="en-GB"/>
        </w:rPr>
      </w:pPr>
      <w:r w:rsidRPr="008E0B7A">
        <w:rPr>
          <w:b/>
          <w:i/>
          <w:szCs w:val="24"/>
          <w:lang w:val="en-GB"/>
        </w:rPr>
        <w:t>Stage 2: Presentation of the research targets and interviews</w:t>
      </w:r>
    </w:p>
    <w:p w:rsidR="00AE1884" w:rsidRPr="008E0B7A" w:rsidRDefault="00AE1884" w:rsidP="00AE1884">
      <w:pPr>
        <w:rPr>
          <w:szCs w:val="24"/>
          <w:lang w:val="en-GB"/>
        </w:rPr>
      </w:pPr>
      <w:r w:rsidRPr="008E0B7A">
        <w:rPr>
          <w:szCs w:val="24"/>
          <w:lang w:val="en-GB"/>
        </w:rPr>
        <w:t xml:space="preserve">The first broad consultative meeting </w:t>
      </w:r>
      <w:r w:rsidR="008E0B7A">
        <w:rPr>
          <w:szCs w:val="24"/>
          <w:lang w:val="en-GB"/>
        </w:rPr>
        <w:t xml:space="preserve">where </w:t>
      </w:r>
      <w:r w:rsidRPr="008E0B7A">
        <w:rPr>
          <w:szCs w:val="24"/>
          <w:lang w:val="en-GB"/>
        </w:rPr>
        <w:t>the idea of establishing a Soci</w:t>
      </w:r>
      <w:r w:rsidR="008E0B7A">
        <w:rPr>
          <w:szCs w:val="24"/>
          <w:lang w:val="en-GB"/>
        </w:rPr>
        <w:t xml:space="preserve">al Inclusion Fund was presented </w:t>
      </w:r>
      <w:r w:rsidRPr="008E0B7A">
        <w:rPr>
          <w:szCs w:val="24"/>
          <w:lang w:val="en-GB"/>
        </w:rPr>
        <w:t xml:space="preserve">was convened by </w:t>
      </w:r>
      <w:r w:rsidR="008E0B7A">
        <w:rPr>
          <w:szCs w:val="24"/>
          <w:lang w:val="en-GB"/>
        </w:rPr>
        <w:t xml:space="preserve">the </w:t>
      </w:r>
      <w:r w:rsidRPr="008E0B7A">
        <w:rPr>
          <w:szCs w:val="24"/>
          <w:lang w:val="en-GB"/>
        </w:rPr>
        <w:t>SIPRU on 9 April 2012 with selected civil society organisations active in the field of social inclusion (</w:t>
      </w:r>
      <w:r w:rsidRPr="008E0B7A">
        <w:rPr>
          <w:i/>
          <w:szCs w:val="24"/>
          <w:lang w:val="en-GB"/>
        </w:rPr>
        <w:t>See Annex 1</w:t>
      </w:r>
      <w:r w:rsidRPr="008E0B7A">
        <w:rPr>
          <w:szCs w:val="24"/>
          <w:lang w:val="en-GB"/>
        </w:rPr>
        <w:t xml:space="preserve">). </w:t>
      </w:r>
    </w:p>
    <w:p w:rsidR="00AE1884" w:rsidRPr="008E0B7A" w:rsidRDefault="00AE1884" w:rsidP="00AE1884">
      <w:pPr>
        <w:rPr>
          <w:szCs w:val="24"/>
          <w:lang w:val="en-GB"/>
        </w:rPr>
      </w:pPr>
      <w:r w:rsidRPr="008E0B7A">
        <w:rPr>
          <w:szCs w:val="24"/>
          <w:lang w:val="en-GB"/>
        </w:rPr>
        <w:t xml:space="preserve">Consultative meetings with relevant Government institutions and civil society organisations were organised in the last week of April 2012. The interviewees were selected on the basis of their roles and involvement in social inclusion initiatives in the Republic of Serbia </w:t>
      </w:r>
      <w:r w:rsidR="00AA72D3" w:rsidRPr="008E0B7A">
        <w:rPr>
          <w:szCs w:val="24"/>
          <w:lang w:val="en-GB"/>
        </w:rPr>
        <w:t>(</w:t>
      </w:r>
      <w:r w:rsidR="00AA72D3" w:rsidRPr="008E0B7A">
        <w:rPr>
          <w:i/>
          <w:szCs w:val="24"/>
          <w:lang w:val="en-GB"/>
        </w:rPr>
        <w:t>See Annex 2</w:t>
      </w:r>
      <w:r w:rsidR="00AA72D3" w:rsidRPr="008E0B7A">
        <w:rPr>
          <w:szCs w:val="24"/>
          <w:lang w:val="en-GB"/>
        </w:rPr>
        <w:t xml:space="preserve">). </w:t>
      </w:r>
      <w:r w:rsidRPr="008E0B7A">
        <w:rPr>
          <w:szCs w:val="24"/>
          <w:lang w:val="en-GB"/>
        </w:rPr>
        <w:t xml:space="preserve">The purpose of the meetings was to obtain opinion from reputable experts about the initiative to establish a Social Inclusion Fund. </w:t>
      </w:r>
    </w:p>
    <w:p w:rsidR="00AE1884" w:rsidRPr="008E0B7A" w:rsidRDefault="00AE1884" w:rsidP="00AE1884">
      <w:pPr>
        <w:rPr>
          <w:b/>
          <w:i/>
          <w:szCs w:val="24"/>
          <w:lang w:val="en-GB"/>
        </w:rPr>
      </w:pPr>
      <w:r w:rsidRPr="008E0B7A">
        <w:rPr>
          <w:b/>
          <w:i/>
          <w:szCs w:val="24"/>
          <w:lang w:val="en-GB"/>
        </w:rPr>
        <w:t xml:space="preserve">Stage 3: </w:t>
      </w:r>
      <w:r w:rsidR="008E0B7A">
        <w:rPr>
          <w:b/>
          <w:i/>
          <w:szCs w:val="24"/>
          <w:lang w:val="en-GB"/>
        </w:rPr>
        <w:t xml:space="preserve">Preparation of the Study </w:t>
      </w:r>
    </w:p>
    <w:p w:rsidR="00AE1884" w:rsidRPr="008E0B7A" w:rsidRDefault="008E0B7A" w:rsidP="00AE1884">
      <w:pPr>
        <w:rPr>
          <w:szCs w:val="24"/>
          <w:lang w:val="en-GB"/>
        </w:rPr>
      </w:pPr>
      <w:r>
        <w:rPr>
          <w:szCs w:val="24"/>
          <w:lang w:val="en-GB"/>
        </w:rPr>
        <w:t xml:space="preserve">Based on the consultations with the stakeholders (see </w:t>
      </w:r>
      <w:r w:rsidRPr="008E0B7A">
        <w:rPr>
          <w:i/>
          <w:szCs w:val="24"/>
          <w:lang w:val="en-GB"/>
        </w:rPr>
        <w:t>Annex 3</w:t>
      </w:r>
      <w:r>
        <w:rPr>
          <w:szCs w:val="24"/>
          <w:lang w:val="en-GB"/>
        </w:rPr>
        <w:t>), the final version of the Study was prepared with the integration of the relevant proposals. The recommendations are founded on the obtained information.</w:t>
      </w:r>
    </w:p>
    <w:p w:rsidR="00AE1884" w:rsidRPr="008E0B7A" w:rsidRDefault="00AE1884" w:rsidP="00AE1884">
      <w:pPr>
        <w:rPr>
          <w:szCs w:val="24"/>
          <w:lang w:val="en-GB"/>
        </w:rPr>
      </w:pPr>
      <w:r w:rsidRPr="008E0B7A">
        <w:rPr>
          <w:szCs w:val="24"/>
          <w:lang w:val="en-GB"/>
        </w:rPr>
        <w:t xml:space="preserve">This </w:t>
      </w:r>
      <w:r w:rsidR="00C74F2C">
        <w:rPr>
          <w:szCs w:val="24"/>
        </w:rPr>
        <w:t>Study</w:t>
      </w:r>
      <w:r w:rsidRPr="008E0B7A">
        <w:rPr>
          <w:szCs w:val="24"/>
          <w:lang w:val="en-GB"/>
        </w:rPr>
        <w:t xml:space="preserve"> is divided into </w:t>
      </w:r>
      <w:r w:rsidR="00387100">
        <w:rPr>
          <w:szCs w:val="24"/>
          <w:lang w:val="en-GB"/>
        </w:rPr>
        <w:t>four</w:t>
      </w:r>
      <w:r w:rsidRPr="008E0B7A">
        <w:rPr>
          <w:szCs w:val="24"/>
          <w:lang w:val="en-GB"/>
        </w:rPr>
        <w:t xml:space="preserve"> chapters: </w:t>
      </w:r>
    </w:p>
    <w:p w:rsidR="008E0B7A" w:rsidRDefault="00AE1884" w:rsidP="00351681">
      <w:pPr>
        <w:pStyle w:val="ListParagraph"/>
        <w:numPr>
          <w:ilvl w:val="0"/>
          <w:numId w:val="23"/>
        </w:numPr>
        <w:rPr>
          <w:lang w:val="en-GB"/>
        </w:rPr>
      </w:pPr>
      <w:r w:rsidRPr="008E0B7A">
        <w:rPr>
          <w:b/>
          <w:lang w:val="en-GB"/>
        </w:rPr>
        <w:t>Chapter 1</w:t>
      </w:r>
      <w:r w:rsidRPr="008E0B7A">
        <w:rPr>
          <w:lang w:val="en-GB"/>
        </w:rPr>
        <w:t xml:space="preserve"> covers the Serbian regulatory and institutional context, providing details about the current social inclusion policy design and implementation </w:t>
      </w:r>
      <w:r w:rsidR="008E0B7A">
        <w:rPr>
          <w:lang w:val="en-GB"/>
        </w:rPr>
        <w:t>in the field of social inclusion,</w:t>
      </w:r>
    </w:p>
    <w:p w:rsidR="00AE1884" w:rsidRPr="008E0B7A" w:rsidRDefault="008E0B7A" w:rsidP="00351681">
      <w:pPr>
        <w:pStyle w:val="ListParagraph"/>
        <w:numPr>
          <w:ilvl w:val="0"/>
          <w:numId w:val="23"/>
        </w:numPr>
        <w:rPr>
          <w:lang w:val="en-GB"/>
        </w:rPr>
      </w:pPr>
      <w:r w:rsidRPr="008E0B7A">
        <w:rPr>
          <w:b/>
          <w:lang w:val="en-GB"/>
        </w:rPr>
        <w:t>Chapter 2</w:t>
      </w:r>
      <w:r>
        <w:rPr>
          <w:lang w:val="en-GB"/>
        </w:rPr>
        <w:t xml:space="preserve"> provides information on the financial instruments in the Republic of Serbia in the field of social inclusion on the central and local level, as well as the </w:t>
      </w:r>
      <w:r w:rsidR="00AE1884" w:rsidRPr="008E0B7A">
        <w:rPr>
          <w:lang w:val="en-GB"/>
        </w:rPr>
        <w:t>experiences of re</w:t>
      </w:r>
      <w:r>
        <w:rPr>
          <w:lang w:val="en-GB"/>
        </w:rPr>
        <w:t>lated projects and initiatives,</w:t>
      </w:r>
    </w:p>
    <w:p w:rsidR="00AE1884" w:rsidRPr="008E0B7A" w:rsidRDefault="008E0B7A" w:rsidP="00351681">
      <w:pPr>
        <w:pStyle w:val="ListParagraph"/>
        <w:numPr>
          <w:ilvl w:val="0"/>
          <w:numId w:val="23"/>
        </w:numPr>
        <w:rPr>
          <w:lang w:val="en-GB"/>
        </w:rPr>
      </w:pPr>
      <w:r>
        <w:rPr>
          <w:b/>
          <w:lang w:val="en-GB"/>
        </w:rPr>
        <w:t>Chapter 3</w:t>
      </w:r>
      <w:r w:rsidR="00AE1884" w:rsidRPr="008E0B7A">
        <w:rPr>
          <w:lang w:val="en-GB"/>
        </w:rPr>
        <w:t xml:space="preserve"> </w:t>
      </w:r>
      <w:r w:rsidR="00E2526E" w:rsidRPr="008E0B7A">
        <w:rPr>
          <w:lang w:val="en-GB"/>
        </w:rPr>
        <w:t>provides relevant information on the management of EU funds, key challenges an</w:t>
      </w:r>
      <w:r>
        <w:rPr>
          <w:lang w:val="en-GB"/>
        </w:rPr>
        <w:t xml:space="preserve">d experiences of other countries, </w:t>
      </w:r>
      <w:r w:rsidR="00AE1884" w:rsidRPr="008E0B7A">
        <w:rPr>
          <w:lang w:val="en-GB"/>
        </w:rPr>
        <w:t xml:space="preserve"> </w:t>
      </w:r>
    </w:p>
    <w:p w:rsidR="00AE1884" w:rsidRPr="008E0B7A" w:rsidRDefault="008E0B7A" w:rsidP="00351681">
      <w:pPr>
        <w:pStyle w:val="ListParagraph"/>
        <w:numPr>
          <w:ilvl w:val="0"/>
          <w:numId w:val="23"/>
        </w:numPr>
        <w:rPr>
          <w:lang w:val="en-GB"/>
        </w:rPr>
      </w:pPr>
      <w:r>
        <w:rPr>
          <w:b/>
          <w:lang w:val="en-GB"/>
        </w:rPr>
        <w:t>Chapter 4</w:t>
      </w:r>
      <w:r w:rsidR="00AE1884" w:rsidRPr="008E0B7A">
        <w:rPr>
          <w:b/>
          <w:lang w:val="en-GB"/>
        </w:rPr>
        <w:t xml:space="preserve"> </w:t>
      </w:r>
      <w:r w:rsidR="00AE1884" w:rsidRPr="008E0B7A">
        <w:rPr>
          <w:lang w:val="en-GB"/>
        </w:rPr>
        <w:t xml:space="preserve">provides recommendations for the organisational and legal setup of the SIF, and tables the issue of the financial planning and budget allocation for the SIF. This is followed by a </w:t>
      </w:r>
      <w:r w:rsidR="00AE1884" w:rsidRPr="008E0B7A">
        <w:rPr>
          <w:i/>
          <w:lang w:val="en-GB"/>
        </w:rPr>
        <w:t>roadmap</w:t>
      </w:r>
      <w:r w:rsidR="00AE1884" w:rsidRPr="008E0B7A">
        <w:rPr>
          <w:lang w:val="en-GB"/>
        </w:rPr>
        <w:t xml:space="preserve"> for the establishment of the Social Inclusion Fund. </w:t>
      </w:r>
    </w:p>
    <w:p w:rsidR="009538F0" w:rsidRDefault="009538F0">
      <w:pPr>
        <w:jc w:val="left"/>
        <w:rPr>
          <w:lang w:val="en-GB"/>
        </w:rPr>
      </w:pPr>
      <w:r>
        <w:rPr>
          <w:lang w:val="en-GB"/>
        </w:rPr>
        <w:br w:type="page"/>
      </w:r>
    </w:p>
    <w:p w:rsidR="00444EA0" w:rsidRPr="00360BA6" w:rsidRDefault="00360BA6" w:rsidP="00360BA6">
      <w:pPr>
        <w:pStyle w:val="Heading1"/>
      </w:pPr>
      <w:bookmarkStart w:id="4" w:name="_Toc353200753"/>
      <w:r w:rsidRPr="00360BA6">
        <w:t>National Framework And Lessons Learnt</w:t>
      </w:r>
      <w:bookmarkEnd w:id="4"/>
    </w:p>
    <w:p w:rsidR="00444EA0" w:rsidRPr="00182D71" w:rsidRDefault="0061613F" w:rsidP="00182D71">
      <w:pPr>
        <w:pStyle w:val="Heading2"/>
        <w:rPr>
          <w:rStyle w:val="IntenseReference"/>
          <w:b/>
          <w:bCs/>
          <w:smallCaps w:val="0"/>
          <w:color w:val="000000" w:themeColor="text1"/>
          <w:spacing w:val="0"/>
          <w:u w:val="none"/>
        </w:rPr>
      </w:pPr>
      <w:bookmarkStart w:id="5" w:name="_Toc353200754"/>
      <w:r w:rsidRPr="00182D71">
        <w:rPr>
          <w:rStyle w:val="IntenseReference"/>
          <w:b/>
          <w:bCs/>
          <w:smallCaps w:val="0"/>
          <w:color w:val="000000" w:themeColor="text1"/>
          <w:spacing w:val="0"/>
          <w:u w:val="none"/>
        </w:rPr>
        <w:t>1</w:t>
      </w:r>
      <w:r w:rsidR="00444EA0" w:rsidRPr="00182D71">
        <w:rPr>
          <w:rStyle w:val="IntenseReference"/>
          <w:b/>
          <w:bCs/>
          <w:smallCaps w:val="0"/>
          <w:color w:val="000000" w:themeColor="text1"/>
          <w:spacing w:val="0"/>
          <w:u w:val="none"/>
        </w:rPr>
        <w:t>.1. Key Aspects and Principles</w:t>
      </w:r>
      <w:bookmarkEnd w:id="5"/>
      <w:r w:rsidR="00444EA0" w:rsidRPr="00182D71">
        <w:rPr>
          <w:rStyle w:val="IntenseReference"/>
          <w:b/>
          <w:bCs/>
          <w:smallCaps w:val="0"/>
          <w:color w:val="000000" w:themeColor="text1"/>
          <w:spacing w:val="0"/>
          <w:u w:val="none"/>
        </w:rPr>
        <w:t xml:space="preserve"> </w:t>
      </w:r>
    </w:p>
    <w:p w:rsidR="00CD21B6" w:rsidRDefault="00CD21B6" w:rsidP="00CD21B6">
      <w:pPr>
        <w:rPr>
          <w:rFonts w:cs="Times New Roman"/>
          <w:szCs w:val="24"/>
          <w:lang w:val="en-GB"/>
        </w:rPr>
      </w:pPr>
      <w:r>
        <w:rPr>
          <w:rFonts w:cs="Times New Roman"/>
          <w:szCs w:val="24"/>
          <w:lang w:val="en-GB"/>
        </w:rPr>
        <w:t xml:space="preserve">The Republic of Serbia has defined active participation in the European process of social inclusion as one of the critical tasks in the EU integration process. In the last few years of the integration process the numerous </w:t>
      </w:r>
      <w:r w:rsidRPr="005B5F57">
        <w:rPr>
          <w:rFonts w:cs="Times New Roman"/>
          <w:szCs w:val="24"/>
          <w:lang w:val="en-GB"/>
        </w:rPr>
        <w:t>laws</w:t>
      </w:r>
      <w:r>
        <w:rPr>
          <w:rFonts w:cs="Times New Roman"/>
          <w:szCs w:val="24"/>
          <w:lang w:val="en-GB"/>
        </w:rPr>
        <w:t xml:space="preserve"> which have been</w:t>
      </w:r>
      <w:r w:rsidRPr="005B5F57">
        <w:rPr>
          <w:rFonts w:cs="Times New Roman"/>
          <w:szCs w:val="24"/>
          <w:lang w:val="en-GB"/>
        </w:rPr>
        <w:t xml:space="preserve"> enacted reflect the need to integrate policy areas, coordinate and conceive social risks in </w:t>
      </w:r>
      <w:r>
        <w:rPr>
          <w:rFonts w:cs="Times New Roman"/>
          <w:szCs w:val="24"/>
          <w:lang w:val="en-GB"/>
        </w:rPr>
        <w:t>a</w:t>
      </w:r>
      <w:r w:rsidRPr="005B5F57">
        <w:rPr>
          <w:rFonts w:cs="Times New Roman"/>
          <w:szCs w:val="24"/>
          <w:lang w:val="en-GB"/>
        </w:rPr>
        <w:t xml:space="preserve"> wider social exclusion framework. However, few </w:t>
      </w:r>
      <w:r>
        <w:rPr>
          <w:rFonts w:cs="Times New Roman"/>
          <w:szCs w:val="24"/>
          <w:lang w:val="en-GB"/>
        </w:rPr>
        <w:t xml:space="preserve">laws </w:t>
      </w:r>
      <w:r w:rsidRPr="005B5F57">
        <w:rPr>
          <w:rFonts w:cs="Times New Roman"/>
          <w:szCs w:val="24"/>
          <w:lang w:val="en-GB"/>
        </w:rPr>
        <w:t xml:space="preserve">do contain specific measures to foster social inclusion policies. </w:t>
      </w:r>
    </w:p>
    <w:p w:rsidR="00444EA0" w:rsidRPr="005B5F57" w:rsidRDefault="00444EA0" w:rsidP="00444EA0">
      <w:pPr>
        <w:rPr>
          <w:rFonts w:cs="Times New Roman"/>
          <w:szCs w:val="24"/>
          <w:lang w:val="en-GB"/>
        </w:rPr>
      </w:pPr>
      <w:r>
        <w:rPr>
          <w:rFonts w:cs="Times New Roman"/>
          <w:szCs w:val="24"/>
          <w:lang w:val="en-GB"/>
        </w:rPr>
        <w:t>A s</w:t>
      </w:r>
      <w:r w:rsidRPr="005B5F57">
        <w:rPr>
          <w:rFonts w:cs="Times New Roman"/>
          <w:szCs w:val="24"/>
          <w:lang w:val="en-GB"/>
        </w:rPr>
        <w:t>pecific analysis of local services also indicates weak cross-sectoral cooperation</w:t>
      </w:r>
      <w:r w:rsidRPr="005B5F57">
        <w:rPr>
          <w:rStyle w:val="FootnoteReference"/>
          <w:rFonts w:cs="Times New Roman"/>
          <w:szCs w:val="24"/>
          <w:lang w:val="en-GB"/>
        </w:rPr>
        <w:footnoteReference w:id="2"/>
      </w:r>
      <w:r w:rsidRPr="005B5F57">
        <w:rPr>
          <w:rFonts w:cs="Times New Roman"/>
          <w:szCs w:val="24"/>
          <w:lang w:val="en-GB"/>
        </w:rPr>
        <w:t xml:space="preserve">. </w:t>
      </w:r>
      <w:r w:rsidR="00B13AA4">
        <w:rPr>
          <w:rFonts w:cs="Times New Roman"/>
          <w:szCs w:val="24"/>
          <w:lang w:val="en-GB"/>
        </w:rPr>
        <w:t xml:space="preserve">Furthermore, it is important to mention that the implementation of certain strategies requires the existence of complex implementation frameworks, due to the nature of innovative new cross-sectoral services targeting vulnerable groups (e.g. the Strategy for the Improvement of the Position of Roma). </w:t>
      </w:r>
    </w:p>
    <w:p w:rsidR="00B04284" w:rsidRDefault="00444EA0" w:rsidP="00387100">
      <w:pPr>
        <w:rPr>
          <w:rStyle w:val="IntenseReference"/>
          <w:rFonts w:cs="Times New Roman"/>
          <w:smallCaps w:val="0"/>
          <w:color w:val="auto"/>
          <w:spacing w:val="0"/>
          <w:szCs w:val="24"/>
          <w:u w:val="none"/>
          <w:lang w:val="en-GB"/>
        </w:rPr>
      </w:pPr>
      <w:r w:rsidRPr="005B5F57">
        <w:rPr>
          <w:rFonts w:cs="Times New Roman"/>
          <w:szCs w:val="24"/>
          <w:lang w:val="en-GB"/>
        </w:rPr>
        <w:t xml:space="preserve">Due to </w:t>
      </w:r>
      <w:r>
        <w:rPr>
          <w:rFonts w:cs="Times New Roman"/>
          <w:szCs w:val="24"/>
          <w:lang w:val="en-GB"/>
        </w:rPr>
        <w:t>a</w:t>
      </w:r>
      <w:r w:rsidRPr="005B5F57">
        <w:rPr>
          <w:rFonts w:cs="Times New Roman"/>
          <w:szCs w:val="24"/>
          <w:lang w:val="en-GB"/>
        </w:rPr>
        <w:t xml:space="preserve"> fragmented legal and institutional environment</w:t>
      </w:r>
      <w:r>
        <w:rPr>
          <w:rFonts w:cs="Times New Roman"/>
          <w:szCs w:val="24"/>
          <w:lang w:val="en-GB"/>
        </w:rPr>
        <w:t>,</w:t>
      </w:r>
      <w:r w:rsidRPr="005B5F57">
        <w:rPr>
          <w:rFonts w:cs="Times New Roman"/>
          <w:szCs w:val="24"/>
          <w:lang w:val="en-GB"/>
        </w:rPr>
        <w:t xml:space="preserve"> it will be difficult to rely on a single </w:t>
      </w:r>
      <w:r>
        <w:rPr>
          <w:rFonts w:cs="Times New Roman"/>
          <w:szCs w:val="24"/>
          <w:lang w:val="en-GB"/>
        </w:rPr>
        <w:t>line</w:t>
      </w:r>
      <w:r w:rsidRPr="005B5F57">
        <w:rPr>
          <w:rFonts w:cs="Times New Roman"/>
          <w:szCs w:val="24"/>
          <w:lang w:val="en-GB"/>
        </w:rPr>
        <w:t xml:space="preserve"> ministry in establishing</w:t>
      </w:r>
      <w:r>
        <w:rPr>
          <w:rFonts w:cs="Times New Roman"/>
          <w:szCs w:val="24"/>
          <w:lang w:val="en-GB"/>
        </w:rPr>
        <w:t xml:space="preserve"> the</w:t>
      </w:r>
      <w:r w:rsidRPr="005B5F57">
        <w:rPr>
          <w:rFonts w:cs="Times New Roman"/>
          <w:szCs w:val="24"/>
          <w:lang w:val="en-GB"/>
        </w:rPr>
        <w:t xml:space="preserve"> Social Inclusion Fund. Therefore</w:t>
      </w:r>
      <w:r>
        <w:rPr>
          <w:rFonts w:cs="Times New Roman"/>
          <w:szCs w:val="24"/>
          <w:lang w:val="en-GB"/>
        </w:rPr>
        <w:t>, a</w:t>
      </w:r>
      <w:r w:rsidRPr="005B5F57">
        <w:rPr>
          <w:rFonts w:cs="Times New Roman"/>
          <w:szCs w:val="24"/>
          <w:lang w:val="en-GB"/>
        </w:rPr>
        <w:t xml:space="preserve"> central position in the Government structure might be a better framework for the establishmen</w:t>
      </w:r>
      <w:r w:rsidR="00387100">
        <w:rPr>
          <w:rFonts w:cs="Times New Roman"/>
          <w:szCs w:val="24"/>
          <w:lang w:val="en-GB"/>
        </w:rPr>
        <w:t xml:space="preserve">t of the Social Inclusion Fund. The management structure of the Fund would involve the representatives of all public administration bodies whose competencies would be covered by the activities of the Fund, which would ensure efficient and effective cross-sector and inter-sector coordination of the implementation of social inclusion policies. </w:t>
      </w:r>
    </w:p>
    <w:bookmarkStart w:id="6" w:name="_Toc353200755"/>
    <w:p w:rsidR="00444EA0" w:rsidRPr="00182D71" w:rsidRDefault="00387100" w:rsidP="00182D71">
      <w:pPr>
        <w:pStyle w:val="Heading2"/>
        <w:rPr>
          <w:rStyle w:val="IntenseReference"/>
          <w:b/>
          <w:bCs/>
          <w:smallCaps w:val="0"/>
          <w:color w:val="000000" w:themeColor="text1"/>
          <w:spacing w:val="0"/>
          <w:u w:val="none"/>
        </w:rPr>
      </w:pPr>
      <w:r w:rsidRPr="00182D71">
        <w:rPr>
          <w:noProof/>
        </w:rPr>
        <mc:AlternateContent>
          <mc:Choice Requires="wps">
            <w:drawing>
              <wp:anchor distT="0" distB="0" distL="114300" distR="114300" simplePos="0" relativeHeight="251703296" behindDoc="0" locked="0" layoutInCell="1" allowOverlap="1" wp14:anchorId="5621EB3E" wp14:editId="6E4A9BDD">
                <wp:simplePos x="0" y="0"/>
                <wp:positionH relativeFrom="column">
                  <wp:posOffset>-55245</wp:posOffset>
                </wp:positionH>
                <wp:positionV relativeFrom="paragraph">
                  <wp:posOffset>70485</wp:posOffset>
                </wp:positionV>
                <wp:extent cx="5835650" cy="790575"/>
                <wp:effectExtent l="0" t="0" r="12700" b="28575"/>
                <wp:wrapSquare wrapText="bothSides"/>
                <wp:docPr id="11"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790575"/>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227A2" w:rsidRPr="00556243" w:rsidRDefault="008227A2" w:rsidP="005E5BCF">
                            <w:pPr>
                              <w:spacing w:after="0"/>
                              <w:rPr>
                                <w:b/>
                                <w:i/>
                              </w:rPr>
                            </w:pPr>
                            <w:r w:rsidRPr="00C27283">
                              <w:rPr>
                                <w:b/>
                                <w:i/>
                              </w:rPr>
                              <w:t xml:space="preserve">A consensus amongst all stakeholders responsible for social inclusion policy has to be reached on the establishment of a single, overarching body in charge of implementing social inclusion </w:t>
                            </w:r>
                            <w:r>
                              <w:rPr>
                                <w:b/>
                                <w:i/>
                              </w:rPr>
                              <w:t>policies</w:t>
                            </w:r>
                            <w:r w:rsidRPr="00C27283">
                              <w:rPr>
                                <w:b/>
                                <w:i/>
                              </w:rPr>
                              <w:t>.</w:t>
                            </w:r>
                            <w:r w:rsidRPr="00556243">
                              <w:rPr>
                                <w:b/>
                                <w:i/>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ounded Rectangle 13" o:spid="_x0000_s1026" style="position:absolute;left:0;text-align:left;margin-left:-4.35pt;margin-top:5.55pt;width:459.5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" fillcolor="#d8d8d8 [2732]" strokecolor="black [3213]" strokeweight="1pt">
                <v:shadow color="black" opacity="24903f" origin=",.5" offset="0,.55556mm"/>
                <v:path arrowok="t"/>
                <v:textbox>
                  <w:txbxContent>
                    <w:p w:rsidR="008227A2" w:rsidRPr="00556243" w:rsidRDefault="008227A2" w:rsidP="005E5BCF">
                      <w:pPr>
                        <w:spacing w:after="0"/>
                        <w:rPr>
                          <w:b/>
                          <w:i/>
                        </w:rPr>
                      </w:pPr>
                      <w:r w:rsidRPr="00C27283">
                        <w:rPr>
                          <w:b/>
                          <w:i/>
                        </w:rPr>
                        <w:t xml:space="preserve">A consensus amongst all stakeholders responsible for social inclusion policy has to be reached on the establishment of a single, overarching body in charge of implementing social inclusion </w:t>
                      </w:r>
                      <w:r>
                        <w:rPr>
                          <w:b/>
                          <w:i/>
                        </w:rPr>
                        <w:t>policies</w:t>
                      </w:r>
                      <w:r w:rsidRPr="00C27283">
                        <w:rPr>
                          <w:b/>
                          <w:i/>
                        </w:rPr>
                        <w:t>.</w:t>
                      </w:r>
                      <w:r w:rsidRPr="00556243">
                        <w:rPr>
                          <w:b/>
                          <w:i/>
                        </w:rPr>
                        <w:t xml:space="preserve"> </w:t>
                      </w:r>
                    </w:p>
                  </w:txbxContent>
                </v:textbox>
                <w10:wrap type="square"/>
              </v:rect>
            </w:pict>
          </mc:Fallback>
        </mc:AlternateContent>
      </w:r>
      <w:r w:rsidR="0061613F" w:rsidRPr="00182D71">
        <w:rPr>
          <w:rStyle w:val="IntenseReference"/>
          <w:b/>
          <w:bCs/>
          <w:smallCaps w:val="0"/>
          <w:color w:val="000000" w:themeColor="text1"/>
          <w:spacing w:val="0"/>
          <w:u w:val="none"/>
        </w:rPr>
        <w:t>1</w:t>
      </w:r>
      <w:r w:rsidR="00444EA0" w:rsidRPr="00182D71">
        <w:rPr>
          <w:rStyle w:val="IntenseReference"/>
          <w:b/>
          <w:bCs/>
          <w:smallCaps w:val="0"/>
          <w:color w:val="000000" w:themeColor="text1"/>
          <w:spacing w:val="0"/>
          <w:u w:val="none"/>
        </w:rPr>
        <w:t>.2. Ministries and Public Bodies</w:t>
      </w:r>
      <w:bookmarkEnd w:id="6"/>
      <w:r w:rsidR="00444EA0" w:rsidRPr="00182D71">
        <w:rPr>
          <w:rStyle w:val="IntenseReference"/>
          <w:b/>
          <w:bCs/>
          <w:smallCaps w:val="0"/>
          <w:color w:val="000000" w:themeColor="text1"/>
          <w:spacing w:val="0"/>
          <w:u w:val="none"/>
        </w:rPr>
        <w:t xml:space="preserve"> </w:t>
      </w:r>
    </w:p>
    <w:p w:rsidR="00444EA0" w:rsidRPr="005B5F57" w:rsidRDefault="00444EA0" w:rsidP="00444EA0">
      <w:pPr>
        <w:rPr>
          <w:rFonts w:cs="Times New Roman"/>
          <w:szCs w:val="24"/>
          <w:lang w:val="en-GB"/>
        </w:rPr>
      </w:pPr>
      <w:r w:rsidRPr="005B5F57">
        <w:rPr>
          <w:rFonts w:cs="Times New Roman"/>
          <w:szCs w:val="24"/>
          <w:lang w:val="en-GB"/>
        </w:rPr>
        <w:t>The scope of work of the Serbian ministries is defined by the Law on Ministries</w:t>
      </w:r>
      <w:r w:rsidRPr="005B5F57">
        <w:rPr>
          <w:rStyle w:val="FootnoteReference"/>
          <w:rFonts w:cs="Times New Roman"/>
          <w:szCs w:val="24"/>
          <w:lang w:val="en-GB"/>
        </w:rPr>
        <w:footnoteReference w:id="3"/>
      </w:r>
      <w:r w:rsidRPr="005B5F57">
        <w:rPr>
          <w:rFonts w:cs="Times New Roman"/>
          <w:szCs w:val="24"/>
          <w:lang w:val="en-GB"/>
        </w:rPr>
        <w:t xml:space="preserve">. </w:t>
      </w:r>
      <w:r w:rsidR="00171DC5">
        <w:rPr>
          <w:rFonts w:cs="Times New Roman"/>
          <w:szCs w:val="24"/>
          <w:lang w:val="en-GB"/>
        </w:rPr>
        <w:t>S</w:t>
      </w:r>
      <w:r w:rsidRPr="005B5F57">
        <w:rPr>
          <w:rFonts w:cs="Times New Roman"/>
          <w:szCs w:val="24"/>
          <w:lang w:val="en-GB"/>
        </w:rPr>
        <w:t>everal ministries are currently in charge of specific fields of social inclusion</w:t>
      </w:r>
      <w:r w:rsidRPr="005B5F57">
        <w:rPr>
          <w:rStyle w:val="FootnoteReference"/>
          <w:rFonts w:cs="Times New Roman"/>
          <w:szCs w:val="24"/>
          <w:lang w:val="en-GB"/>
        </w:rPr>
        <w:footnoteReference w:id="4"/>
      </w:r>
      <w:r w:rsidRPr="005B5F57">
        <w:rPr>
          <w:rFonts w:cs="Times New Roman"/>
          <w:szCs w:val="24"/>
          <w:lang w:val="en-GB"/>
        </w:rPr>
        <w:t>: the Ministry of Labour</w:t>
      </w:r>
      <w:r w:rsidR="00BF0553">
        <w:rPr>
          <w:rFonts w:cs="Times New Roman"/>
          <w:szCs w:val="24"/>
          <w:lang w:val="en-GB"/>
        </w:rPr>
        <w:t>, Employment</w:t>
      </w:r>
      <w:r w:rsidRPr="005B5F57">
        <w:rPr>
          <w:rFonts w:cs="Times New Roman"/>
          <w:szCs w:val="24"/>
          <w:lang w:val="en-GB"/>
        </w:rPr>
        <w:t xml:space="preserve"> and Social Policy, the Ministry of Education</w:t>
      </w:r>
      <w:r w:rsidR="00BF0553">
        <w:rPr>
          <w:rFonts w:cs="Times New Roman"/>
          <w:szCs w:val="24"/>
          <w:lang w:val="en-GB"/>
        </w:rPr>
        <w:t>,</w:t>
      </w:r>
      <w:r w:rsidRPr="005B5F57">
        <w:rPr>
          <w:rFonts w:cs="Times New Roman"/>
          <w:szCs w:val="24"/>
          <w:lang w:val="en-GB"/>
        </w:rPr>
        <w:t xml:space="preserve"> Science</w:t>
      </w:r>
      <w:r w:rsidR="00BF0553">
        <w:rPr>
          <w:rFonts w:cs="Times New Roman"/>
          <w:szCs w:val="24"/>
          <w:lang w:val="en-GB"/>
        </w:rPr>
        <w:t xml:space="preserve"> and Technological Development</w:t>
      </w:r>
      <w:r w:rsidRPr="005B5F57">
        <w:rPr>
          <w:rFonts w:cs="Times New Roman"/>
          <w:szCs w:val="24"/>
          <w:lang w:val="en-GB"/>
        </w:rPr>
        <w:t>, the Ministry of Health</w:t>
      </w:r>
      <w:r w:rsidR="006B7850">
        <w:rPr>
          <w:rFonts w:cs="Times New Roman"/>
          <w:szCs w:val="24"/>
          <w:lang w:val="en-GB"/>
        </w:rPr>
        <w:t xml:space="preserve"> and </w:t>
      </w:r>
      <w:r w:rsidRPr="005B5F57">
        <w:rPr>
          <w:rFonts w:cs="Times New Roman"/>
          <w:szCs w:val="24"/>
          <w:lang w:val="en-GB"/>
        </w:rPr>
        <w:t xml:space="preserve">the Ministry of </w:t>
      </w:r>
      <w:r w:rsidR="00EE5F00">
        <w:rPr>
          <w:rFonts w:cs="Times New Roman"/>
          <w:szCs w:val="24"/>
          <w:lang w:val="en-GB"/>
        </w:rPr>
        <w:t>Youth and Sports</w:t>
      </w:r>
      <w:r w:rsidRPr="005B5F57">
        <w:rPr>
          <w:rFonts w:cs="Times New Roman"/>
          <w:szCs w:val="24"/>
          <w:lang w:val="en-GB"/>
        </w:rPr>
        <w:t xml:space="preserve">. </w:t>
      </w:r>
    </w:p>
    <w:p w:rsidR="00444EA0" w:rsidRPr="005B5F57" w:rsidRDefault="00444EA0" w:rsidP="00444EA0">
      <w:pPr>
        <w:rPr>
          <w:rFonts w:cs="Times New Roman"/>
          <w:szCs w:val="24"/>
          <w:lang w:val="en-GB"/>
        </w:rPr>
      </w:pPr>
      <w:r w:rsidRPr="005B5F57">
        <w:rPr>
          <w:rFonts w:cs="Times New Roman"/>
          <w:szCs w:val="24"/>
          <w:lang w:val="en-GB"/>
        </w:rPr>
        <w:t xml:space="preserve">The main responsibilities of respective ministries include but are not limited to: </w:t>
      </w:r>
    </w:p>
    <w:p w:rsidR="00444EA0" w:rsidRPr="005B5F57" w:rsidRDefault="00444EA0" w:rsidP="00444EA0">
      <w:pPr>
        <w:spacing w:after="0"/>
        <w:rPr>
          <w:rFonts w:cs="Times New Roman"/>
          <w:szCs w:val="24"/>
          <w:lang w:val="en-GB"/>
        </w:rPr>
      </w:pPr>
      <w:r w:rsidRPr="005B5F57">
        <w:rPr>
          <w:rFonts w:cs="Times New Roman"/>
          <w:szCs w:val="24"/>
          <w:lang w:val="en-GB"/>
        </w:rPr>
        <w:t xml:space="preserve">1. </w:t>
      </w:r>
      <w:r w:rsidRPr="005B5F57">
        <w:rPr>
          <w:rFonts w:cs="Times New Roman"/>
          <w:b/>
          <w:szCs w:val="24"/>
          <w:lang w:val="en-GB"/>
        </w:rPr>
        <w:t>Ministry of Labour</w:t>
      </w:r>
      <w:r w:rsidR="00EE5F00">
        <w:rPr>
          <w:rFonts w:cs="Times New Roman"/>
          <w:b/>
          <w:szCs w:val="24"/>
          <w:lang w:val="en-GB"/>
        </w:rPr>
        <w:t>, Employment</w:t>
      </w:r>
      <w:r w:rsidRPr="005B5F57">
        <w:rPr>
          <w:rFonts w:cs="Times New Roman"/>
          <w:b/>
          <w:szCs w:val="24"/>
          <w:lang w:val="en-GB"/>
        </w:rPr>
        <w:t xml:space="preserve"> and Social Policy</w:t>
      </w:r>
      <w:r w:rsidRPr="005B5F57">
        <w:rPr>
          <w:rFonts w:cs="Times New Roman"/>
          <w:szCs w:val="24"/>
          <w:lang w:val="en-GB"/>
        </w:rPr>
        <w:t>:</w:t>
      </w:r>
    </w:p>
    <w:p w:rsidR="00444EA0" w:rsidRPr="005B5F57" w:rsidRDefault="00444EA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 xml:space="preserve">Labour related issues, </w:t>
      </w:r>
      <w:r>
        <w:rPr>
          <w:rFonts w:cs="Times New Roman"/>
          <w:szCs w:val="24"/>
          <w:lang w:val="sr-Latn-CS"/>
        </w:rPr>
        <w:t xml:space="preserve">occupational </w:t>
      </w:r>
      <w:r>
        <w:rPr>
          <w:rFonts w:cs="Times New Roman"/>
          <w:szCs w:val="24"/>
          <w:lang w:val="en-GB"/>
        </w:rPr>
        <w:t>safety</w:t>
      </w:r>
      <w:r w:rsidR="00C74F2C">
        <w:rPr>
          <w:rFonts w:cs="Times New Roman"/>
          <w:szCs w:val="24"/>
          <w:lang w:val="en-GB"/>
        </w:rPr>
        <w:t xml:space="preserve"> and health</w:t>
      </w:r>
      <w:r w:rsidRPr="005B5F57">
        <w:rPr>
          <w:rFonts w:cs="Times New Roman"/>
          <w:szCs w:val="24"/>
          <w:lang w:val="en-GB"/>
        </w:rPr>
        <w:t xml:space="preserve">, </w:t>
      </w:r>
    </w:p>
    <w:p w:rsidR="00EE5F00" w:rsidRPr="005B5F57" w:rsidRDefault="00EE5F0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Unemployment, active and passive labour market measures, unemployment insurance,</w:t>
      </w:r>
    </w:p>
    <w:p w:rsidR="00EE5F00" w:rsidRPr="005B5F57" w:rsidRDefault="00EE5F0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Labour market migrations;</w:t>
      </w:r>
    </w:p>
    <w:p w:rsidR="00444EA0" w:rsidRPr="005B5F57" w:rsidRDefault="00444EA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Antidiscrimination,</w:t>
      </w:r>
    </w:p>
    <w:p w:rsidR="00444EA0" w:rsidRPr="005B5F57" w:rsidRDefault="00444EA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Social protection, family</w:t>
      </w:r>
      <w:r>
        <w:rPr>
          <w:rFonts w:cs="Times New Roman"/>
          <w:szCs w:val="24"/>
          <w:lang w:val="sr-Cyrl-CS"/>
        </w:rPr>
        <w:t xml:space="preserve"> </w:t>
      </w:r>
      <w:r>
        <w:rPr>
          <w:rFonts w:cs="Times New Roman"/>
          <w:szCs w:val="24"/>
        </w:rPr>
        <w:t>and child care</w:t>
      </w:r>
      <w:r w:rsidRPr="005B5F57">
        <w:rPr>
          <w:rFonts w:cs="Times New Roman"/>
          <w:szCs w:val="24"/>
          <w:lang w:val="en-GB"/>
        </w:rPr>
        <w:t xml:space="preserve">, population policy, </w:t>
      </w:r>
    </w:p>
    <w:p w:rsidR="00444EA0" w:rsidRPr="005B5F57" w:rsidRDefault="00444EA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 xml:space="preserve">Integration of refugees and internally displace persons, Roma, asylum seekers etc. </w:t>
      </w:r>
    </w:p>
    <w:p w:rsidR="00444EA0" w:rsidRPr="005B5F57" w:rsidRDefault="00444EA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War veterans,</w:t>
      </w:r>
    </w:p>
    <w:p w:rsidR="00444EA0" w:rsidRPr="005B5F57" w:rsidRDefault="00444EA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 xml:space="preserve">Gender equality; </w:t>
      </w:r>
    </w:p>
    <w:p w:rsidR="00444EA0" w:rsidRPr="005B5F57" w:rsidRDefault="00444EA0" w:rsidP="00444EA0">
      <w:pPr>
        <w:spacing w:after="0"/>
        <w:rPr>
          <w:rFonts w:cs="Times New Roman"/>
          <w:szCs w:val="24"/>
          <w:lang w:val="en-GB"/>
        </w:rPr>
      </w:pPr>
      <w:r w:rsidRPr="005B5F57">
        <w:rPr>
          <w:rFonts w:cs="Times New Roman"/>
          <w:szCs w:val="24"/>
          <w:lang w:val="en-GB"/>
        </w:rPr>
        <w:t xml:space="preserve">2. </w:t>
      </w:r>
      <w:r w:rsidRPr="005B5F57">
        <w:rPr>
          <w:rFonts w:cs="Times New Roman"/>
          <w:b/>
          <w:szCs w:val="24"/>
          <w:lang w:val="en-GB"/>
        </w:rPr>
        <w:t>Ministry of Education</w:t>
      </w:r>
      <w:r w:rsidR="00EE5F00">
        <w:rPr>
          <w:rFonts w:cs="Times New Roman"/>
          <w:b/>
          <w:szCs w:val="24"/>
          <w:lang w:val="en-GB"/>
        </w:rPr>
        <w:t>,</w:t>
      </w:r>
      <w:r w:rsidRPr="005B5F57">
        <w:rPr>
          <w:rFonts w:cs="Times New Roman"/>
          <w:b/>
          <w:szCs w:val="24"/>
          <w:lang w:val="en-GB"/>
        </w:rPr>
        <w:t xml:space="preserve"> Science</w:t>
      </w:r>
      <w:r w:rsidR="00EE5F00">
        <w:rPr>
          <w:rFonts w:cs="Times New Roman"/>
          <w:b/>
          <w:szCs w:val="24"/>
          <w:lang w:val="en-GB"/>
        </w:rPr>
        <w:t xml:space="preserve"> and Technological Development</w:t>
      </w:r>
      <w:r w:rsidRPr="005B5F57">
        <w:rPr>
          <w:rFonts w:cs="Times New Roman"/>
          <w:szCs w:val="24"/>
          <w:lang w:val="en-GB"/>
        </w:rPr>
        <w:t>:</w:t>
      </w:r>
    </w:p>
    <w:p w:rsidR="00444EA0" w:rsidRPr="005B5F57" w:rsidRDefault="00444EA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Pre-school, elementary, secondary and higher education,</w:t>
      </w:r>
    </w:p>
    <w:p w:rsidR="00444EA0" w:rsidRPr="005B5F57" w:rsidRDefault="00444EA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Pupils’ and students’ standard,</w:t>
      </w:r>
    </w:p>
    <w:p w:rsidR="00444EA0" w:rsidRPr="005B5F57" w:rsidRDefault="00444EA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Adult Education,</w:t>
      </w:r>
    </w:p>
    <w:p w:rsidR="00444EA0" w:rsidRPr="00B62020" w:rsidRDefault="00444EA0" w:rsidP="00351681">
      <w:pPr>
        <w:pStyle w:val="ListParagraph"/>
        <w:numPr>
          <w:ilvl w:val="0"/>
          <w:numId w:val="1"/>
        </w:numPr>
        <w:spacing w:after="0" w:line="240" w:lineRule="auto"/>
        <w:rPr>
          <w:rFonts w:cs="Times New Roman"/>
          <w:szCs w:val="24"/>
          <w:lang w:val="en-GB"/>
        </w:rPr>
      </w:pPr>
      <w:r w:rsidRPr="00B62020">
        <w:rPr>
          <w:rFonts w:cs="Times New Roman"/>
          <w:szCs w:val="24"/>
          <w:lang w:val="en-GB"/>
        </w:rPr>
        <w:t>Inclusive education;</w:t>
      </w:r>
    </w:p>
    <w:p w:rsidR="00444EA0" w:rsidRPr="005B5F57" w:rsidRDefault="00EE5F00" w:rsidP="00444EA0">
      <w:pPr>
        <w:spacing w:after="0"/>
        <w:rPr>
          <w:rFonts w:cs="Times New Roman"/>
          <w:szCs w:val="24"/>
          <w:lang w:val="en-GB"/>
        </w:rPr>
      </w:pPr>
      <w:r>
        <w:rPr>
          <w:rFonts w:cs="Times New Roman"/>
          <w:szCs w:val="24"/>
          <w:lang w:val="en-GB"/>
        </w:rPr>
        <w:t>3</w:t>
      </w:r>
      <w:r w:rsidR="00444EA0" w:rsidRPr="005B5F57">
        <w:rPr>
          <w:rFonts w:cs="Times New Roman"/>
          <w:szCs w:val="24"/>
          <w:lang w:val="en-GB"/>
        </w:rPr>
        <w:t xml:space="preserve">. </w:t>
      </w:r>
      <w:r w:rsidR="00444EA0" w:rsidRPr="005B5F57">
        <w:rPr>
          <w:rFonts w:cs="Times New Roman"/>
          <w:b/>
          <w:szCs w:val="24"/>
          <w:lang w:val="en-GB"/>
        </w:rPr>
        <w:t>Ministry of Health</w:t>
      </w:r>
      <w:r w:rsidR="00444EA0" w:rsidRPr="005B5F57">
        <w:rPr>
          <w:rFonts w:cs="Times New Roman"/>
          <w:szCs w:val="24"/>
          <w:lang w:val="en-GB"/>
        </w:rPr>
        <w:t>:</w:t>
      </w:r>
    </w:p>
    <w:p w:rsidR="00444EA0" w:rsidRPr="005B5F57" w:rsidRDefault="00444EA0" w:rsidP="00351681">
      <w:pPr>
        <w:pStyle w:val="ListParagraph"/>
        <w:numPr>
          <w:ilvl w:val="0"/>
          <w:numId w:val="1"/>
        </w:numPr>
        <w:spacing w:after="0" w:line="240" w:lineRule="auto"/>
        <w:rPr>
          <w:rFonts w:cs="Times New Roman"/>
          <w:szCs w:val="24"/>
          <w:lang w:val="en-GB"/>
        </w:rPr>
      </w:pPr>
      <w:r w:rsidRPr="005B5F57">
        <w:rPr>
          <w:rFonts w:cs="Times New Roman"/>
          <w:szCs w:val="24"/>
          <w:lang w:val="en-GB"/>
        </w:rPr>
        <w:t>Health care system, health insurance;</w:t>
      </w:r>
    </w:p>
    <w:p w:rsidR="00444EA0" w:rsidRPr="005B5F57" w:rsidRDefault="006B7850" w:rsidP="00444EA0">
      <w:pPr>
        <w:spacing w:after="0"/>
        <w:rPr>
          <w:rFonts w:cs="Times New Roman"/>
          <w:szCs w:val="24"/>
          <w:lang w:val="en-GB"/>
        </w:rPr>
      </w:pPr>
      <w:r>
        <w:rPr>
          <w:rFonts w:cs="Times New Roman"/>
          <w:szCs w:val="24"/>
          <w:lang w:val="en-GB"/>
        </w:rPr>
        <w:t>4</w:t>
      </w:r>
      <w:r w:rsidR="00444EA0" w:rsidRPr="005B5F57">
        <w:rPr>
          <w:rFonts w:cs="Times New Roman"/>
          <w:szCs w:val="24"/>
          <w:lang w:val="en-GB"/>
        </w:rPr>
        <w:t xml:space="preserve">. </w:t>
      </w:r>
      <w:r w:rsidR="00444EA0" w:rsidRPr="005B5F57">
        <w:rPr>
          <w:rFonts w:cs="Times New Roman"/>
          <w:b/>
          <w:szCs w:val="24"/>
          <w:lang w:val="en-GB"/>
        </w:rPr>
        <w:t xml:space="preserve">Ministry of </w:t>
      </w:r>
      <w:r w:rsidR="00EE5F00">
        <w:rPr>
          <w:rFonts w:cs="Times New Roman"/>
          <w:b/>
          <w:szCs w:val="24"/>
          <w:lang w:val="en-GB"/>
        </w:rPr>
        <w:t>Youth and Sports</w:t>
      </w:r>
      <w:r w:rsidR="00444EA0" w:rsidRPr="005B5F57">
        <w:rPr>
          <w:rFonts w:cs="Times New Roman"/>
          <w:szCs w:val="24"/>
          <w:lang w:val="en-GB"/>
        </w:rPr>
        <w:t>:</w:t>
      </w:r>
    </w:p>
    <w:p w:rsidR="00444EA0" w:rsidRPr="005B5F57" w:rsidRDefault="00EE5F00" w:rsidP="00351681">
      <w:pPr>
        <w:pStyle w:val="ListParagraph"/>
        <w:numPr>
          <w:ilvl w:val="0"/>
          <w:numId w:val="1"/>
        </w:numPr>
        <w:spacing w:after="0" w:line="240" w:lineRule="auto"/>
        <w:rPr>
          <w:rFonts w:cs="Times New Roman"/>
          <w:szCs w:val="24"/>
          <w:lang w:val="en-GB"/>
        </w:rPr>
      </w:pPr>
      <w:r>
        <w:rPr>
          <w:rFonts w:cs="Times New Roman"/>
          <w:szCs w:val="24"/>
          <w:lang w:val="en-GB"/>
        </w:rPr>
        <w:t>Design, development and enhancement of youth policy</w:t>
      </w:r>
      <w:r w:rsidR="00444EA0" w:rsidRPr="005B5F57">
        <w:rPr>
          <w:rFonts w:cs="Times New Roman"/>
          <w:szCs w:val="24"/>
          <w:lang w:val="en-GB"/>
        </w:rPr>
        <w:t xml:space="preserve">, </w:t>
      </w:r>
    </w:p>
    <w:p w:rsidR="00444EA0" w:rsidRPr="005B5F57" w:rsidRDefault="00444EA0" w:rsidP="00444EA0">
      <w:pPr>
        <w:rPr>
          <w:rFonts w:cs="Times New Roman"/>
          <w:szCs w:val="24"/>
          <w:lang w:val="en-GB"/>
        </w:rPr>
      </w:pPr>
      <w:r w:rsidRPr="005B5F57">
        <w:rPr>
          <w:rFonts w:cs="Times New Roman"/>
          <w:szCs w:val="24"/>
          <w:lang w:val="en-GB"/>
        </w:rPr>
        <w:t xml:space="preserve">Evidently, various aspects of social inclusion policies are within the mandate of a number of different ministries. The crowded playground of social inclusion in Serbia consists of a list of additional relevant stakeholders: </w:t>
      </w:r>
    </w:p>
    <w:p w:rsidR="00444EA0" w:rsidRPr="005B5F57" w:rsidRDefault="00444EA0" w:rsidP="00351681">
      <w:pPr>
        <w:pStyle w:val="ListParagraph"/>
        <w:numPr>
          <w:ilvl w:val="0"/>
          <w:numId w:val="2"/>
        </w:numPr>
        <w:rPr>
          <w:rFonts w:cs="Times New Roman"/>
          <w:szCs w:val="24"/>
          <w:lang w:val="en-GB"/>
        </w:rPr>
      </w:pPr>
      <w:r w:rsidRPr="005B5F57">
        <w:rPr>
          <w:rFonts w:cs="Times New Roman"/>
          <w:b/>
          <w:szCs w:val="24"/>
          <w:lang w:val="en-GB"/>
        </w:rPr>
        <w:t>Specialised bodies</w:t>
      </w:r>
      <w:r w:rsidRPr="005B5F57">
        <w:rPr>
          <w:rFonts w:cs="Times New Roman"/>
          <w:szCs w:val="24"/>
          <w:lang w:val="en-GB"/>
        </w:rPr>
        <w:t xml:space="preserve"> in charge of analysis and/or implementation of relevant sectoral policies, such as: the Republic Institute for Social Protection, the Provincial Social Protection Institute and National Employment Service;</w:t>
      </w:r>
    </w:p>
    <w:p w:rsidR="00444EA0" w:rsidRPr="005B5F57" w:rsidRDefault="00444EA0" w:rsidP="00351681">
      <w:pPr>
        <w:pStyle w:val="ListParagraph"/>
        <w:numPr>
          <w:ilvl w:val="0"/>
          <w:numId w:val="2"/>
        </w:numPr>
        <w:rPr>
          <w:rFonts w:cs="Times New Roman"/>
          <w:szCs w:val="24"/>
          <w:lang w:val="en-GB"/>
        </w:rPr>
      </w:pPr>
      <w:r w:rsidRPr="005B5F57">
        <w:rPr>
          <w:rFonts w:cs="Times New Roman"/>
          <w:b/>
          <w:szCs w:val="24"/>
          <w:lang w:val="en-GB"/>
        </w:rPr>
        <w:t>Independent bodies</w:t>
      </w:r>
      <w:r w:rsidRPr="005B5F57">
        <w:rPr>
          <w:rFonts w:cs="Times New Roman"/>
          <w:szCs w:val="24"/>
          <w:lang w:val="en-GB"/>
        </w:rPr>
        <w:t xml:space="preserve"> such as the Commissioner for Protection of Equality, the Commissioner for Information of Public Importance and Personal Data Protection, the Ombudsman Office etc</w:t>
      </w:r>
      <w:r w:rsidR="00C74F2C">
        <w:rPr>
          <w:rFonts w:cs="Times New Roman"/>
          <w:szCs w:val="24"/>
          <w:lang w:val="en-GB"/>
        </w:rPr>
        <w:t>.</w:t>
      </w:r>
      <w:r w:rsidRPr="005B5F57">
        <w:rPr>
          <w:rFonts w:cs="Times New Roman"/>
          <w:szCs w:val="24"/>
          <w:lang w:val="en-GB"/>
        </w:rPr>
        <w:t>;</w:t>
      </w:r>
    </w:p>
    <w:p w:rsidR="00444EA0" w:rsidRPr="005B5F57" w:rsidRDefault="00444EA0" w:rsidP="00351681">
      <w:pPr>
        <w:pStyle w:val="ListParagraph"/>
        <w:numPr>
          <w:ilvl w:val="0"/>
          <w:numId w:val="2"/>
        </w:numPr>
        <w:rPr>
          <w:rFonts w:cs="Times New Roman"/>
          <w:szCs w:val="24"/>
          <w:lang w:val="en-GB"/>
        </w:rPr>
      </w:pPr>
      <w:r w:rsidRPr="005B5F57">
        <w:rPr>
          <w:rFonts w:cs="Times New Roman"/>
          <w:b/>
          <w:szCs w:val="24"/>
          <w:lang w:val="en-GB"/>
        </w:rPr>
        <w:t>Other relevant bodies</w:t>
      </w:r>
      <w:r w:rsidRPr="005B5F57">
        <w:rPr>
          <w:rFonts w:cs="Times New Roman"/>
          <w:szCs w:val="24"/>
          <w:lang w:val="en-GB"/>
        </w:rPr>
        <w:t xml:space="preserve"> such as: the Socio-economic Council, the Gender Equality Council, </w:t>
      </w:r>
      <w:r w:rsidR="00EE5F00">
        <w:rPr>
          <w:rFonts w:cs="Times New Roman"/>
          <w:szCs w:val="24"/>
          <w:lang w:val="en-GB"/>
        </w:rPr>
        <w:t>the Office</w:t>
      </w:r>
      <w:r w:rsidRPr="005B5F57">
        <w:rPr>
          <w:rFonts w:cs="Times New Roman"/>
          <w:szCs w:val="24"/>
          <w:lang w:val="en-GB"/>
        </w:rPr>
        <w:t xml:space="preserve"> f</w:t>
      </w:r>
      <w:r w:rsidR="00EE5F00">
        <w:rPr>
          <w:rFonts w:cs="Times New Roman"/>
          <w:szCs w:val="24"/>
          <w:lang w:val="en-GB"/>
        </w:rPr>
        <w:t>or</w:t>
      </w:r>
      <w:r w:rsidRPr="005B5F57">
        <w:rPr>
          <w:rFonts w:cs="Times New Roman"/>
          <w:szCs w:val="24"/>
          <w:lang w:val="en-GB"/>
        </w:rPr>
        <w:t xml:space="preserve"> Human and Minority Rights;</w:t>
      </w:r>
    </w:p>
    <w:p w:rsidR="00444EA0" w:rsidRPr="005B5F57" w:rsidRDefault="00444EA0" w:rsidP="00351681">
      <w:pPr>
        <w:pStyle w:val="ListParagraph"/>
        <w:numPr>
          <w:ilvl w:val="0"/>
          <w:numId w:val="2"/>
        </w:numPr>
        <w:rPr>
          <w:rFonts w:cs="Times New Roman"/>
          <w:szCs w:val="24"/>
          <w:lang w:val="en-GB"/>
        </w:rPr>
      </w:pPr>
      <w:r w:rsidRPr="005B5F57">
        <w:rPr>
          <w:rFonts w:cs="Times New Roman"/>
          <w:b/>
          <w:szCs w:val="24"/>
          <w:lang w:val="en-GB"/>
        </w:rPr>
        <w:t>The Social Inclusion and Poverty Reduction Unit</w:t>
      </w:r>
      <w:r w:rsidRPr="005B5F57">
        <w:rPr>
          <w:rFonts w:cs="Times New Roman"/>
          <w:szCs w:val="24"/>
          <w:lang w:val="en-GB"/>
        </w:rPr>
        <w:t xml:space="preserve"> in the </w:t>
      </w:r>
      <w:r w:rsidR="00273A1E">
        <w:rPr>
          <w:rFonts w:cs="Times New Roman"/>
          <w:szCs w:val="24"/>
          <w:lang w:val="en-GB"/>
        </w:rPr>
        <w:t xml:space="preserve">Office of the </w:t>
      </w:r>
      <w:r w:rsidRPr="005B5F57">
        <w:rPr>
          <w:rFonts w:cs="Times New Roman"/>
          <w:szCs w:val="24"/>
          <w:lang w:val="en-GB"/>
        </w:rPr>
        <w:t xml:space="preserve">Deputy Prime Minister </w:t>
      </w:r>
      <w:r w:rsidR="00273A1E">
        <w:rPr>
          <w:rFonts w:cs="Times New Roman"/>
          <w:szCs w:val="24"/>
          <w:lang w:val="en-GB"/>
        </w:rPr>
        <w:t>for European Integration</w:t>
      </w:r>
      <w:r w:rsidRPr="005B5F57">
        <w:rPr>
          <w:rFonts w:cs="Times New Roman"/>
          <w:szCs w:val="24"/>
          <w:lang w:val="en-GB"/>
        </w:rPr>
        <w:t>.</w:t>
      </w:r>
      <w:r w:rsidR="00D81A92">
        <w:rPr>
          <w:rFonts w:cs="Times New Roman"/>
          <w:szCs w:val="24"/>
          <w:lang w:val="en-GB"/>
        </w:rPr>
        <w:t xml:space="preserve"> </w:t>
      </w:r>
      <w:r w:rsidRPr="005B5F57">
        <w:rPr>
          <w:rFonts w:cs="Times New Roman"/>
          <w:szCs w:val="24"/>
          <w:lang w:val="en-GB"/>
        </w:rPr>
        <w:t xml:space="preserve">The coordination between ministries and other Government bodies regarding the </w:t>
      </w:r>
      <w:r w:rsidR="00C74F2C">
        <w:rPr>
          <w:rFonts w:cs="Times New Roman"/>
          <w:szCs w:val="24"/>
          <w:lang w:val="en-GB"/>
        </w:rPr>
        <w:t>participation of the Republic of Serbia in the EU</w:t>
      </w:r>
      <w:r w:rsidRPr="005B5F57">
        <w:rPr>
          <w:rFonts w:cs="Times New Roman"/>
          <w:szCs w:val="24"/>
          <w:lang w:val="en-GB"/>
        </w:rPr>
        <w:t xml:space="preserve"> social inclusion </w:t>
      </w:r>
      <w:r w:rsidR="00C74F2C">
        <w:rPr>
          <w:rFonts w:cs="Times New Roman"/>
          <w:szCs w:val="24"/>
        </w:rPr>
        <w:t>process</w:t>
      </w:r>
      <w:r>
        <w:rPr>
          <w:rFonts w:cs="Times New Roman"/>
          <w:szCs w:val="24"/>
        </w:rPr>
        <w:t xml:space="preserve"> </w:t>
      </w:r>
      <w:r w:rsidRPr="005B5F57">
        <w:rPr>
          <w:rFonts w:cs="Times New Roman"/>
          <w:szCs w:val="24"/>
          <w:lang w:val="en-GB"/>
        </w:rPr>
        <w:t xml:space="preserve">is assigned to the </w:t>
      </w:r>
      <w:r w:rsidR="00D81A92">
        <w:rPr>
          <w:rFonts w:cs="Times New Roman"/>
          <w:szCs w:val="24"/>
          <w:lang w:val="en-GB"/>
        </w:rPr>
        <w:t xml:space="preserve">Deputy </w:t>
      </w:r>
      <w:r w:rsidRPr="005B5F57">
        <w:rPr>
          <w:rFonts w:cs="Times New Roman"/>
          <w:szCs w:val="24"/>
          <w:lang w:val="en-GB"/>
        </w:rPr>
        <w:t xml:space="preserve">Prime Minister and the Social Inclusion and Poverty Reduction Unit by the Government decision. In 2010, the Social Inclusion Working Group was formed at the level of the Government of Serbia. </w:t>
      </w:r>
    </w:p>
    <w:p w:rsidR="00F055D6" w:rsidRPr="00182D71" w:rsidRDefault="00F055D6" w:rsidP="00182D71">
      <w:pPr>
        <w:pStyle w:val="Heading2"/>
        <w:rPr>
          <w:rStyle w:val="IntenseReference"/>
          <w:b/>
          <w:bCs/>
          <w:smallCaps w:val="0"/>
          <w:color w:val="000000" w:themeColor="text1"/>
          <w:spacing w:val="0"/>
          <w:u w:val="none"/>
        </w:rPr>
      </w:pPr>
      <w:bookmarkStart w:id="7" w:name="_Toc353200756"/>
      <w:r w:rsidRPr="00182D71">
        <w:rPr>
          <w:rStyle w:val="IntenseReference"/>
          <w:b/>
          <w:bCs/>
          <w:smallCaps w:val="0"/>
          <w:color w:val="000000" w:themeColor="text1"/>
          <w:spacing w:val="0"/>
          <w:u w:val="none"/>
        </w:rPr>
        <w:t xml:space="preserve">1.3. </w:t>
      </w:r>
      <w:r w:rsidR="006B7850" w:rsidRPr="00182D71">
        <w:rPr>
          <w:rStyle w:val="IntenseReference"/>
          <w:b/>
          <w:bCs/>
          <w:smallCaps w:val="0"/>
          <w:color w:val="000000" w:themeColor="text1"/>
          <w:spacing w:val="0"/>
          <w:u w:val="none"/>
        </w:rPr>
        <w:t>Cross-sector Policy Coordination</w:t>
      </w:r>
      <w:bookmarkEnd w:id="7"/>
    </w:p>
    <w:p w:rsidR="00625D10" w:rsidRDefault="00F055D6" w:rsidP="00625D10">
      <w:pPr>
        <w:rPr>
          <w:rFonts w:cs="Times New Roman"/>
          <w:szCs w:val="24"/>
          <w:lang w:val="en-GB"/>
        </w:rPr>
      </w:pPr>
      <w:r w:rsidRPr="005B5F57">
        <w:rPr>
          <w:rFonts w:cs="Times New Roman"/>
          <w:szCs w:val="24"/>
          <w:lang w:val="en-GB"/>
        </w:rPr>
        <w:t xml:space="preserve">Serbian ministries are established by the Law on Ministries and their structure and authorities may vary. However, they always </w:t>
      </w:r>
      <w:r w:rsidRPr="00833871">
        <w:rPr>
          <w:rFonts w:cs="Times New Roman"/>
          <w:b/>
          <w:szCs w:val="24"/>
          <w:lang w:val="en-GB"/>
        </w:rPr>
        <w:t>have strictly divided fields of responsibilities which make managing multisectoral and crosscutting issues extremely difficult</w:t>
      </w:r>
      <w:r w:rsidRPr="005B5F57">
        <w:rPr>
          <w:rFonts w:cs="Times New Roman"/>
          <w:szCs w:val="24"/>
          <w:lang w:val="en-GB"/>
        </w:rPr>
        <w:t xml:space="preserve">. This is a consequence of (a) legal and institutional environment characterised by the divided lines of responsibilities, (b) political system in which </w:t>
      </w:r>
      <w:r>
        <w:rPr>
          <w:rFonts w:cs="Times New Roman"/>
          <w:szCs w:val="24"/>
          <w:lang w:val="en-GB"/>
        </w:rPr>
        <w:t xml:space="preserve">predominantly </w:t>
      </w:r>
      <w:r w:rsidRPr="005B5F57">
        <w:rPr>
          <w:rFonts w:cs="Times New Roman"/>
          <w:szCs w:val="24"/>
          <w:lang w:val="en-GB"/>
        </w:rPr>
        <w:t>a single party controls a single ministry and (c) organizational culture that does not foster mobility of bureaucrats across ministries</w:t>
      </w:r>
      <w:r w:rsidRPr="005B5F57">
        <w:rPr>
          <w:rStyle w:val="FootnoteReference"/>
          <w:rFonts w:cs="Times New Roman"/>
          <w:szCs w:val="24"/>
          <w:lang w:val="en-GB"/>
        </w:rPr>
        <w:footnoteReference w:id="5"/>
      </w:r>
      <w:r w:rsidRPr="005B5F57">
        <w:rPr>
          <w:rFonts w:cs="Times New Roman"/>
          <w:szCs w:val="24"/>
          <w:lang w:val="en-GB"/>
        </w:rPr>
        <w:t xml:space="preserve">. </w:t>
      </w:r>
    </w:p>
    <w:p w:rsidR="00625D10" w:rsidRPr="0018203A" w:rsidRDefault="00625D10" w:rsidP="00625D10">
      <w:pPr>
        <w:rPr>
          <w:rFonts w:cs="Times New Roman"/>
          <w:szCs w:val="24"/>
          <w:lang w:val="en-GB"/>
        </w:rPr>
      </w:pPr>
      <w:r>
        <w:rPr>
          <w:rFonts w:cs="Times New Roman"/>
          <w:szCs w:val="24"/>
          <w:lang w:val="en-GB"/>
        </w:rPr>
        <w:t>Additionally, t</w:t>
      </w:r>
      <w:r w:rsidRPr="005B5F57">
        <w:rPr>
          <w:rFonts w:cs="Times New Roman"/>
          <w:szCs w:val="24"/>
          <w:lang w:val="en-GB"/>
        </w:rPr>
        <w:t xml:space="preserve">he Serbian institutional scene </w:t>
      </w:r>
      <w:r w:rsidR="00EE5F00">
        <w:rPr>
          <w:rFonts w:cs="Times New Roman"/>
          <w:szCs w:val="24"/>
          <w:lang w:val="en-GB"/>
        </w:rPr>
        <w:t>consists of diverse</w:t>
      </w:r>
      <w:r w:rsidRPr="005B5F57">
        <w:rPr>
          <w:rFonts w:cs="Times New Roman"/>
          <w:szCs w:val="24"/>
          <w:lang w:val="en-GB"/>
        </w:rPr>
        <w:t xml:space="preserve"> ministries and </w:t>
      </w:r>
      <w:r w:rsidR="00EE5F00">
        <w:rPr>
          <w:rFonts w:cs="Times New Roman"/>
          <w:szCs w:val="24"/>
          <w:lang w:val="en-GB"/>
        </w:rPr>
        <w:t xml:space="preserve">more or less interconnected </w:t>
      </w:r>
      <w:r w:rsidRPr="005B5F57">
        <w:rPr>
          <w:rFonts w:cs="Times New Roman"/>
          <w:szCs w:val="24"/>
          <w:lang w:val="en-GB"/>
        </w:rPr>
        <w:t xml:space="preserve">public bodies covering the field of social inclusion. According to various analyses mentioned in this Study there is still room for improving cooperation among them. Moreover, </w:t>
      </w:r>
      <w:r w:rsidRPr="00FA2F9B">
        <w:rPr>
          <w:szCs w:val="24"/>
          <w:lang w:val="en-GB"/>
        </w:rPr>
        <w:t>there is a lack of requests and incentives for cross-sector cooperation due to a number of factors</w:t>
      </w:r>
      <w:r>
        <w:rPr>
          <w:szCs w:val="24"/>
          <w:lang w:val="en-GB"/>
        </w:rPr>
        <w:t xml:space="preserve"> leading to </w:t>
      </w:r>
      <w:r>
        <w:rPr>
          <w:rFonts w:cs="Times New Roman"/>
          <w:szCs w:val="24"/>
          <w:lang w:val="en-GB"/>
        </w:rPr>
        <w:t>fragmented and insufficiently efficient sector measures dealing with social inclusion.</w:t>
      </w:r>
      <w:r w:rsidRPr="005B5F57">
        <w:rPr>
          <w:rFonts w:cs="Times New Roman"/>
          <w:szCs w:val="24"/>
          <w:lang w:val="en-GB"/>
        </w:rPr>
        <w:t xml:space="preserve"> </w:t>
      </w:r>
      <w:r w:rsidRPr="0018203A">
        <w:rPr>
          <w:rFonts w:cs="Times New Roman"/>
          <w:szCs w:val="24"/>
          <w:lang w:val="en-GB"/>
        </w:rPr>
        <w:t>Majority of social inclusion measures (</w:t>
      </w:r>
      <w:r>
        <w:rPr>
          <w:rFonts w:cs="Times New Roman"/>
          <w:szCs w:val="24"/>
          <w:lang w:val="en-GB"/>
        </w:rPr>
        <w:t>e.g.</w:t>
      </w:r>
      <w:r w:rsidRPr="0018203A">
        <w:rPr>
          <w:rFonts w:cs="Times New Roman"/>
          <w:szCs w:val="24"/>
          <w:lang w:val="en-GB"/>
        </w:rPr>
        <w:t xml:space="preserve"> improvement of the status of Roma population, inclusive education, active aging, diversified community-based social services, etc</w:t>
      </w:r>
      <w:r>
        <w:rPr>
          <w:rFonts w:cs="Times New Roman"/>
          <w:szCs w:val="24"/>
          <w:lang w:val="en-GB"/>
        </w:rPr>
        <w:t>.</w:t>
      </w:r>
      <w:r w:rsidRPr="0018203A">
        <w:rPr>
          <w:rFonts w:cs="Times New Roman"/>
          <w:szCs w:val="24"/>
          <w:lang w:val="en-GB"/>
        </w:rPr>
        <w:t xml:space="preserve">) by its nature require tight cooperation between line ministries and more importantly day-to-day </w:t>
      </w:r>
      <w:r w:rsidR="00D00104">
        <w:rPr>
          <w:rFonts w:cs="Times New Roman"/>
          <w:szCs w:val="24"/>
          <w:lang w:val="en-GB"/>
        </w:rPr>
        <w:t xml:space="preserve">mutual </w:t>
      </w:r>
      <w:r w:rsidRPr="0018203A">
        <w:rPr>
          <w:rFonts w:cs="Times New Roman"/>
          <w:szCs w:val="24"/>
          <w:lang w:val="en-GB"/>
        </w:rPr>
        <w:t>work in the implementation</w:t>
      </w:r>
      <w:r>
        <w:rPr>
          <w:rFonts w:cs="Times New Roman"/>
          <w:szCs w:val="24"/>
          <w:lang w:val="en-GB"/>
        </w:rPr>
        <w:t xml:space="preserve"> phase</w:t>
      </w:r>
      <w:r w:rsidRPr="0018203A">
        <w:rPr>
          <w:rFonts w:cs="Times New Roman"/>
          <w:szCs w:val="24"/>
          <w:lang w:val="en-GB"/>
        </w:rPr>
        <w:t>.</w:t>
      </w:r>
    </w:p>
    <w:p w:rsidR="00F055D6" w:rsidRPr="005B5F57" w:rsidRDefault="00F055D6" w:rsidP="00F055D6">
      <w:pPr>
        <w:rPr>
          <w:rFonts w:cs="Times New Roman"/>
          <w:szCs w:val="24"/>
          <w:lang w:val="en-GB"/>
        </w:rPr>
      </w:pPr>
      <w:r w:rsidRPr="00833871">
        <w:rPr>
          <w:rFonts w:cs="Times New Roman"/>
          <w:b/>
          <w:szCs w:val="24"/>
          <w:lang w:val="en-GB"/>
        </w:rPr>
        <w:t xml:space="preserve">One strategy </w:t>
      </w:r>
      <w:r w:rsidR="00B62020">
        <w:rPr>
          <w:rFonts w:cs="Times New Roman"/>
          <w:b/>
          <w:szCs w:val="24"/>
          <w:lang w:val="en-GB"/>
        </w:rPr>
        <w:t xml:space="preserve">approach </w:t>
      </w:r>
      <w:r w:rsidRPr="00833871">
        <w:rPr>
          <w:rFonts w:cs="Times New Roman"/>
          <w:b/>
          <w:szCs w:val="24"/>
          <w:lang w:val="en-GB"/>
        </w:rPr>
        <w:t>often employed by Serbian ministries is to create multisectoral coordination bodies or councils</w:t>
      </w:r>
      <w:r w:rsidRPr="005B5F57">
        <w:rPr>
          <w:rFonts w:cs="Times New Roman"/>
          <w:szCs w:val="24"/>
          <w:lang w:val="en-GB"/>
        </w:rPr>
        <w:t>. These bodies have often proved inefficient due to va</w:t>
      </w:r>
      <w:r>
        <w:rPr>
          <w:rFonts w:cs="Times New Roman"/>
          <w:szCs w:val="24"/>
          <w:lang w:val="en-GB"/>
        </w:rPr>
        <w:t>rious reasons: lack of decision-</w:t>
      </w:r>
      <w:r w:rsidRPr="005B5F57">
        <w:rPr>
          <w:rFonts w:cs="Times New Roman"/>
          <w:szCs w:val="24"/>
          <w:lang w:val="en-GB"/>
        </w:rPr>
        <w:t xml:space="preserve">making authority of lower ranked civil servants, legal and political obstacles etc. Similarly, a series of programs </w:t>
      </w:r>
      <w:r>
        <w:rPr>
          <w:rFonts w:cs="Times New Roman"/>
          <w:szCs w:val="24"/>
          <w:lang w:val="en-GB"/>
        </w:rPr>
        <w:t xml:space="preserve">have </w:t>
      </w:r>
      <w:r w:rsidRPr="005B5F57">
        <w:rPr>
          <w:rFonts w:cs="Times New Roman"/>
          <w:szCs w:val="24"/>
          <w:lang w:val="en-GB"/>
        </w:rPr>
        <w:t xml:space="preserve">attempted to bypass the lack of coordination at </w:t>
      </w:r>
      <w:r>
        <w:rPr>
          <w:rFonts w:cs="Times New Roman"/>
          <w:szCs w:val="24"/>
          <w:lang w:val="en-GB"/>
        </w:rPr>
        <w:t xml:space="preserve">the </w:t>
      </w:r>
      <w:r w:rsidRPr="005B5F57">
        <w:rPr>
          <w:rFonts w:cs="Times New Roman"/>
          <w:szCs w:val="24"/>
          <w:lang w:val="en-GB"/>
        </w:rPr>
        <w:t xml:space="preserve">national level </w:t>
      </w:r>
      <w:r>
        <w:rPr>
          <w:rFonts w:cs="Times New Roman"/>
          <w:szCs w:val="24"/>
          <w:lang w:val="en-GB"/>
        </w:rPr>
        <w:t xml:space="preserve">by </w:t>
      </w:r>
      <w:r w:rsidRPr="005B5F57">
        <w:rPr>
          <w:rFonts w:cs="Times New Roman"/>
          <w:szCs w:val="24"/>
          <w:lang w:val="en-GB"/>
        </w:rPr>
        <w:t>creating various coordination mechanisms at</w:t>
      </w:r>
      <w:r>
        <w:rPr>
          <w:rFonts w:cs="Times New Roman"/>
          <w:szCs w:val="24"/>
          <w:lang w:val="en-GB"/>
        </w:rPr>
        <w:t xml:space="preserve"> the</w:t>
      </w:r>
      <w:r w:rsidRPr="005B5F57">
        <w:rPr>
          <w:rFonts w:cs="Times New Roman"/>
          <w:szCs w:val="24"/>
          <w:lang w:val="en-GB"/>
        </w:rPr>
        <w:t xml:space="preserve"> local level. Available data suggest that </w:t>
      </w:r>
      <w:r w:rsidRPr="00833871">
        <w:rPr>
          <w:rFonts w:cs="Times New Roman"/>
          <w:i/>
          <w:szCs w:val="24"/>
          <w:lang w:val="en-GB"/>
        </w:rPr>
        <w:t>ad hoc</w:t>
      </w:r>
      <w:r w:rsidRPr="005B5F57">
        <w:rPr>
          <w:rFonts w:cs="Times New Roman"/>
          <w:szCs w:val="24"/>
          <w:lang w:val="en-GB"/>
        </w:rPr>
        <w:t xml:space="preserve"> coordination bodies </w:t>
      </w:r>
      <w:r>
        <w:rPr>
          <w:rFonts w:cs="Times New Roman"/>
          <w:szCs w:val="24"/>
          <w:lang w:val="en-GB"/>
        </w:rPr>
        <w:t>fail to affect</w:t>
      </w:r>
      <w:r w:rsidRPr="005B5F57">
        <w:rPr>
          <w:rFonts w:cs="Times New Roman"/>
          <w:szCs w:val="24"/>
          <w:lang w:val="en-GB"/>
        </w:rPr>
        <w:t xml:space="preserve"> policy coordination when legal and institutional framework has remained unchanged</w:t>
      </w:r>
      <w:r w:rsidRPr="005B5F57">
        <w:rPr>
          <w:rStyle w:val="FootnoteReference"/>
          <w:rFonts w:cs="Times New Roman"/>
          <w:szCs w:val="24"/>
          <w:lang w:val="en-GB"/>
        </w:rPr>
        <w:footnoteReference w:id="6"/>
      </w:r>
      <w:r w:rsidRPr="005B5F57">
        <w:rPr>
          <w:rFonts w:cs="Times New Roman"/>
          <w:szCs w:val="24"/>
          <w:lang w:val="en-GB"/>
        </w:rPr>
        <w:t xml:space="preserve">. </w:t>
      </w:r>
    </w:p>
    <w:p w:rsidR="00F055D6" w:rsidRPr="005B5F57" w:rsidRDefault="00F055D6" w:rsidP="00F055D6">
      <w:pPr>
        <w:rPr>
          <w:rFonts w:cs="Times New Roman"/>
          <w:szCs w:val="24"/>
          <w:lang w:val="en-GB"/>
        </w:rPr>
      </w:pPr>
      <w:r w:rsidRPr="005B5F57">
        <w:rPr>
          <w:rFonts w:cs="Times New Roman"/>
          <w:szCs w:val="24"/>
          <w:lang w:val="en-GB"/>
        </w:rPr>
        <w:t>As stated in the SIGMA 2011 Assessment Serbia</w:t>
      </w:r>
      <w:r w:rsidRPr="005B5F57">
        <w:rPr>
          <w:rStyle w:val="FootnoteReference"/>
          <w:rFonts w:cs="Times New Roman"/>
          <w:szCs w:val="24"/>
          <w:lang w:val="en-GB"/>
        </w:rPr>
        <w:footnoteReference w:id="7"/>
      </w:r>
      <w:r>
        <w:rPr>
          <w:rFonts w:cs="Times New Roman"/>
          <w:szCs w:val="24"/>
          <w:lang w:val="en-GB"/>
        </w:rPr>
        <w:t>,</w:t>
      </w:r>
      <w:r w:rsidRPr="005B5F57">
        <w:rPr>
          <w:rFonts w:cs="Times New Roman"/>
          <w:szCs w:val="24"/>
          <w:lang w:val="en-GB"/>
        </w:rPr>
        <w:t xml:space="preserve"> limited amount of coordination is carried out at Deputy Prime Minister (DPM) level. At present, this activity is confined to the Social Inclusion and Poverty Reduction Unit (SIPRU) within the Office of the </w:t>
      </w:r>
      <w:r w:rsidR="00003839">
        <w:rPr>
          <w:rFonts w:cs="Times New Roman"/>
          <w:szCs w:val="24"/>
        </w:rPr>
        <w:t xml:space="preserve">Deputy </w:t>
      </w:r>
      <w:r w:rsidRPr="005B5F57">
        <w:rPr>
          <w:rFonts w:cs="Times New Roman"/>
          <w:szCs w:val="24"/>
          <w:lang w:val="en-GB"/>
        </w:rPr>
        <w:t>Prime Minister</w:t>
      </w:r>
      <w:r w:rsidR="006B7850">
        <w:rPr>
          <w:rFonts w:cs="Times New Roman"/>
          <w:szCs w:val="24"/>
          <w:lang w:val="en-GB"/>
        </w:rPr>
        <w:t xml:space="preserve"> for European Integration</w:t>
      </w:r>
      <w:r>
        <w:rPr>
          <w:rFonts w:cs="Times New Roman"/>
          <w:szCs w:val="24"/>
          <w:lang w:val="en-GB"/>
        </w:rPr>
        <w:t xml:space="preserve">. On behalf of the Office, the SIPRU </w:t>
      </w:r>
      <w:r w:rsidRPr="005B5F57">
        <w:rPr>
          <w:rFonts w:cs="Times New Roman"/>
          <w:szCs w:val="24"/>
          <w:lang w:val="en-GB"/>
        </w:rPr>
        <w:t>foster</w:t>
      </w:r>
      <w:r>
        <w:rPr>
          <w:rFonts w:cs="Times New Roman"/>
          <w:szCs w:val="24"/>
          <w:lang w:val="en-GB"/>
        </w:rPr>
        <w:t>s</w:t>
      </w:r>
      <w:r w:rsidRPr="005B5F57">
        <w:rPr>
          <w:rFonts w:cs="Times New Roman"/>
          <w:szCs w:val="24"/>
          <w:lang w:val="en-GB"/>
        </w:rPr>
        <w:t xml:space="preserve"> coordination between ministries on certain issues. The </w:t>
      </w:r>
      <w:r>
        <w:rPr>
          <w:rFonts w:cs="Times New Roman"/>
          <w:szCs w:val="24"/>
          <w:lang w:val="en-GB"/>
        </w:rPr>
        <w:t>SIPRU</w:t>
      </w:r>
      <w:r w:rsidRPr="005B5F57">
        <w:rPr>
          <w:rFonts w:cs="Times New Roman"/>
          <w:szCs w:val="24"/>
          <w:lang w:val="en-GB"/>
        </w:rPr>
        <w:t xml:space="preserve"> does play a limited strategic role within the social sector. The </w:t>
      </w:r>
      <w:r>
        <w:rPr>
          <w:rFonts w:cs="Times New Roman"/>
          <w:szCs w:val="24"/>
          <w:lang w:val="en-GB"/>
        </w:rPr>
        <w:t>offices</w:t>
      </w:r>
      <w:r w:rsidRPr="005B5F57">
        <w:rPr>
          <w:rFonts w:cs="Times New Roman"/>
          <w:szCs w:val="24"/>
          <w:lang w:val="en-GB"/>
        </w:rPr>
        <w:t xml:space="preserve"> of other deputy prime ministers do not. There is neither a strategic planning system nor any capacity to provide policy or strategic advice at the centre of </w:t>
      </w:r>
      <w:r>
        <w:rPr>
          <w:rFonts w:cs="Times New Roman"/>
          <w:szCs w:val="24"/>
          <w:lang w:val="en-GB"/>
        </w:rPr>
        <w:t xml:space="preserve">the </w:t>
      </w:r>
      <w:r w:rsidRPr="005B5F57">
        <w:rPr>
          <w:rFonts w:cs="Times New Roman"/>
          <w:szCs w:val="24"/>
          <w:lang w:val="en-GB"/>
        </w:rPr>
        <w:t>government. However, there are plans to develop a strategic planning system and such a system is under discussion within the General Secretariat, although the government has not yet approved them</w:t>
      </w:r>
      <w:r w:rsidRPr="005B5F57">
        <w:rPr>
          <w:rStyle w:val="FootnoteReference"/>
          <w:rFonts w:cs="Times New Roman"/>
          <w:szCs w:val="24"/>
          <w:lang w:val="en-GB"/>
        </w:rPr>
        <w:footnoteReference w:id="8"/>
      </w:r>
      <w:r w:rsidRPr="005B5F57">
        <w:rPr>
          <w:rFonts w:cs="Times New Roman"/>
          <w:szCs w:val="24"/>
          <w:lang w:val="en-GB"/>
        </w:rPr>
        <w:t>.</w:t>
      </w:r>
    </w:p>
    <w:p w:rsidR="00F055D6" w:rsidRPr="005B5F57" w:rsidRDefault="00F055D6" w:rsidP="00F055D6">
      <w:pPr>
        <w:rPr>
          <w:rFonts w:cs="Times New Roman"/>
          <w:szCs w:val="24"/>
          <w:lang w:val="en-GB"/>
        </w:rPr>
      </w:pPr>
      <w:r w:rsidRPr="005B5F57">
        <w:rPr>
          <w:rFonts w:cs="Times New Roman"/>
          <w:szCs w:val="24"/>
          <w:lang w:val="en-GB"/>
        </w:rPr>
        <w:t xml:space="preserve">In addition to this, the Serbian Government needs to take into account the </w:t>
      </w:r>
      <w:r>
        <w:rPr>
          <w:rFonts w:cs="Times New Roman"/>
          <w:szCs w:val="24"/>
          <w:lang w:val="en-GB"/>
        </w:rPr>
        <w:t xml:space="preserve">need for </w:t>
      </w:r>
      <w:r w:rsidRPr="005B5F57">
        <w:rPr>
          <w:rFonts w:cs="Times New Roman"/>
          <w:szCs w:val="24"/>
          <w:lang w:val="en-GB"/>
        </w:rPr>
        <w:t xml:space="preserve">coordination amongst projects. </w:t>
      </w:r>
      <w:r w:rsidR="00003839">
        <w:rPr>
          <w:rFonts w:cs="Times New Roman"/>
          <w:szCs w:val="24"/>
          <w:lang w:val="en-GB"/>
        </w:rPr>
        <w:t>The issue of enhan</w:t>
      </w:r>
      <w:r w:rsidR="006B7850">
        <w:rPr>
          <w:rFonts w:cs="Times New Roman"/>
          <w:szCs w:val="24"/>
          <w:lang w:val="en-GB"/>
        </w:rPr>
        <w:t>cing the</w:t>
      </w:r>
      <w:r w:rsidR="00003839">
        <w:rPr>
          <w:rFonts w:cs="Times New Roman"/>
          <w:szCs w:val="24"/>
          <w:lang w:val="en-GB"/>
        </w:rPr>
        <w:t xml:space="preserve"> c</w:t>
      </w:r>
      <w:r w:rsidRPr="005B5F57">
        <w:rPr>
          <w:rFonts w:cs="Times New Roman"/>
          <w:szCs w:val="24"/>
          <w:lang w:val="en-GB"/>
        </w:rPr>
        <w:t>oordination need</w:t>
      </w:r>
      <w:r w:rsidR="00003839">
        <w:rPr>
          <w:rFonts w:cs="Times New Roman"/>
          <w:szCs w:val="24"/>
          <w:lang w:val="en-GB"/>
        </w:rPr>
        <w:t>s</w:t>
      </w:r>
      <w:r w:rsidRPr="005B5F57">
        <w:rPr>
          <w:rFonts w:cs="Times New Roman"/>
          <w:szCs w:val="24"/>
          <w:lang w:val="en-GB"/>
        </w:rPr>
        <w:t xml:space="preserve"> to be resolved</w:t>
      </w:r>
      <w:r w:rsidR="002765BF">
        <w:rPr>
          <w:rFonts w:cs="Times New Roman"/>
          <w:szCs w:val="24"/>
          <w:lang w:val="en-GB"/>
        </w:rPr>
        <w:t xml:space="preserve"> fast</w:t>
      </w:r>
      <w:r w:rsidR="00003839">
        <w:rPr>
          <w:rFonts w:cs="Times New Roman"/>
          <w:szCs w:val="24"/>
          <w:lang w:val="en-GB"/>
        </w:rPr>
        <w:t xml:space="preserve"> </w:t>
      </w:r>
      <w:r w:rsidRPr="005B5F57">
        <w:rPr>
          <w:rFonts w:cs="Times New Roman"/>
          <w:szCs w:val="24"/>
          <w:lang w:val="en-GB"/>
        </w:rPr>
        <w:t xml:space="preserve">having in mind </w:t>
      </w:r>
      <w:r>
        <w:rPr>
          <w:rFonts w:cs="Times New Roman"/>
          <w:szCs w:val="24"/>
          <w:lang w:val="en-GB"/>
        </w:rPr>
        <w:t>the EU budget planning time</w:t>
      </w:r>
      <w:r w:rsidRPr="005B5F57">
        <w:rPr>
          <w:rFonts w:cs="Times New Roman"/>
          <w:szCs w:val="24"/>
          <w:lang w:val="en-GB"/>
        </w:rPr>
        <w:t>frame</w:t>
      </w:r>
      <w:r>
        <w:rPr>
          <w:rFonts w:cs="Times New Roman"/>
          <w:szCs w:val="24"/>
          <w:lang w:val="en-GB"/>
        </w:rPr>
        <w:t>,</w:t>
      </w:r>
      <w:r w:rsidRPr="005B5F57">
        <w:rPr>
          <w:rFonts w:cs="Times New Roman"/>
          <w:szCs w:val="24"/>
          <w:lang w:val="en-GB"/>
        </w:rPr>
        <w:t xml:space="preserve"> as well as IFIs and other relevant donors. Coordination with projects could pose a challenge (as they are implemented by </w:t>
      </w:r>
      <w:r>
        <w:rPr>
          <w:rFonts w:cs="Times New Roman"/>
          <w:szCs w:val="24"/>
          <w:lang w:val="en-GB"/>
        </w:rPr>
        <w:t xml:space="preserve">different </w:t>
      </w:r>
      <w:r w:rsidRPr="005B5F57">
        <w:rPr>
          <w:rFonts w:cs="Times New Roman"/>
          <w:szCs w:val="24"/>
          <w:lang w:val="en-GB"/>
        </w:rPr>
        <w:t>ministries</w:t>
      </w:r>
      <w:r>
        <w:rPr>
          <w:rFonts w:cs="Times New Roman"/>
          <w:szCs w:val="24"/>
          <w:lang w:val="en-GB"/>
        </w:rPr>
        <w:t xml:space="preserve"> and contracted agencies</w:t>
      </w:r>
      <w:r w:rsidRPr="005B5F57">
        <w:rPr>
          <w:rFonts w:cs="Times New Roman"/>
          <w:szCs w:val="24"/>
          <w:lang w:val="en-GB"/>
        </w:rPr>
        <w:t xml:space="preserve">, have different lines of accountability etc). </w:t>
      </w:r>
    </w:p>
    <w:p w:rsidR="0018203A" w:rsidRDefault="00625D10" w:rsidP="00541EC7">
      <w:pPr>
        <w:spacing w:after="0"/>
        <w:rPr>
          <w:rFonts w:cs="Times New Roman"/>
          <w:szCs w:val="24"/>
          <w:lang w:val="en-GB"/>
        </w:rPr>
      </w:pPr>
      <w:r>
        <w:rPr>
          <w:rFonts w:cs="Times New Roman"/>
          <w:szCs w:val="24"/>
          <w:lang w:val="en-GB"/>
        </w:rPr>
        <w:t>Finally, t</w:t>
      </w:r>
      <w:r w:rsidR="0018203A" w:rsidRPr="0018203A">
        <w:rPr>
          <w:rFonts w:cs="Times New Roman"/>
          <w:szCs w:val="24"/>
          <w:lang w:val="en-GB"/>
        </w:rPr>
        <w:t xml:space="preserve">he need for </w:t>
      </w:r>
      <w:r w:rsidR="00422B17">
        <w:rPr>
          <w:rFonts w:cs="Times New Roman"/>
          <w:szCs w:val="24"/>
          <w:lang w:val="en-GB"/>
        </w:rPr>
        <w:t>closer cooperation</w:t>
      </w:r>
      <w:r w:rsidR="0018203A" w:rsidRPr="0018203A">
        <w:rPr>
          <w:rFonts w:cs="Times New Roman"/>
          <w:szCs w:val="24"/>
          <w:lang w:val="en-GB"/>
        </w:rPr>
        <w:t xml:space="preserve"> will be seen in near future once Serbia </w:t>
      </w:r>
      <w:r w:rsidR="00A71E83">
        <w:rPr>
          <w:rFonts w:cs="Times New Roman"/>
          <w:szCs w:val="24"/>
          <w:lang w:val="en-GB"/>
        </w:rPr>
        <w:t xml:space="preserve">develops and </w:t>
      </w:r>
      <w:r w:rsidR="002765BF">
        <w:rPr>
          <w:rFonts w:cs="Times New Roman"/>
          <w:szCs w:val="24"/>
          <w:lang w:val="en-GB"/>
        </w:rPr>
        <w:t xml:space="preserve">signs the </w:t>
      </w:r>
      <w:r w:rsidR="00A71E83">
        <w:rPr>
          <w:rFonts w:cs="Times New Roman"/>
          <w:szCs w:val="24"/>
          <w:lang w:val="en-GB"/>
        </w:rPr>
        <w:t>Employment and Social Reform Programme</w:t>
      </w:r>
      <w:r w:rsidR="00B62020">
        <w:rPr>
          <w:rFonts w:cs="Times New Roman"/>
          <w:szCs w:val="24"/>
          <w:lang w:val="en-GB"/>
        </w:rPr>
        <w:t xml:space="preserve"> (ESRP)</w:t>
      </w:r>
      <w:r w:rsidR="00C74F2C">
        <w:rPr>
          <w:rFonts w:cs="Times New Roman"/>
          <w:szCs w:val="24"/>
          <w:lang w:val="en-GB"/>
        </w:rPr>
        <w:t xml:space="preserve"> with the European Commission</w:t>
      </w:r>
      <w:r w:rsidR="007E2705" w:rsidRPr="00C419F5">
        <w:rPr>
          <w:rStyle w:val="FootnoteReference"/>
          <w:sz w:val="22"/>
          <w:lang w:val="sr-Cyrl-RS"/>
        </w:rPr>
        <w:footnoteReference w:id="9"/>
      </w:r>
      <w:r w:rsidR="00C74F2C">
        <w:rPr>
          <w:rFonts w:cs="Times New Roman"/>
          <w:szCs w:val="24"/>
          <w:lang w:val="en-GB"/>
        </w:rPr>
        <w:t>.</w:t>
      </w:r>
    </w:p>
    <w:bookmarkStart w:id="8" w:name="_Toc353190625"/>
    <w:bookmarkStart w:id="9" w:name="_Toc353200757"/>
    <w:p w:rsidR="004B29DB" w:rsidRDefault="00A07B29" w:rsidP="00026901">
      <w:pPr>
        <w:pStyle w:val="Heading2"/>
        <w:rPr>
          <w:rFonts w:cs="Times New Roman"/>
          <w:b w:val="0"/>
          <w:szCs w:val="24"/>
          <w:lang w:val="en-GB"/>
        </w:rPr>
      </w:pPr>
      <w:r>
        <w:rPr>
          <w:rFonts w:cs="Times New Roman"/>
          <w:b w:val="0"/>
          <w:bCs w:val="0"/>
          <w:noProof/>
          <w:szCs w:val="24"/>
        </w:rPr>
        <mc:AlternateContent>
          <mc:Choice Requires="wps">
            <w:drawing>
              <wp:anchor distT="0" distB="0" distL="114300" distR="114300" simplePos="0" relativeHeight="251699200" behindDoc="0" locked="0" layoutInCell="1" allowOverlap="1" wp14:anchorId="6E996FC1" wp14:editId="0F612252">
                <wp:simplePos x="0" y="0"/>
                <wp:positionH relativeFrom="column">
                  <wp:posOffset>-20955</wp:posOffset>
                </wp:positionH>
                <wp:positionV relativeFrom="paragraph">
                  <wp:posOffset>146685</wp:posOffset>
                </wp:positionV>
                <wp:extent cx="5835650" cy="800100"/>
                <wp:effectExtent l="0" t="0" r="12700" b="19050"/>
                <wp:wrapSquare wrapText="bothSides"/>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800100"/>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227A2" w:rsidRPr="00556243" w:rsidRDefault="008227A2" w:rsidP="00444EA0">
                            <w:pPr>
                              <w:rPr>
                                <w:b/>
                                <w:i/>
                              </w:rPr>
                            </w:pPr>
                            <w:r>
                              <w:rPr>
                                <w:b/>
                                <w:i/>
                              </w:rPr>
                              <w:t xml:space="preserve">Cooperation among ministries and public bodies covering the field of social inclusion and policy coordination in implementation phase is </w:t>
                            </w:r>
                            <w:r w:rsidRPr="00704699">
                              <w:rPr>
                                <w:b/>
                                <w:i/>
                              </w:rPr>
                              <w:t xml:space="preserve">a burning issue </w:t>
                            </w:r>
                            <w:r>
                              <w:rPr>
                                <w:b/>
                                <w:i/>
                              </w:rPr>
                              <w:t>for the</w:t>
                            </w:r>
                            <w:r w:rsidRPr="00704699">
                              <w:rPr>
                                <w:b/>
                                <w:i/>
                              </w:rPr>
                              <w:t xml:space="preserve"> Serbian government.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ounded Rectangle 12" o:spid="_x0000_s1027" style="position:absolute;left:0;text-align:left;margin-left:-1.65pt;margin-top:11.55pt;width:459.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" fillcolor="#d8d8d8 [2732]" strokecolor="black [3213]" strokeweight="1pt">
                <v:shadow color="black" opacity="24903f" origin=",.5" offset="0,.55556mm"/>
                <v:path arrowok="t"/>
                <v:textbox>
                  <w:txbxContent>
                    <w:p w:rsidR="008227A2" w:rsidRPr="00556243" w:rsidRDefault="008227A2" w:rsidP="00444EA0">
                      <w:pPr>
                        <w:rPr>
                          <w:b/>
                          <w:i/>
                        </w:rPr>
                      </w:pPr>
                      <w:r>
                        <w:rPr>
                          <w:b/>
                          <w:i/>
                        </w:rPr>
                        <w:t xml:space="preserve">Cooperation among ministries and public bodies covering the field of social inclusion and policy coordination in implementation phase is </w:t>
                      </w:r>
                      <w:r w:rsidRPr="00704699">
                        <w:rPr>
                          <w:b/>
                          <w:i/>
                        </w:rPr>
                        <w:t xml:space="preserve">a burning issue </w:t>
                      </w:r>
                      <w:r>
                        <w:rPr>
                          <w:b/>
                          <w:i/>
                        </w:rPr>
                        <w:t>for the</w:t>
                      </w:r>
                      <w:r w:rsidRPr="00704699">
                        <w:rPr>
                          <w:b/>
                          <w:i/>
                        </w:rPr>
                        <w:t xml:space="preserve"> Serbian government.</w:t>
                      </w:r>
                    </w:p>
                  </w:txbxContent>
                </v:textbox>
                <w10:wrap type="square"/>
              </v:rect>
            </w:pict>
          </mc:Fallback>
        </mc:AlternateContent>
      </w:r>
      <w:bookmarkEnd w:id="8"/>
      <w:bookmarkEnd w:id="9"/>
      <w:r w:rsidR="00444EA0" w:rsidRPr="005B5F57">
        <w:rPr>
          <w:rFonts w:cs="Times New Roman"/>
          <w:b w:val="0"/>
          <w:szCs w:val="24"/>
          <w:lang w:val="en-GB"/>
        </w:rPr>
        <w:t xml:space="preserve"> </w:t>
      </w:r>
    </w:p>
    <w:p w:rsidR="004B29DB" w:rsidRDefault="004B29DB">
      <w:pPr>
        <w:spacing w:before="0" w:after="200"/>
        <w:jc w:val="left"/>
        <w:rPr>
          <w:rFonts w:asciiTheme="majorHAnsi" w:eastAsiaTheme="majorEastAsia" w:hAnsiTheme="majorHAnsi" w:cs="Times New Roman"/>
          <w:bCs/>
          <w:color w:val="4F81BD" w:themeColor="accent1"/>
          <w:sz w:val="26"/>
          <w:szCs w:val="24"/>
          <w:lang w:val="en-GB"/>
        </w:rPr>
      </w:pPr>
      <w:r>
        <w:rPr>
          <w:rFonts w:cs="Times New Roman"/>
          <w:b/>
          <w:szCs w:val="24"/>
          <w:lang w:val="en-GB"/>
        </w:rPr>
        <w:br w:type="page"/>
      </w:r>
    </w:p>
    <w:p w:rsidR="007B38B4" w:rsidRPr="00182D71" w:rsidRDefault="00416612" w:rsidP="00182D71">
      <w:pPr>
        <w:pStyle w:val="Heading1"/>
      </w:pPr>
      <w:bookmarkStart w:id="10" w:name="_Toc353190626"/>
      <w:bookmarkEnd w:id="10"/>
      <w:r w:rsidRPr="00182D71">
        <w:t xml:space="preserve"> </w:t>
      </w:r>
      <w:bookmarkStart w:id="11" w:name="_Toc353200758"/>
      <w:r w:rsidRPr="00182D71">
        <w:t xml:space="preserve">Financial </w:t>
      </w:r>
      <w:r w:rsidR="00B04284" w:rsidRPr="00182D71">
        <w:t xml:space="preserve">Instruments </w:t>
      </w:r>
      <w:r w:rsidR="004B29DB" w:rsidRPr="00182D71">
        <w:t>for social inclusion issues in the Republic of Serbia</w:t>
      </w:r>
      <w:bookmarkEnd w:id="11"/>
    </w:p>
    <w:p w:rsidR="00841BE4" w:rsidRDefault="00E46CBC" w:rsidP="001250AD">
      <w:r w:rsidRPr="001250AD">
        <w:t xml:space="preserve">As a consequence of insufficiently developed level of cooperation </w:t>
      </w:r>
      <w:r w:rsidR="00841BE4" w:rsidRPr="001250AD">
        <w:t>on the side of policy creation</w:t>
      </w:r>
      <w:r w:rsidRPr="001250AD">
        <w:t xml:space="preserve">, implementation of the policies targeting social exclusion is </w:t>
      </w:r>
      <w:r w:rsidR="00841BE4" w:rsidRPr="001250AD">
        <w:t xml:space="preserve">also </w:t>
      </w:r>
      <w:r w:rsidRPr="001250AD">
        <w:t xml:space="preserve">fragmented and not entirely </w:t>
      </w:r>
      <w:r w:rsidR="006B032E" w:rsidRPr="006B032E">
        <w:t>synchronized</w:t>
      </w:r>
      <w:r w:rsidRPr="001250AD">
        <w:t xml:space="preserve">. </w:t>
      </w:r>
      <w:r w:rsidR="004B29DB">
        <w:t>A high number of</w:t>
      </w:r>
      <w:r w:rsidR="004B29DB" w:rsidRPr="001250AD">
        <w:t xml:space="preserve"> </w:t>
      </w:r>
      <w:r w:rsidRPr="001250AD">
        <w:t>ministries</w:t>
      </w:r>
      <w:r w:rsidR="004B29DB">
        <w:t>, bodies and functions tackling social inclusion policies</w:t>
      </w:r>
      <w:r w:rsidRPr="001250AD">
        <w:t xml:space="preserve"> </w:t>
      </w:r>
      <w:r w:rsidR="00B62020">
        <w:t>have</w:t>
      </w:r>
      <w:r w:rsidRPr="001250AD">
        <w:t xml:space="preserve"> </w:t>
      </w:r>
      <w:r w:rsidR="00841BE4" w:rsidRPr="001250AD">
        <w:t>resulted</w:t>
      </w:r>
      <w:r w:rsidRPr="001250AD">
        <w:t xml:space="preserve"> </w:t>
      </w:r>
      <w:r w:rsidR="004B29DB">
        <w:t>in</w:t>
      </w:r>
      <w:r w:rsidR="004B29DB" w:rsidRPr="001250AD">
        <w:t xml:space="preserve"> </w:t>
      </w:r>
      <w:r w:rsidR="004B29DB">
        <w:t>an</w:t>
      </w:r>
      <w:r w:rsidRPr="001250AD">
        <w:t xml:space="preserve"> overpopulation of funds </w:t>
      </w:r>
      <w:r w:rsidR="00841BE4" w:rsidRPr="001250AD">
        <w:t xml:space="preserve">or other initiatives </w:t>
      </w:r>
      <w:r w:rsidRPr="001250AD">
        <w:t xml:space="preserve">established to represent an </w:t>
      </w:r>
      <w:r w:rsidR="004B29DB">
        <w:t>“</w:t>
      </w:r>
      <w:r w:rsidRPr="001250AD">
        <w:t>extended arm</w:t>
      </w:r>
      <w:r w:rsidR="004B29DB">
        <w:t>”</w:t>
      </w:r>
      <w:r w:rsidRPr="001250AD">
        <w:t xml:space="preserve"> </w:t>
      </w:r>
      <w:r w:rsidR="009D2A67">
        <w:t>in view of more efficient</w:t>
      </w:r>
      <w:r w:rsidR="004B29DB" w:rsidRPr="001250AD">
        <w:t xml:space="preserve"> </w:t>
      </w:r>
      <w:r w:rsidRPr="001250AD">
        <w:t>social inclusion polic</w:t>
      </w:r>
      <w:r w:rsidR="004B29DB">
        <w:t>ies</w:t>
      </w:r>
      <w:r w:rsidRPr="001250AD">
        <w:t xml:space="preserve">. </w:t>
      </w:r>
      <w:r w:rsidR="00841BE4" w:rsidRPr="001250AD">
        <w:t>Certainly</w:t>
      </w:r>
      <w:r w:rsidR="00D93612" w:rsidRPr="001250AD">
        <w:t xml:space="preserve"> that these funds are creating results and </w:t>
      </w:r>
      <w:r w:rsidR="00841BE4" w:rsidRPr="001250AD">
        <w:t>contributing</w:t>
      </w:r>
      <w:r w:rsidR="00D93612" w:rsidRPr="001250AD">
        <w:t xml:space="preserve"> to </w:t>
      </w:r>
      <w:r w:rsidR="00841BE4" w:rsidRPr="001250AD">
        <w:t xml:space="preserve">social inclusion, </w:t>
      </w:r>
      <w:r w:rsidR="00D93612" w:rsidRPr="001250AD">
        <w:t xml:space="preserve">but simple logic of synergy implies rethinking of the </w:t>
      </w:r>
      <w:r w:rsidR="00841BE4" w:rsidRPr="001250AD">
        <w:t>existing</w:t>
      </w:r>
      <w:r w:rsidR="00D93612" w:rsidRPr="001250AD">
        <w:t xml:space="preserve"> structures and funds. </w:t>
      </w:r>
      <w:r w:rsidR="00841BE4" w:rsidRPr="001250AD">
        <w:t>Additional</w:t>
      </w:r>
      <w:r w:rsidR="00D93612" w:rsidRPr="001250AD">
        <w:t xml:space="preserve"> weakness reiterated by the </w:t>
      </w:r>
      <w:r w:rsidR="00841BE4" w:rsidRPr="001250AD">
        <w:t>interviewees</w:t>
      </w:r>
      <w:r w:rsidR="00D93612" w:rsidRPr="001250AD">
        <w:t xml:space="preserve"> in this study is that the </w:t>
      </w:r>
      <w:r w:rsidR="00841BE4" w:rsidRPr="001250AD">
        <w:t>system</w:t>
      </w:r>
      <w:r w:rsidR="00D93612" w:rsidRPr="001250AD">
        <w:t xml:space="preserve"> of indicators and monitoring of the effects of the </w:t>
      </w:r>
      <w:r w:rsidR="00841BE4" w:rsidRPr="001250AD">
        <w:t>existing measures implemented through these funds</w:t>
      </w:r>
      <w:r w:rsidR="00D93612" w:rsidRPr="001250AD">
        <w:t xml:space="preserve"> </w:t>
      </w:r>
      <w:r w:rsidR="00E65186">
        <w:t>is</w:t>
      </w:r>
      <w:r w:rsidR="00D93612" w:rsidRPr="001250AD">
        <w:t xml:space="preserve"> not </w:t>
      </w:r>
      <w:r w:rsidR="00841BE4" w:rsidRPr="001250AD">
        <w:t>present</w:t>
      </w:r>
      <w:r w:rsidR="00D93612" w:rsidRPr="001250AD">
        <w:t xml:space="preserve"> or not </w:t>
      </w:r>
      <w:r w:rsidR="00841BE4" w:rsidRPr="001250AD">
        <w:t>sufficiently</w:t>
      </w:r>
      <w:r w:rsidR="00D93612" w:rsidRPr="001250AD">
        <w:t xml:space="preserve"> </w:t>
      </w:r>
      <w:r w:rsidR="00841BE4" w:rsidRPr="001250AD">
        <w:t>developed</w:t>
      </w:r>
      <w:r w:rsidR="00D93612" w:rsidRPr="001250AD">
        <w:t xml:space="preserve">. </w:t>
      </w:r>
    </w:p>
    <w:p w:rsidR="004B29DB" w:rsidRPr="00182D71" w:rsidRDefault="004B29DB" w:rsidP="00182D71">
      <w:pPr>
        <w:pStyle w:val="Heading2"/>
      </w:pPr>
      <w:bookmarkStart w:id="12" w:name="_Toc353200759"/>
      <w:r w:rsidRPr="00182D71">
        <w:t>2.1. Financing Social Inclusion on the Central Government Level</w:t>
      </w:r>
      <w:bookmarkEnd w:id="12"/>
    </w:p>
    <w:p w:rsidR="00D93612" w:rsidRDefault="00841BE4" w:rsidP="001250AD">
      <w:r w:rsidRPr="001250AD">
        <w:t xml:space="preserve">According to </w:t>
      </w:r>
      <w:r w:rsidR="00371E0E">
        <w:t>the relevant regulations of the Republic of Serbia</w:t>
      </w:r>
      <w:r w:rsidR="001250AD">
        <w:t>,</w:t>
      </w:r>
      <w:r w:rsidRPr="001250AD">
        <w:t xml:space="preserve"> </w:t>
      </w:r>
      <w:r w:rsidR="00371E0E">
        <w:t xml:space="preserve">the </w:t>
      </w:r>
      <w:r w:rsidRPr="001250AD">
        <w:t xml:space="preserve">following </w:t>
      </w:r>
      <w:r w:rsidR="001250AD">
        <w:t xml:space="preserve">selected </w:t>
      </w:r>
      <w:r w:rsidRPr="001250AD">
        <w:t>funds have been allocated for social inclusion</w:t>
      </w:r>
      <w:r w:rsidR="000F1B53">
        <w:t xml:space="preserve"> measures</w:t>
      </w:r>
      <w:r w:rsidR="001250AD">
        <w:t>:</w:t>
      </w:r>
      <w:r w:rsidRPr="001250AD">
        <w:t xml:space="preserve"> </w:t>
      </w:r>
    </w:p>
    <w:p w:rsidR="00B62020" w:rsidRDefault="00371E0E" w:rsidP="00B62020">
      <w:pPr>
        <w:rPr>
          <w:b/>
        </w:rPr>
      </w:pPr>
      <w:r w:rsidRPr="00B62020">
        <w:rPr>
          <w:b/>
        </w:rPr>
        <w:t>Table 1: Overview of planned and spent funds for the selected budget funds</w:t>
      </w:r>
    </w:p>
    <w:p w:rsidR="00B62020" w:rsidRPr="00BB4A9F" w:rsidRDefault="009D2A67" w:rsidP="00B62020">
      <w:pPr>
        <w:pStyle w:val="NoSpacing"/>
        <w:jc w:val="right"/>
        <w:rPr>
          <w:i/>
          <w:sz w:val="20"/>
          <w:szCs w:val="20"/>
        </w:rPr>
      </w:pPr>
      <w:r>
        <w:rPr>
          <w:i/>
          <w:sz w:val="20"/>
          <w:szCs w:val="20"/>
        </w:rPr>
        <w:t>In</w:t>
      </w:r>
      <w:r w:rsidR="00B62020">
        <w:rPr>
          <w:i/>
          <w:sz w:val="20"/>
          <w:szCs w:val="20"/>
        </w:rPr>
        <w:t xml:space="preserve"> RSD</w:t>
      </w:r>
    </w:p>
    <w:tbl>
      <w:tblPr>
        <w:tblW w:w="104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347"/>
        <w:gridCol w:w="1276"/>
        <w:gridCol w:w="1276"/>
        <w:gridCol w:w="1417"/>
        <w:gridCol w:w="1276"/>
        <w:gridCol w:w="1276"/>
      </w:tblGrid>
      <w:tr w:rsidR="00B62020" w:rsidRPr="00250B4B" w:rsidTr="008772C8">
        <w:trPr>
          <w:trHeight w:val="255"/>
          <w:jc w:val="center"/>
        </w:trPr>
        <w:tc>
          <w:tcPr>
            <w:tcW w:w="2552" w:type="dxa"/>
            <w:shd w:val="clear" w:color="auto" w:fill="auto"/>
            <w:noWrap/>
            <w:vAlign w:val="bottom"/>
            <w:hideMark/>
          </w:tcPr>
          <w:p w:rsidR="00B62020" w:rsidRPr="00250B4B" w:rsidRDefault="00B62020" w:rsidP="008772C8">
            <w:pPr>
              <w:jc w:val="left"/>
              <w:rPr>
                <w:rFonts w:eastAsia="Times New Roman"/>
                <w:sz w:val="18"/>
                <w:szCs w:val="18"/>
                <w:lang w:val="sr-Cyrl-RS" w:eastAsia="sr-Cyrl-CS"/>
              </w:rPr>
            </w:pPr>
          </w:p>
        </w:tc>
        <w:tc>
          <w:tcPr>
            <w:tcW w:w="5316" w:type="dxa"/>
            <w:gridSpan w:val="4"/>
            <w:shd w:val="clear" w:color="auto" w:fill="auto"/>
            <w:noWrap/>
            <w:vAlign w:val="bottom"/>
            <w:hideMark/>
          </w:tcPr>
          <w:p w:rsidR="00B62020" w:rsidRPr="00250B4B" w:rsidRDefault="00B62020" w:rsidP="008772C8">
            <w:pPr>
              <w:jc w:val="center"/>
              <w:rPr>
                <w:rFonts w:eastAsia="Times New Roman"/>
                <w:b/>
                <w:bCs/>
                <w:sz w:val="18"/>
                <w:szCs w:val="18"/>
                <w:lang w:val="sr-Cyrl-RS" w:eastAsia="sr-Cyrl-CS"/>
              </w:rPr>
            </w:pPr>
            <w:r w:rsidRPr="00250B4B">
              <w:rPr>
                <w:rFonts w:eastAsia="Times New Roman"/>
                <w:b/>
                <w:bCs/>
                <w:sz w:val="18"/>
                <w:szCs w:val="18"/>
                <w:lang w:val="sr-Cyrl-RS" w:eastAsia="sr-Cyrl-CS"/>
              </w:rPr>
              <w:t>2011</w:t>
            </w:r>
            <w:r w:rsidRPr="00250B4B">
              <w:rPr>
                <w:rStyle w:val="FootnoteReference"/>
                <w:rFonts w:eastAsia="Times New Roman"/>
                <w:b/>
                <w:bCs/>
                <w:sz w:val="18"/>
                <w:szCs w:val="18"/>
                <w:lang w:val="sr-Cyrl-RS" w:eastAsia="sr-Cyrl-CS"/>
              </w:rPr>
              <w:footnoteReference w:id="10"/>
            </w:r>
          </w:p>
        </w:tc>
        <w:tc>
          <w:tcPr>
            <w:tcW w:w="1276" w:type="dxa"/>
            <w:shd w:val="clear" w:color="auto" w:fill="auto"/>
            <w:noWrap/>
            <w:vAlign w:val="bottom"/>
            <w:hideMark/>
          </w:tcPr>
          <w:p w:rsidR="00B62020" w:rsidRPr="00250B4B" w:rsidRDefault="00B62020" w:rsidP="008772C8">
            <w:pPr>
              <w:jc w:val="center"/>
              <w:rPr>
                <w:rFonts w:eastAsia="Times New Roman"/>
                <w:sz w:val="18"/>
                <w:szCs w:val="18"/>
                <w:lang w:val="sr-Cyrl-RS" w:eastAsia="sr-Cyrl-CS"/>
              </w:rPr>
            </w:pPr>
            <w:r w:rsidRPr="00250B4B">
              <w:rPr>
                <w:rFonts w:eastAsia="Times New Roman"/>
                <w:b/>
                <w:bCs/>
                <w:sz w:val="18"/>
                <w:szCs w:val="18"/>
                <w:lang w:val="sr-Cyrl-RS" w:eastAsia="sr-Cyrl-CS"/>
              </w:rPr>
              <w:t>2012</w:t>
            </w:r>
            <w:r w:rsidRPr="00250B4B">
              <w:rPr>
                <w:rStyle w:val="FootnoteReference"/>
                <w:rFonts w:eastAsia="Times New Roman"/>
                <w:b/>
                <w:bCs/>
                <w:sz w:val="18"/>
                <w:szCs w:val="18"/>
                <w:lang w:val="sr-Cyrl-RS" w:eastAsia="sr-Cyrl-CS"/>
              </w:rPr>
              <w:footnoteReference w:id="11"/>
            </w:r>
          </w:p>
        </w:tc>
        <w:tc>
          <w:tcPr>
            <w:tcW w:w="1276" w:type="dxa"/>
          </w:tcPr>
          <w:p w:rsidR="00B62020" w:rsidRPr="00574429" w:rsidRDefault="00B62020" w:rsidP="008772C8">
            <w:pPr>
              <w:jc w:val="center"/>
              <w:rPr>
                <w:rFonts w:eastAsia="Times New Roman"/>
                <w:b/>
                <w:bCs/>
                <w:sz w:val="18"/>
                <w:szCs w:val="18"/>
                <w:lang w:val="en-GB" w:eastAsia="sr-Cyrl-CS"/>
              </w:rPr>
            </w:pPr>
            <w:r>
              <w:rPr>
                <w:rFonts w:eastAsia="Times New Roman"/>
                <w:b/>
                <w:bCs/>
                <w:sz w:val="18"/>
                <w:szCs w:val="18"/>
                <w:lang w:val="en-GB" w:eastAsia="sr-Cyrl-CS"/>
              </w:rPr>
              <w:t>2013</w:t>
            </w:r>
            <w:r>
              <w:rPr>
                <w:rStyle w:val="FootnoteReference"/>
                <w:rFonts w:eastAsia="Times New Roman"/>
                <w:b/>
                <w:bCs/>
                <w:sz w:val="18"/>
                <w:szCs w:val="18"/>
                <w:lang w:val="en-GB" w:eastAsia="sr-Cyrl-CS"/>
              </w:rPr>
              <w:footnoteReference w:id="12"/>
            </w:r>
          </w:p>
        </w:tc>
      </w:tr>
      <w:tr w:rsidR="00B62020" w:rsidRPr="00250B4B" w:rsidTr="008772C8">
        <w:trPr>
          <w:trHeight w:val="308"/>
          <w:jc w:val="center"/>
        </w:trPr>
        <w:tc>
          <w:tcPr>
            <w:tcW w:w="2552" w:type="dxa"/>
            <w:shd w:val="clear" w:color="auto" w:fill="auto"/>
            <w:vAlign w:val="center"/>
            <w:hideMark/>
          </w:tcPr>
          <w:p w:rsidR="00B62020" w:rsidRPr="00BB4A9F" w:rsidRDefault="00B62020" w:rsidP="008772C8">
            <w:pPr>
              <w:jc w:val="center"/>
              <w:rPr>
                <w:rFonts w:eastAsia="Times New Roman"/>
                <w:sz w:val="18"/>
                <w:szCs w:val="18"/>
                <w:lang w:eastAsia="sr-Cyrl-CS"/>
              </w:rPr>
            </w:pPr>
            <w:r>
              <w:rPr>
                <w:rFonts w:eastAsia="Times New Roman"/>
                <w:sz w:val="18"/>
                <w:szCs w:val="18"/>
                <w:lang w:eastAsia="sr-Cyrl-CS"/>
              </w:rPr>
              <w:t>DESCRIPTION</w:t>
            </w:r>
          </w:p>
        </w:tc>
        <w:tc>
          <w:tcPr>
            <w:tcW w:w="1347" w:type="dxa"/>
            <w:shd w:val="clear" w:color="auto" w:fill="auto"/>
            <w:noWrap/>
            <w:vAlign w:val="center"/>
            <w:hideMark/>
          </w:tcPr>
          <w:p w:rsidR="00B62020" w:rsidRPr="00BB4A9F" w:rsidRDefault="00B62020" w:rsidP="008772C8">
            <w:pPr>
              <w:jc w:val="center"/>
              <w:rPr>
                <w:rFonts w:eastAsia="Times New Roman"/>
                <w:b/>
                <w:bCs/>
                <w:sz w:val="18"/>
                <w:szCs w:val="18"/>
                <w:lang w:eastAsia="sr-Cyrl-CS"/>
              </w:rPr>
            </w:pPr>
            <w:r>
              <w:rPr>
                <w:rFonts w:eastAsia="Times New Roman"/>
                <w:b/>
                <w:bCs/>
                <w:sz w:val="18"/>
                <w:szCs w:val="18"/>
                <w:lang w:eastAsia="sr-Cyrl-CS"/>
              </w:rPr>
              <w:t>Law</w:t>
            </w:r>
          </w:p>
        </w:tc>
        <w:tc>
          <w:tcPr>
            <w:tcW w:w="1276" w:type="dxa"/>
            <w:shd w:val="clear" w:color="auto" w:fill="auto"/>
            <w:noWrap/>
            <w:vAlign w:val="center"/>
            <w:hideMark/>
          </w:tcPr>
          <w:p w:rsidR="00B62020" w:rsidRPr="00BB4A9F" w:rsidRDefault="00B62020" w:rsidP="008772C8">
            <w:pPr>
              <w:jc w:val="center"/>
              <w:rPr>
                <w:rFonts w:eastAsia="Times New Roman"/>
                <w:b/>
                <w:bCs/>
                <w:sz w:val="18"/>
                <w:szCs w:val="18"/>
                <w:lang w:eastAsia="sr-Cyrl-CS"/>
              </w:rPr>
            </w:pPr>
            <w:r>
              <w:rPr>
                <w:rFonts w:eastAsia="Times New Roman"/>
                <w:b/>
                <w:bCs/>
                <w:sz w:val="18"/>
                <w:szCs w:val="18"/>
                <w:lang w:eastAsia="sr-Cyrl-CS"/>
              </w:rPr>
              <w:t>Current appropriation</w:t>
            </w:r>
          </w:p>
        </w:tc>
        <w:tc>
          <w:tcPr>
            <w:tcW w:w="1276" w:type="dxa"/>
            <w:shd w:val="clear" w:color="auto" w:fill="auto"/>
            <w:noWrap/>
            <w:vAlign w:val="center"/>
            <w:hideMark/>
          </w:tcPr>
          <w:p w:rsidR="00B62020" w:rsidRPr="00BB4A9F" w:rsidRDefault="00B62020" w:rsidP="008772C8">
            <w:pPr>
              <w:jc w:val="center"/>
              <w:rPr>
                <w:rFonts w:eastAsia="Times New Roman"/>
                <w:b/>
                <w:bCs/>
                <w:sz w:val="18"/>
                <w:szCs w:val="18"/>
                <w:lang w:eastAsia="sr-Cyrl-CS"/>
              </w:rPr>
            </w:pPr>
            <w:r>
              <w:rPr>
                <w:rFonts w:eastAsia="Times New Roman"/>
                <w:b/>
                <w:bCs/>
                <w:sz w:val="18"/>
                <w:szCs w:val="18"/>
                <w:lang w:eastAsia="sr-Cyrl-CS"/>
              </w:rPr>
              <w:t>Execution</w:t>
            </w:r>
          </w:p>
        </w:tc>
        <w:tc>
          <w:tcPr>
            <w:tcW w:w="1417" w:type="dxa"/>
            <w:shd w:val="clear" w:color="auto" w:fill="auto"/>
            <w:noWrap/>
            <w:vAlign w:val="center"/>
            <w:hideMark/>
          </w:tcPr>
          <w:p w:rsidR="00B62020" w:rsidRPr="00BB4A9F" w:rsidRDefault="00B62020" w:rsidP="008772C8">
            <w:pPr>
              <w:jc w:val="center"/>
              <w:rPr>
                <w:rFonts w:eastAsia="Times New Roman"/>
                <w:b/>
                <w:bCs/>
                <w:sz w:val="18"/>
                <w:szCs w:val="18"/>
                <w:lang w:eastAsia="sr-Cyrl-CS"/>
              </w:rPr>
            </w:pPr>
            <w:r w:rsidRPr="00250B4B">
              <w:rPr>
                <w:rFonts w:eastAsia="Times New Roman"/>
                <w:b/>
                <w:bCs/>
                <w:sz w:val="18"/>
                <w:szCs w:val="18"/>
                <w:lang w:val="sr-Cyrl-RS" w:eastAsia="sr-Cyrl-CS"/>
              </w:rPr>
              <w:t xml:space="preserve">% </w:t>
            </w:r>
            <w:r>
              <w:rPr>
                <w:rFonts w:eastAsia="Times New Roman"/>
                <w:b/>
                <w:bCs/>
                <w:sz w:val="18"/>
                <w:szCs w:val="18"/>
                <w:lang w:eastAsia="sr-Cyrl-CS"/>
              </w:rPr>
              <w:t>execution</w:t>
            </w:r>
          </w:p>
          <w:p w:rsidR="00B62020" w:rsidRPr="00250B4B" w:rsidRDefault="00B62020" w:rsidP="008772C8">
            <w:pPr>
              <w:jc w:val="center"/>
              <w:rPr>
                <w:rFonts w:eastAsia="Times New Roman"/>
                <w:bCs/>
                <w:sz w:val="18"/>
                <w:szCs w:val="18"/>
                <w:lang w:val="sr-Cyrl-RS" w:eastAsia="sr-Cyrl-CS"/>
              </w:rPr>
            </w:pPr>
            <w:r w:rsidRPr="00250B4B">
              <w:rPr>
                <w:rFonts w:eastAsia="Times New Roman"/>
                <w:bCs/>
                <w:sz w:val="18"/>
                <w:szCs w:val="18"/>
                <w:lang w:val="sr-Cyrl-RS" w:eastAsia="sr-Cyrl-CS"/>
              </w:rPr>
              <w:t>(</w:t>
            </w:r>
            <w:r>
              <w:rPr>
                <w:rFonts w:eastAsia="Times New Roman"/>
                <w:sz w:val="18"/>
                <w:szCs w:val="18"/>
                <w:lang w:eastAsia="sr-Cyrl-CS"/>
              </w:rPr>
              <w:t>in relation to current appropriation</w:t>
            </w:r>
            <w:r w:rsidRPr="00250B4B">
              <w:rPr>
                <w:rFonts w:eastAsia="Times New Roman"/>
                <w:bCs/>
                <w:sz w:val="18"/>
                <w:szCs w:val="18"/>
                <w:lang w:val="sr-Cyrl-RS" w:eastAsia="sr-Cyrl-CS"/>
              </w:rPr>
              <w:t>)</w:t>
            </w:r>
          </w:p>
        </w:tc>
        <w:tc>
          <w:tcPr>
            <w:tcW w:w="1276" w:type="dxa"/>
            <w:shd w:val="clear" w:color="auto" w:fill="auto"/>
            <w:noWrap/>
            <w:vAlign w:val="center"/>
            <w:hideMark/>
          </w:tcPr>
          <w:p w:rsidR="00B62020" w:rsidRPr="00BB4A9F" w:rsidRDefault="00B62020" w:rsidP="008772C8">
            <w:pPr>
              <w:jc w:val="center"/>
              <w:rPr>
                <w:rFonts w:eastAsia="Times New Roman"/>
                <w:sz w:val="18"/>
                <w:szCs w:val="18"/>
                <w:lang w:eastAsia="sr-Cyrl-CS"/>
              </w:rPr>
            </w:pPr>
            <w:r>
              <w:rPr>
                <w:rFonts w:eastAsia="Times New Roman"/>
                <w:b/>
                <w:bCs/>
                <w:sz w:val="18"/>
                <w:szCs w:val="18"/>
                <w:lang w:eastAsia="sr-Cyrl-CS"/>
              </w:rPr>
              <w:t>Law</w:t>
            </w:r>
            <w:r w:rsidRPr="00250B4B">
              <w:rPr>
                <w:rFonts w:eastAsia="Times New Roman"/>
                <w:b/>
                <w:bCs/>
                <w:sz w:val="18"/>
                <w:szCs w:val="18"/>
                <w:lang w:val="sr-Cyrl-RS" w:eastAsia="sr-Cyrl-CS"/>
              </w:rPr>
              <w:t xml:space="preserve"> - </w:t>
            </w:r>
            <w:r>
              <w:rPr>
                <w:rFonts w:eastAsia="Times New Roman"/>
                <w:b/>
                <w:bCs/>
                <w:sz w:val="18"/>
                <w:szCs w:val="18"/>
                <w:lang w:eastAsia="sr-Cyrl-CS"/>
              </w:rPr>
              <w:t>REVISION</w:t>
            </w:r>
          </w:p>
        </w:tc>
        <w:tc>
          <w:tcPr>
            <w:tcW w:w="1276" w:type="dxa"/>
            <w:vAlign w:val="center"/>
          </w:tcPr>
          <w:p w:rsidR="00B62020" w:rsidRPr="00BB4A9F" w:rsidRDefault="00B62020" w:rsidP="008772C8">
            <w:pPr>
              <w:jc w:val="center"/>
              <w:rPr>
                <w:rFonts w:eastAsia="Times New Roman"/>
                <w:b/>
                <w:bCs/>
                <w:sz w:val="18"/>
                <w:szCs w:val="18"/>
                <w:lang w:eastAsia="sr-Cyrl-CS"/>
              </w:rPr>
            </w:pPr>
            <w:r>
              <w:rPr>
                <w:rFonts w:eastAsia="Times New Roman"/>
                <w:b/>
                <w:bCs/>
                <w:sz w:val="18"/>
                <w:szCs w:val="18"/>
                <w:lang w:eastAsia="sr-Cyrl-CS"/>
              </w:rPr>
              <w:t>Law</w:t>
            </w:r>
          </w:p>
        </w:tc>
      </w:tr>
      <w:tr w:rsidR="00B62020" w:rsidRPr="00250B4B" w:rsidTr="008772C8">
        <w:trPr>
          <w:trHeight w:val="255"/>
          <w:jc w:val="center"/>
        </w:trPr>
        <w:tc>
          <w:tcPr>
            <w:tcW w:w="10420" w:type="dxa"/>
            <w:gridSpan w:val="7"/>
            <w:tcBorders>
              <w:top w:val="single" w:sz="12" w:space="0" w:color="auto"/>
            </w:tcBorders>
            <w:shd w:val="pct10" w:color="auto" w:fill="auto"/>
            <w:noWrap/>
            <w:vAlign w:val="bottom"/>
            <w:hideMark/>
          </w:tcPr>
          <w:p w:rsidR="00B62020" w:rsidRPr="00250B4B" w:rsidRDefault="00B62020" w:rsidP="00B62020">
            <w:pPr>
              <w:jc w:val="left"/>
              <w:rPr>
                <w:rFonts w:eastAsia="Times New Roman"/>
                <w:b/>
                <w:bCs/>
                <w:sz w:val="18"/>
                <w:szCs w:val="18"/>
                <w:lang w:val="sr-Cyrl-RS" w:eastAsia="sr-Cyrl-CS"/>
              </w:rPr>
            </w:pPr>
            <w:r>
              <w:rPr>
                <w:rFonts w:eastAsia="Times New Roman"/>
                <w:b/>
                <w:bCs/>
                <w:sz w:val="18"/>
                <w:szCs w:val="18"/>
                <w:lang w:eastAsia="sr-Cyrl-CS"/>
              </w:rPr>
              <w:t>BUDGET F</w:t>
            </w:r>
            <w:r w:rsidRPr="00BB4A9F">
              <w:rPr>
                <w:rFonts w:eastAsia="Times New Roman"/>
                <w:b/>
                <w:bCs/>
                <w:sz w:val="18"/>
                <w:szCs w:val="18"/>
                <w:lang w:val="sr-Cyrl-RS" w:eastAsia="sr-Cyrl-CS"/>
              </w:rPr>
              <w:t xml:space="preserve">UND FOR VOCATIONAL REHABILITATION AND PROMOTION OF EMPLOYMENT OF </w:t>
            </w:r>
            <w:r>
              <w:rPr>
                <w:rFonts w:eastAsia="Times New Roman"/>
                <w:b/>
                <w:bCs/>
                <w:sz w:val="18"/>
                <w:szCs w:val="18"/>
                <w:lang w:eastAsia="sr-Cyrl-CS"/>
              </w:rPr>
              <w:t>PERSONS</w:t>
            </w:r>
            <w:r w:rsidRPr="00BB4A9F">
              <w:rPr>
                <w:rFonts w:eastAsia="Times New Roman"/>
                <w:b/>
                <w:bCs/>
                <w:sz w:val="18"/>
                <w:szCs w:val="18"/>
                <w:lang w:val="sr-Cyrl-RS" w:eastAsia="sr-Cyrl-CS"/>
              </w:rPr>
              <w:t xml:space="preserve"> WITH DISABILITIES</w:t>
            </w:r>
            <w:r w:rsidRPr="00BB4A9F">
              <w:rPr>
                <w:vertAlign w:val="superscript"/>
              </w:rPr>
              <w:footnoteReference w:id="13"/>
            </w:r>
          </w:p>
        </w:tc>
      </w:tr>
      <w:tr w:rsidR="00B62020" w:rsidRPr="00250B4B" w:rsidTr="008772C8">
        <w:trPr>
          <w:trHeight w:val="255"/>
          <w:jc w:val="center"/>
        </w:trPr>
        <w:tc>
          <w:tcPr>
            <w:tcW w:w="10420" w:type="dxa"/>
            <w:gridSpan w:val="7"/>
            <w:shd w:val="clear" w:color="auto" w:fill="auto"/>
            <w:noWrap/>
            <w:vAlign w:val="bottom"/>
            <w:hideMark/>
          </w:tcPr>
          <w:p w:rsidR="00B62020" w:rsidRPr="00250B4B" w:rsidRDefault="00B62020" w:rsidP="008772C8">
            <w:pPr>
              <w:jc w:val="left"/>
              <w:rPr>
                <w:rFonts w:eastAsia="Times New Roman"/>
                <w:sz w:val="18"/>
                <w:szCs w:val="18"/>
                <w:lang w:val="sr-Cyrl-RS" w:eastAsia="sr-Cyrl-CS"/>
              </w:rPr>
            </w:pPr>
            <w:r>
              <w:rPr>
                <w:rFonts w:eastAsia="Times New Roman"/>
                <w:sz w:val="18"/>
                <w:szCs w:val="18"/>
                <w:lang w:eastAsia="sr-Cyrl-CS"/>
              </w:rPr>
              <w:t>Sources of funding</w:t>
            </w:r>
            <w:r w:rsidRPr="00250B4B">
              <w:rPr>
                <w:rFonts w:eastAsia="Times New Roman"/>
                <w:sz w:val="18"/>
                <w:szCs w:val="18"/>
                <w:lang w:val="sr-Cyrl-RS" w:eastAsia="sr-Cyrl-CS"/>
              </w:rPr>
              <w:t>:</w:t>
            </w:r>
          </w:p>
        </w:tc>
      </w:tr>
      <w:tr w:rsidR="00B62020" w:rsidRPr="00250B4B" w:rsidTr="008772C8">
        <w:trPr>
          <w:trHeight w:val="255"/>
          <w:jc w:val="center"/>
        </w:trPr>
        <w:tc>
          <w:tcPr>
            <w:tcW w:w="2552" w:type="dxa"/>
            <w:shd w:val="clear" w:color="auto" w:fill="auto"/>
            <w:noWrap/>
            <w:vAlign w:val="bottom"/>
            <w:hideMark/>
          </w:tcPr>
          <w:p w:rsidR="00B62020" w:rsidRPr="00BB4A9F" w:rsidRDefault="00B62020" w:rsidP="008772C8">
            <w:pPr>
              <w:ind w:left="459"/>
              <w:jc w:val="left"/>
              <w:rPr>
                <w:rFonts w:eastAsia="Times New Roman"/>
                <w:sz w:val="18"/>
                <w:szCs w:val="18"/>
                <w:lang w:eastAsia="sr-Cyrl-CS"/>
              </w:rPr>
            </w:pPr>
            <w:r>
              <w:rPr>
                <w:rFonts w:eastAsia="Times New Roman"/>
                <w:sz w:val="18"/>
                <w:szCs w:val="18"/>
                <w:lang w:eastAsia="sr-Cyrl-CS"/>
              </w:rPr>
              <w:t>Budget revenues</w:t>
            </w:r>
          </w:p>
        </w:tc>
        <w:tc>
          <w:tcPr>
            <w:tcW w:w="134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20</w:t>
            </w:r>
            <w:r>
              <w:rPr>
                <w:rFonts w:eastAsia="Times New Roman"/>
                <w:sz w:val="18"/>
                <w:szCs w:val="18"/>
                <w:lang w:val="sr-Cyrl-RS" w:eastAsia="sr-Cyrl-CS"/>
              </w:rPr>
              <w:t>,</w:t>
            </w:r>
            <w:r w:rsidRPr="00250B4B">
              <w:rPr>
                <w:rFonts w:eastAsia="Times New Roman"/>
                <w:sz w:val="18"/>
                <w:szCs w:val="18"/>
                <w:lang w:val="sr-Cyrl-RS" w:eastAsia="sr-Cyrl-CS"/>
              </w:rPr>
              <w:t>000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20</w:t>
            </w:r>
            <w:r>
              <w:rPr>
                <w:rFonts w:eastAsia="Times New Roman"/>
                <w:sz w:val="18"/>
                <w:szCs w:val="18"/>
                <w:lang w:val="sr-Cyrl-RS" w:eastAsia="sr-Cyrl-CS"/>
              </w:rPr>
              <w:t>,</w:t>
            </w:r>
            <w:r w:rsidRPr="00250B4B">
              <w:rPr>
                <w:rFonts w:eastAsia="Times New Roman"/>
                <w:sz w:val="18"/>
                <w:szCs w:val="18"/>
                <w:lang w:val="sr-Cyrl-RS" w:eastAsia="sr-Cyrl-CS"/>
              </w:rPr>
              <w:t>000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0</w:t>
            </w:r>
          </w:p>
        </w:tc>
        <w:tc>
          <w:tcPr>
            <w:tcW w:w="141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0</w:t>
            </w:r>
          </w:p>
        </w:tc>
        <w:tc>
          <w:tcPr>
            <w:tcW w:w="1276" w:type="dxa"/>
            <w:shd w:val="clear" w:color="auto" w:fill="auto"/>
            <w:noWrap/>
            <w:vAlign w:val="center"/>
            <w:hideMark/>
          </w:tcPr>
          <w:p w:rsidR="00B62020" w:rsidRPr="00250B4B" w:rsidRDefault="00B62020" w:rsidP="008772C8">
            <w:pPr>
              <w:jc w:val="right"/>
              <w:rPr>
                <w:rFonts w:eastAsia="Times New Roman"/>
                <w:b/>
                <w:color w:val="000000"/>
                <w:sz w:val="18"/>
                <w:szCs w:val="18"/>
                <w:lang w:val="sr-Cyrl-RS" w:eastAsia="sr-Cyrl-CS"/>
              </w:rPr>
            </w:pPr>
          </w:p>
        </w:tc>
        <w:tc>
          <w:tcPr>
            <w:tcW w:w="1276" w:type="dxa"/>
            <w:vAlign w:val="center"/>
          </w:tcPr>
          <w:p w:rsidR="00B62020" w:rsidRPr="00250B4B" w:rsidRDefault="00B62020" w:rsidP="008772C8">
            <w:pPr>
              <w:jc w:val="right"/>
              <w:rPr>
                <w:rFonts w:eastAsia="Times New Roman"/>
                <w:b/>
                <w:color w:val="000000"/>
                <w:sz w:val="18"/>
                <w:szCs w:val="18"/>
                <w:lang w:val="sr-Cyrl-RS" w:eastAsia="sr-Cyrl-CS"/>
              </w:rPr>
            </w:pPr>
          </w:p>
        </w:tc>
      </w:tr>
      <w:tr w:rsidR="00B62020" w:rsidRPr="00250B4B" w:rsidTr="008772C8">
        <w:trPr>
          <w:trHeight w:val="255"/>
          <w:jc w:val="center"/>
        </w:trPr>
        <w:tc>
          <w:tcPr>
            <w:tcW w:w="2552" w:type="dxa"/>
            <w:shd w:val="clear" w:color="auto" w:fill="auto"/>
            <w:noWrap/>
            <w:vAlign w:val="bottom"/>
            <w:hideMark/>
          </w:tcPr>
          <w:p w:rsidR="00B62020" w:rsidRPr="00250B4B" w:rsidRDefault="00B62020" w:rsidP="008772C8">
            <w:pPr>
              <w:ind w:left="459"/>
              <w:jc w:val="left"/>
              <w:rPr>
                <w:rFonts w:eastAsia="Times New Roman"/>
                <w:sz w:val="18"/>
                <w:szCs w:val="18"/>
                <w:lang w:val="sr-Cyrl-RS" w:eastAsia="sr-Cyrl-CS"/>
              </w:rPr>
            </w:pPr>
            <w:r>
              <w:rPr>
                <w:rFonts w:eastAsia="Times New Roman"/>
                <w:sz w:val="18"/>
                <w:szCs w:val="18"/>
                <w:lang w:eastAsia="sr-Cyrl-CS"/>
              </w:rPr>
              <w:t>Own revenues of budget beneficiaries</w:t>
            </w:r>
          </w:p>
        </w:tc>
        <w:tc>
          <w:tcPr>
            <w:tcW w:w="134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w:t>
            </w:r>
            <w:r>
              <w:rPr>
                <w:rFonts w:eastAsia="Times New Roman"/>
                <w:sz w:val="18"/>
                <w:szCs w:val="18"/>
                <w:lang w:val="sr-Cyrl-RS" w:eastAsia="sr-Cyrl-CS"/>
              </w:rPr>
              <w:t>,</w:t>
            </w:r>
            <w:r w:rsidRPr="00250B4B">
              <w:rPr>
                <w:rFonts w:eastAsia="Times New Roman"/>
                <w:sz w:val="18"/>
                <w:szCs w:val="18"/>
                <w:lang w:val="sr-Cyrl-RS" w:eastAsia="sr-Cyrl-CS"/>
              </w:rPr>
              <w:t>200</w:t>
            </w:r>
            <w:r>
              <w:rPr>
                <w:rFonts w:eastAsia="Times New Roman"/>
                <w:sz w:val="18"/>
                <w:szCs w:val="18"/>
                <w:lang w:val="sr-Cyrl-RS" w:eastAsia="sr-Cyrl-CS"/>
              </w:rPr>
              <w:t>,</w:t>
            </w:r>
            <w:r w:rsidRPr="00250B4B">
              <w:rPr>
                <w:rFonts w:eastAsia="Times New Roman"/>
                <w:sz w:val="18"/>
                <w:szCs w:val="18"/>
                <w:lang w:val="sr-Cyrl-RS" w:eastAsia="sr-Cyrl-CS"/>
              </w:rPr>
              <w:t>000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w:t>
            </w:r>
            <w:r>
              <w:rPr>
                <w:rFonts w:eastAsia="Times New Roman"/>
                <w:sz w:val="18"/>
                <w:szCs w:val="18"/>
                <w:lang w:val="sr-Cyrl-RS" w:eastAsia="sr-Cyrl-CS"/>
              </w:rPr>
              <w:t>,</w:t>
            </w:r>
            <w:r w:rsidRPr="00250B4B">
              <w:rPr>
                <w:rFonts w:eastAsia="Times New Roman"/>
                <w:sz w:val="18"/>
                <w:szCs w:val="18"/>
                <w:lang w:val="sr-Cyrl-RS" w:eastAsia="sr-Cyrl-CS"/>
              </w:rPr>
              <w:t>200</w:t>
            </w:r>
            <w:r>
              <w:rPr>
                <w:rFonts w:eastAsia="Times New Roman"/>
                <w:sz w:val="18"/>
                <w:szCs w:val="18"/>
                <w:lang w:val="sr-Cyrl-RS" w:eastAsia="sr-Cyrl-CS"/>
              </w:rPr>
              <w:t>,</w:t>
            </w:r>
            <w:r w:rsidRPr="00250B4B">
              <w:rPr>
                <w:rFonts w:eastAsia="Times New Roman"/>
                <w:sz w:val="18"/>
                <w:szCs w:val="18"/>
                <w:lang w:val="sr-Cyrl-RS" w:eastAsia="sr-Cyrl-CS"/>
              </w:rPr>
              <w:t>000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688</w:t>
            </w:r>
            <w:r>
              <w:rPr>
                <w:rFonts w:eastAsia="Times New Roman"/>
                <w:sz w:val="18"/>
                <w:szCs w:val="18"/>
                <w:lang w:val="sr-Cyrl-RS" w:eastAsia="sr-Cyrl-CS"/>
              </w:rPr>
              <w:t>,</w:t>
            </w:r>
            <w:r w:rsidRPr="00250B4B">
              <w:rPr>
                <w:rFonts w:eastAsia="Times New Roman"/>
                <w:sz w:val="18"/>
                <w:szCs w:val="18"/>
                <w:lang w:val="sr-Cyrl-RS" w:eastAsia="sr-Cyrl-CS"/>
              </w:rPr>
              <w:t>584</w:t>
            </w:r>
            <w:r>
              <w:rPr>
                <w:rFonts w:eastAsia="Times New Roman"/>
                <w:sz w:val="18"/>
                <w:szCs w:val="18"/>
                <w:lang w:val="sr-Cyrl-RS" w:eastAsia="sr-Cyrl-CS"/>
              </w:rPr>
              <w:t>,</w:t>
            </w:r>
            <w:r w:rsidRPr="00250B4B">
              <w:rPr>
                <w:rFonts w:eastAsia="Times New Roman"/>
                <w:sz w:val="18"/>
                <w:szCs w:val="18"/>
                <w:lang w:val="sr-Cyrl-RS" w:eastAsia="sr-Cyrl-CS"/>
              </w:rPr>
              <w:t>016</w:t>
            </w:r>
          </w:p>
        </w:tc>
        <w:tc>
          <w:tcPr>
            <w:tcW w:w="1417" w:type="dxa"/>
            <w:shd w:val="clear" w:color="auto" w:fill="auto"/>
            <w:noWrap/>
            <w:vAlign w:val="center"/>
            <w:hideMark/>
          </w:tcPr>
          <w:p w:rsidR="00B62020" w:rsidRPr="009D2A67" w:rsidRDefault="00B62020" w:rsidP="008772C8">
            <w:pPr>
              <w:jc w:val="right"/>
              <w:rPr>
                <w:rFonts w:eastAsia="Times New Roman"/>
                <w:sz w:val="18"/>
                <w:szCs w:val="18"/>
                <w:lang w:eastAsia="sr-Cyrl-CS"/>
              </w:rPr>
            </w:pPr>
            <w:r w:rsidRPr="00250B4B">
              <w:rPr>
                <w:rFonts w:eastAsia="Times New Roman"/>
                <w:sz w:val="18"/>
                <w:szCs w:val="18"/>
                <w:lang w:val="sr-Cyrl-RS" w:eastAsia="sr-Cyrl-CS"/>
              </w:rPr>
              <w:t>57</w:t>
            </w:r>
            <w:r w:rsidR="009D2A67">
              <w:rPr>
                <w:rFonts w:eastAsia="Times New Roman"/>
                <w:sz w:val="18"/>
                <w:szCs w:val="18"/>
                <w:lang w:eastAsia="sr-Cyrl-CS"/>
              </w:rPr>
              <w:t>,4</w:t>
            </w:r>
          </w:p>
        </w:tc>
        <w:tc>
          <w:tcPr>
            <w:tcW w:w="1276" w:type="dxa"/>
            <w:shd w:val="clear" w:color="auto" w:fill="auto"/>
            <w:noWrap/>
            <w:vAlign w:val="center"/>
            <w:hideMark/>
          </w:tcPr>
          <w:p w:rsidR="00B62020" w:rsidRPr="00250B4B" w:rsidRDefault="00B62020" w:rsidP="008772C8">
            <w:pPr>
              <w:jc w:val="right"/>
              <w:rPr>
                <w:rFonts w:eastAsia="Times New Roman"/>
                <w:b/>
                <w:color w:val="000000"/>
                <w:sz w:val="18"/>
                <w:szCs w:val="18"/>
                <w:lang w:val="sr-Cyrl-RS" w:eastAsia="sr-Cyrl-CS"/>
              </w:rPr>
            </w:pPr>
          </w:p>
        </w:tc>
        <w:tc>
          <w:tcPr>
            <w:tcW w:w="1276" w:type="dxa"/>
            <w:vAlign w:val="center"/>
          </w:tcPr>
          <w:p w:rsidR="00B62020" w:rsidRPr="00250B4B" w:rsidRDefault="00B62020" w:rsidP="008772C8">
            <w:pPr>
              <w:jc w:val="right"/>
              <w:rPr>
                <w:rFonts w:eastAsia="Times New Roman"/>
                <w:b/>
                <w:color w:val="000000"/>
                <w:sz w:val="18"/>
                <w:szCs w:val="18"/>
                <w:lang w:val="sr-Cyrl-RS" w:eastAsia="sr-Cyrl-CS"/>
              </w:rPr>
            </w:pPr>
          </w:p>
        </w:tc>
      </w:tr>
      <w:tr w:rsidR="00B62020" w:rsidRPr="00250B4B" w:rsidTr="008772C8">
        <w:trPr>
          <w:trHeight w:val="255"/>
          <w:jc w:val="center"/>
        </w:trPr>
        <w:tc>
          <w:tcPr>
            <w:tcW w:w="2552" w:type="dxa"/>
            <w:shd w:val="clear" w:color="auto" w:fill="auto"/>
            <w:noWrap/>
            <w:vAlign w:val="bottom"/>
            <w:hideMark/>
          </w:tcPr>
          <w:p w:rsidR="00B62020" w:rsidRPr="00250B4B" w:rsidRDefault="00B62020" w:rsidP="008772C8">
            <w:pPr>
              <w:ind w:left="459"/>
              <w:jc w:val="left"/>
              <w:rPr>
                <w:rFonts w:eastAsia="Times New Roman"/>
                <w:sz w:val="18"/>
                <w:szCs w:val="18"/>
                <w:lang w:val="sr-Cyrl-RS" w:eastAsia="sr-Cyrl-CS"/>
              </w:rPr>
            </w:pPr>
            <w:r>
              <w:rPr>
                <w:rFonts w:eastAsia="Times New Roman"/>
                <w:sz w:val="18"/>
                <w:szCs w:val="18"/>
                <w:lang w:eastAsia="sr-Cyrl-CS"/>
              </w:rPr>
              <w:t>Undistributed surplus from previous years</w:t>
            </w:r>
          </w:p>
        </w:tc>
        <w:tc>
          <w:tcPr>
            <w:tcW w:w="134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w:t>
            </w:r>
            <w:r>
              <w:rPr>
                <w:rFonts w:eastAsia="Times New Roman"/>
                <w:sz w:val="18"/>
                <w:szCs w:val="18"/>
                <w:lang w:val="sr-Cyrl-RS" w:eastAsia="sr-Cyrl-CS"/>
              </w:rPr>
              <w:t>,</w:t>
            </w:r>
            <w:r w:rsidRPr="00250B4B">
              <w:rPr>
                <w:rFonts w:eastAsia="Times New Roman"/>
                <w:sz w:val="18"/>
                <w:szCs w:val="18"/>
                <w:lang w:val="sr-Cyrl-RS" w:eastAsia="sr-Cyrl-CS"/>
              </w:rPr>
              <w:t>040</w:t>
            </w:r>
            <w:r>
              <w:rPr>
                <w:rFonts w:eastAsia="Times New Roman"/>
                <w:sz w:val="18"/>
                <w:szCs w:val="18"/>
                <w:lang w:val="sr-Cyrl-RS" w:eastAsia="sr-Cyrl-CS"/>
              </w:rPr>
              <w:t>,</w:t>
            </w:r>
            <w:r w:rsidRPr="00250B4B">
              <w:rPr>
                <w:rFonts w:eastAsia="Times New Roman"/>
                <w:sz w:val="18"/>
                <w:szCs w:val="18"/>
                <w:lang w:val="sr-Cyrl-RS" w:eastAsia="sr-Cyrl-CS"/>
              </w:rPr>
              <w:t>174</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w:t>
            </w:r>
            <w:r>
              <w:rPr>
                <w:rFonts w:eastAsia="Times New Roman"/>
                <w:sz w:val="18"/>
                <w:szCs w:val="18"/>
                <w:lang w:val="sr-Cyrl-RS" w:eastAsia="sr-Cyrl-CS"/>
              </w:rPr>
              <w:t>,</w:t>
            </w:r>
            <w:r w:rsidRPr="00250B4B">
              <w:rPr>
                <w:rFonts w:eastAsia="Times New Roman"/>
                <w:sz w:val="18"/>
                <w:szCs w:val="18"/>
                <w:lang w:val="sr-Cyrl-RS" w:eastAsia="sr-Cyrl-CS"/>
              </w:rPr>
              <w:t>040</w:t>
            </w:r>
            <w:r>
              <w:rPr>
                <w:rFonts w:eastAsia="Times New Roman"/>
                <w:sz w:val="18"/>
                <w:szCs w:val="18"/>
                <w:lang w:val="sr-Cyrl-RS" w:eastAsia="sr-Cyrl-CS"/>
              </w:rPr>
              <w:t>,</w:t>
            </w:r>
            <w:r w:rsidRPr="00250B4B">
              <w:rPr>
                <w:rFonts w:eastAsia="Times New Roman"/>
                <w:sz w:val="18"/>
                <w:szCs w:val="18"/>
                <w:lang w:val="sr-Cyrl-RS" w:eastAsia="sr-Cyrl-CS"/>
              </w:rPr>
              <w:t>174</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w:t>
            </w:r>
            <w:r>
              <w:rPr>
                <w:rFonts w:eastAsia="Times New Roman"/>
                <w:sz w:val="18"/>
                <w:szCs w:val="18"/>
                <w:lang w:val="sr-Cyrl-RS" w:eastAsia="sr-Cyrl-CS"/>
              </w:rPr>
              <w:t>,</w:t>
            </w:r>
            <w:r w:rsidRPr="00250B4B">
              <w:rPr>
                <w:rFonts w:eastAsia="Times New Roman"/>
                <w:sz w:val="18"/>
                <w:szCs w:val="18"/>
                <w:lang w:val="sr-Cyrl-RS" w:eastAsia="sr-Cyrl-CS"/>
              </w:rPr>
              <w:t>036</w:t>
            </w:r>
            <w:r>
              <w:rPr>
                <w:rFonts w:eastAsia="Times New Roman"/>
                <w:sz w:val="18"/>
                <w:szCs w:val="18"/>
                <w:lang w:val="sr-Cyrl-RS" w:eastAsia="sr-Cyrl-CS"/>
              </w:rPr>
              <w:t>,</w:t>
            </w:r>
            <w:r w:rsidRPr="00250B4B">
              <w:rPr>
                <w:rFonts w:eastAsia="Times New Roman"/>
                <w:sz w:val="18"/>
                <w:szCs w:val="18"/>
                <w:lang w:val="sr-Cyrl-RS" w:eastAsia="sr-Cyrl-CS"/>
              </w:rPr>
              <w:t>051</w:t>
            </w:r>
            <w:r>
              <w:rPr>
                <w:rFonts w:eastAsia="Times New Roman"/>
                <w:sz w:val="18"/>
                <w:szCs w:val="18"/>
                <w:lang w:val="sr-Cyrl-RS" w:eastAsia="sr-Cyrl-CS"/>
              </w:rPr>
              <w:t>,</w:t>
            </w:r>
            <w:r w:rsidRPr="00250B4B">
              <w:rPr>
                <w:rFonts w:eastAsia="Times New Roman"/>
                <w:sz w:val="18"/>
                <w:szCs w:val="18"/>
                <w:lang w:val="sr-Cyrl-RS" w:eastAsia="sr-Cyrl-CS"/>
              </w:rPr>
              <w:t>109</w:t>
            </w:r>
          </w:p>
        </w:tc>
        <w:tc>
          <w:tcPr>
            <w:tcW w:w="1417" w:type="dxa"/>
            <w:tcBorders>
              <w:bottom w:val="single" w:sz="18" w:space="0" w:color="auto"/>
            </w:tcBorders>
            <w:shd w:val="clear" w:color="auto" w:fill="auto"/>
            <w:noWrap/>
            <w:vAlign w:val="center"/>
            <w:hideMark/>
          </w:tcPr>
          <w:p w:rsidR="00B62020" w:rsidRPr="009D2A67" w:rsidRDefault="009D2A67" w:rsidP="008772C8">
            <w:pPr>
              <w:jc w:val="right"/>
              <w:rPr>
                <w:rFonts w:eastAsia="Times New Roman"/>
                <w:sz w:val="18"/>
                <w:szCs w:val="18"/>
                <w:lang w:eastAsia="sr-Cyrl-CS"/>
              </w:rPr>
            </w:pPr>
            <w:r>
              <w:rPr>
                <w:rFonts w:eastAsia="Times New Roman"/>
                <w:sz w:val="18"/>
                <w:szCs w:val="18"/>
                <w:lang w:eastAsia="sr-Cyrl-CS"/>
              </w:rPr>
              <w:t>99,6</w:t>
            </w:r>
          </w:p>
        </w:tc>
        <w:tc>
          <w:tcPr>
            <w:tcW w:w="1276" w:type="dxa"/>
            <w:tcBorders>
              <w:bottom w:val="single" w:sz="4" w:space="0" w:color="auto"/>
            </w:tcBorders>
            <w:shd w:val="clear" w:color="auto" w:fill="auto"/>
            <w:noWrap/>
            <w:vAlign w:val="center"/>
            <w:hideMark/>
          </w:tcPr>
          <w:p w:rsidR="00B62020" w:rsidRPr="00250B4B" w:rsidRDefault="00B62020" w:rsidP="008772C8">
            <w:pPr>
              <w:jc w:val="right"/>
              <w:rPr>
                <w:rFonts w:eastAsia="Times New Roman"/>
                <w:b/>
                <w:color w:val="000000"/>
                <w:sz w:val="18"/>
                <w:szCs w:val="18"/>
                <w:lang w:val="sr-Cyrl-RS" w:eastAsia="sr-Cyrl-CS"/>
              </w:rPr>
            </w:pPr>
          </w:p>
        </w:tc>
        <w:tc>
          <w:tcPr>
            <w:tcW w:w="1276" w:type="dxa"/>
            <w:vAlign w:val="center"/>
          </w:tcPr>
          <w:p w:rsidR="00B62020" w:rsidRPr="00250B4B" w:rsidRDefault="00B62020" w:rsidP="008772C8">
            <w:pPr>
              <w:jc w:val="right"/>
              <w:rPr>
                <w:rFonts w:eastAsia="Times New Roman"/>
                <w:b/>
                <w:color w:val="000000"/>
                <w:sz w:val="18"/>
                <w:szCs w:val="18"/>
                <w:lang w:val="sr-Cyrl-RS" w:eastAsia="sr-Cyrl-CS"/>
              </w:rPr>
            </w:pPr>
          </w:p>
        </w:tc>
      </w:tr>
      <w:tr w:rsidR="00B62020" w:rsidRPr="00250B4B" w:rsidTr="009D2A67">
        <w:trPr>
          <w:trHeight w:val="677"/>
          <w:jc w:val="center"/>
        </w:trPr>
        <w:tc>
          <w:tcPr>
            <w:tcW w:w="2552" w:type="dxa"/>
            <w:tcBorders>
              <w:bottom w:val="single" w:sz="4" w:space="0" w:color="auto"/>
            </w:tcBorders>
            <w:shd w:val="clear" w:color="auto" w:fill="auto"/>
            <w:noWrap/>
            <w:vAlign w:val="bottom"/>
            <w:hideMark/>
          </w:tcPr>
          <w:p w:rsidR="00B62020" w:rsidRPr="00250B4B" w:rsidRDefault="00B62020" w:rsidP="008772C8">
            <w:pPr>
              <w:jc w:val="left"/>
              <w:rPr>
                <w:rFonts w:eastAsia="Times New Roman"/>
                <w:sz w:val="18"/>
                <w:szCs w:val="18"/>
                <w:lang w:val="sr-Cyrl-RS" w:eastAsia="sr-Cyrl-CS"/>
              </w:rPr>
            </w:pPr>
            <w:r>
              <w:rPr>
                <w:rFonts w:eastAsia="Times New Roman"/>
                <w:sz w:val="18"/>
                <w:szCs w:val="18"/>
                <w:lang w:eastAsia="sr-Cyrl-CS"/>
              </w:rPr>
              <w:t>Total</w:t>
            </w:r>
            <w:r w:rsidRPr="00250B4B">
              <w:rPr>
                <w:rFonts w:eastAsia="Times New Roman"/>
                <w:sz w:val="18"/>
                <w:szCs w:val="18"/>
                <w:lang w:val="sr-Cyrl-RS" w:eastAsia="sr-Cyrl-CS"/>
              </w:rPr>
              <w:t>:</w:t>
            </w:r>
          </w:p>
        </w:tc>
        <w:tc>
          <w:tcPr>
            <w:tcW w:w="1347" w:type="dxa"/>
            <w:tcBorders>
              <w:bottom w:val="single" w:sz="4"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2</w:t>
            </w:r>
            <w:r>
              <w:rPr>
                <w:rFonts w:eastAsia="Times New Roman"/>
                <w:sz w:val="18"/>
                <w:szCs w:val="18"/>
                <w:lang w:val="sr-Cyrl-RS" w:eastAsia="sr-Cyrl-CS"/>
              </w:rPr>
              <w:t>,</w:t>
            </w:r>
            <w:r w:rsidRPr="00250B4B">
              <w:rPr>
                <w:rFonts w:eastAsia="Times New Roman"/>
                <w:sz w:val="18"/>
                <w:szCs w:val="18"/>
                <w:lang w:val="sr-Cyrl-RS" w:eastAsia="sr-Cyrl-CS"/>
              </w:rPr>
              <w:t>260</w:t>
            </w:r>
            <w:r>
              <w:rPr>
                <w:rFonts w:eastAsia="Times New Roman"/>
                <w:sz w:val="18"/>
                <w:szCs w:val="18"/>
                <w:lang w:val="sr-Cyrl-RS" w:eastAsia="sr-Cyrl-CS"/>
              </w:rPr>
              <w:t>,</w:t>
            </w:r>
            <w:r w:rsidRPr="00250B4B">
              <w:rPr>
                <w:rFonts w:eastAsia="Times New Roman"/>
                <w:sz w:val="18"/>
                <w:szCs w:val="18"/>
                <w:lang w:val="sr-Cyrl-RS" w:eastAsia="sr-Cyrl-CS"/>
              </w:rPr>
              <w:t>174</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tcBorders>
              <w:bottom w:val="single" w:sz="4"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2</w:t>
            </w:r>
            <w:r>
              <w:rPr>
                <w:rFonts w:eastAsia="Times New Roman"/>
                <w:sz w:val="18"/>
                <w:szCs w:val="18"/>
                <w:lang w:val="sr-Cyrl-RS" w:eastAsia="sr-Cyrl-CS"/>
              </w:rPr>
              <w:t>,</w:t>
            </w:r>
            <w:r w:rsidRPr="00250B4B">
              <w:rPr>
                <w:rFonts w:eastAsia="Times New Roman"/>
                <w:sz w:val="18"/>
                <w:szCs w:val="18"/>
                <w:lang w:val="sr-Cyrl-RS" w:eastAsia="sr-Cyrl-CS"/>
              </w:rPr>
              <w:t>260</w:t>
            </w:r>
            <w:r>
              <w:rPr>
                <w:rFonts w:eastAsia="Times New Roman"/>
                <w:sz w:val="18"/>
                <w:szCs w:val="18"/>
                <w:lang w:val="sr-Cyrl-RS" w:eastAsia="sr-Cyrl-CS"/>
              </w:rPr>
              <w:t>,</w:t>
            </w:r>
            <w:r w:rsidRPr="00250B4B">
              <w:rPr>
                <w:rFonts w:eastAsia="Times New Roman"/>
                <w:sz w:val="18"/>
                <w:szCs w:val="18"/>
                <w:lang w:val="sr-Cyrl-RS" w:eastAsia="sr-Cyrl-CS"/>
              </w:rPr>
              <w:t>174</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tcBorders>
              <w:bottom w:val="single" w:sz="4" w:space="0" w:color="auto"/>
              <w:right w:val="single" w:sz="18"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w:t>
            </w:r>
            <w:r>
              <w:rPr>
                <w:rFonts w:eastAsia="Times New Roman"/>
                <w:sz w:val="18"/>
                <w:szCs w:val="18"/>
                <w:lang w:val="sr-Cyrl-RS" w:eastAsia="sr-Cyrl-CS"/>
              </w:rPr>
              <w:t>,</w:t>
            </w:r>
            <w:r w:rsidRPr="00250B4B">
              <w:rPr>
                <w:rFonts w:eastAsia="Times New Roman"/>
                <w:sz w:val="18"/>
                <w:szCs w:val="18"/>
                <w:lang w:val="sr-Cyrl-RS" w:eastAsia="sr-Cyrl-CS"/>
              </w:rPr>
              <w:t>724</w:t>
            </w:r>
            <w:r>
              <w:rPr>
                <w:rFonts w:eastAsia="Times New Roman"/>
                <w:sz w:val="18"/>
                <w:szCs w:val="18"/>
                <w:lang w:val="sr-Cyrl-RS" w:eastAsia="sr-Cyrl-CS"/>
              </w:rPr>
              <w:t>,</w:t>
            </w:r>
            <w:r w:rsidRPr="00250B4B">
              <w:rPr>
                <w:rFonts w:eastAsia="Times New Roman"/>
                <w:sz w:val="18"/>
                <w:szCs w:val="18"/>
                <w:lang w:val="sr-Cyrl-RS" w:eastAsia="sr-Cyrl-CS"/>
              </w:rPr>
              <w:t>635</w:t>
            </w:r>
            <w:r>
              <w:rPr>
                <w:rFonts w:eastAsia="Times New Roman"/>
                <w:sz w:val="18"/>
                <w:szCs w:val="18"/>
                <w:lang w:val="sr-Cyrl-RS" w:eastAsia="sr-Cyrl-CS"/>
              </w:rPr>
              <w:t>,</w:t>
            </w:r>
            <w:r w:rsidRPr="00250B4B">
              <w:rPr>
                <w:rFonts w:eastAsia="Times New Roman"/>
                <w:sz w:val="18"/>
                <w:szCs w:val="18"/>
                <w:lang w:val="sr-Cyrl-RS" w:eastAsia="sr-Cyrl-CS"/>
              </w:rPr>
              <w:t>125</w:t>
            </w:r>
          </w:p>
        </w:tc>
        <w:tc>
          <w:tcPr>
            <w:tcW w:w="1417"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B62020" w:rsidRPr="009D2A67" w:rsidRDefault="00B62020" w:rsidP="008772C8">
            <w:pPr>
              <w:jc w:val="right"/>
              <w:rPr>
                <w:rFonts w:eastAsia="Times New Roman"/>
                <w:b/>
                <w:sz w:val="18"/>
                <w:szCs w:val="18"/>
                <w:lang w:eastAsia="sr-Cyrl-CS"/>
              </w:rPr>
            </w:pPr>
            <w:r w:rsidRPr="00250B4B">
              <w:rPr>
                <w:rFonts w:eastAsia="Times New Roman"/>
                <w:b/>
                <w:szCs w:val="18"/>
                <w:lang w:val="sr-Cyrl-RS" w:eastAsia="sr-Cyrl-CS"/>
              </w:rPr>
              <w:t>76</w:t>
            </w:r>
            <w:r w:rsidR="009D2A67">
              <w:rPr>
                <w:rFonts w:eastAsia="Times New Roman"/>
                <w:b/>
                <w:szCs w:val="18"/>
                <w:lang w:eastAsia="sr-Cyrl-CS"/>
              </w:rPr>
              <w:t>,3</w:t>
            </w:r>
          </w:p>
        </w:tc>
        <w:tc>
          <w:tcPr>
            <w:tcW w:w="1276" w:type="dxa"/>
            <w:tcBorders>
              <w:left w:val="single" w:sz="18" w:space="0" w:color="auto"/>
              <w:bottom w:val="single" w:sz="4" w:space="0" w:color="auto"/>
              <w:right w:val="single" w:sz="2" w:space="0" w:color="auto"/>
            </w:tcBorders>
            <w:shd w:val="clear" w:color="auto" w:fill="auto"/>
            <w:noWrap/>
            <w:vAlign w:val="center"/>
            <w:hideMark/>
          </w:tcPr>
          <w:p w:rsidR="00B62020" w:rsidRPr="00250B4B" w:rsidRDefault="00B62020" w:rsidP="008772C8">
            <w:pPr>
              <w:jc w:val="right"/>
              <w:rPr>
                <w:rFonts w:eastAsia="Times New Roman"/>
                <w:color w:val="FF0000"/>
                <w:sz w:val="18"/>
                <w:szCs w:val="18"/>
                <w:lang w:val="sr-Cyrl-RS" w:eastAsia="sr-Cyrl-CS"/>
              </w:rPr>
            </w:pPr>
            <w:r>
              <w:rPr>
                <w:rFonts w:eastAsia="Times New Roman"/>
                <w:sz w:val="18"/>
                <w:szCs w:val="18"/>
                <w:lang w:val="sr-Cyrl-RS" w:eastAsia="sr-Cyrl-CS"/>
              </w:rPr>
              <w:t>1,290,000,000</w:t>
            </w:r>
          </w:p>
        </w:tc>
        <w:tc>
          <w:tcPr>
            <w:tcW w:w="1276" w:type="dxa"/>
            <w:tcBorders>
              <w:left w:val="single" w:sz="2" w:space="0" w:color="auto"/>
              <w:bottom w:val="single" w:sz="4" w:space="0" w:color="auto"/>
            </w:tcBorders>
            <w:vAlign w:val="center"/>
          </w:tcPr>
          <w:p w:rsidR="00B62020" w:rsidRPr="0053148E" w:rsidRDefault="00B62020" w:rsidP="008772C8">
            <w:pPr>
              <w:jc w:val="right"/>
              <w:rPr>
                <w:rFonts w:eastAsia="Times New Roman"/>
                <w:sz w:val="18"/>
                <w:szCs w:val="18"/>
                <w:lang w:val="sr-Latn-CS" w:eastAsia="sr-Cyrl-CS"/>
              </w:rPr>
            </w:pPr>
            <w:r>
              <w:rPr>
                <w:rFonts w:eastAsia="Times New Roman"/>
                <w:sz w:val="18"/>
                <w:szCs w:val="18"/>
                <w:lang w:val="sr-Latn-CS" w:eastAsia="sr-Cyrl-CS"/>
              </w:rPr>
              <w:t>1,894,976,000</w:t>
            </w:r>
          </w:p>
        </w:tc>
      </w:tr>
      <w:tr w:rsidR="00B62020" w:rsidRPr="00250B4B" w:rsidTr="008772C8">
        <w:trPr>
          <w:trHeight w:val="92"/>
          <w:jc w:val="center"/>
        </w:trPr>
        <w:tc>
          <w:tcPr>
            <w:tcW w:w="10420" w:type="dxa"/>
            <w:gridSpan w:val="7"/>
            <w:tcBorders>
              <w:top w:val="single" w:sz="4" w:space="0" w:color="auto"/>
            </w:tcBorders>
            <w:shd w:val="pct10" w:color="auto" w:fill="auto"/>
            <w:noWrap/>
            <w:vAlign w:val="bottom"/>
            <w:hideMark/>
          </w:tcPr>
          <w:p w:rsidR="00B62020" w:rsidRPr="00250B4B" w:rsidRDefault="00B62020" w:rsidP="008772C8">
            <w:pPr>
              <w:jc w:val="left"/>
              <w:rPr>
                <w:rFonts w:eastAsia="Times New Roman"/>
                <w:b/>
                <w:bCs/>
                <w:sz w:val="18"/>
                <w:szCs w:val="18"/>
                <w:lang w:val="sr-Cyrl-RS" w:eastAsia="sr-Cyrl-CS"/>
              </w:rPr>
            </w:pPr>
            <w:r w:rsidRPr="00BB4A9F">
              <w:rPr>
                <w:rFonts w:eastAsia="Times New Roman"/>
                <w:b/>
                <w:bCs/>
                <w:sz w:val="18"/>
                <w:szCs w:val="18"/>
                <w:lang w:val="sr-Cyrl-RS" w:eastAsia="sr-Cyrl-CS"/>
              </w:rPr>
              <w:t>FUND FOR PROGRAMS OF PROTECTION AND IMPROVEMENT OF STATUS OF PERSONS WITH DISABILITIES</w:t>
            </w:r>
            <w:r w:rsidRPr="00250B4B">
              <w:rPr>
                <w:rStyle w:val="FootnoteReference"/>
                <w:rFonts w:eastAsia="Times New Roman"/>
                <w:b/>
                <w:bCs/>
                <w:sz w:val="18"/>
                <w:szCs w:val="18"/>
                <w:lang w:val="sr-Cyrl-RS" w:eastAsia="sr-Cyrl-CS"/>
              </w:rPr>
              <w:footnoteReference w:id="14"/>
            </w:r>
          </w:p>
        </w:tc>
      </w:tr>
      <w:tr w:rsidR="00B62020" w:rsidRPr="00250B4B" w:rsidTr="008772C8">
        <w:trPr>
          <w:trHeight w:val="255"/>
          <w:jc w:val="center"/>
        </w:trPr>
        <w:tc>
          <w:tcPr>
            <w:tcW w:w="9144" w:type="dxa"/>
            <w:gridSpan w:val="6"/>
            <w:shd w:val="clear" w:color="auto" w:fill="auto"/>
            <w:noWrap/>
            <w:vAlign w:val="bottom"/>
            <w:hideMark/>
          </w:tcPr>
          <w:p w:rsidR="00B62020" w:rsidRPr="00250B4B" w:rsidRDefault="00B62020" w:rsidP="008772C8">
            <w:pPr>
              <w:tabs>
                <w:tab w:val="left" w:pos="1152"/>
              </w:tabs>
              <w:rPr>
                <w:rFonts w:eastAsia="Times New Roman"/>
                <w:sz w:val="18"/>
                <w:szCs w:val="18"/>
                <w:lang w:val="sr-Cyrl-RS" w:eastAsia="sr-Cyrl-CS"/>
              </w:rPr>
            </w:pPr>
            <w:r>
              <w:rPr>
                <w:rFonts w:eastAsia="Times New Roman"/>
                <w:sz w:val="18"/>
                <w:szCs w:val="18"/>
                <w:lang w:eastAsia="sr-Cyrl-CS"/>
              </w:rPr>
              <w:t>Sources of funding</w:t>
            </w:r>
            <w:r w:rsidRPr="00250B4B">
              <w:rPr>
                <w:rFonts w:eastAsia="Times New Roman"/>
                <w:sz w:val="18"/>
                <w:szCs w:val="18"/>
                <w:lang w:val="sr-Cyrl-RS" w:eastAsia="sr-Cyrl-CS"/>
              </w:rPr>
              <w:t>:</w:t>
            </w:r>
          </w:p>
        </w:tc>
        <w:tc>
          <w:tcPr>
            <w:tcW w:w="1276" w:type="dxa"/>
          </w:tcPr>
          <w:p w:rsidR="00B62020" w:rsidRPr="00250B4B" w:rsidRDefault="00B62020" w:rsidP="008772C8">
            <w:pPr>
              <w:tabs>
                <w:tab w:val="left" w:pos="1152"/>
              </w:tabs>
              <w:rPr>
                <w:rFonts w:eastAsia="Times New Roman"/>
                <w:sz w:val="18"/>
                <w:szCs w:val="18"/>
                <w:lang w:val="sr-Cyrl-RS" w:eastAsia="sr-Cyrl-CS"/>
              </w:rPr>
            </w:pPr>
          </w:p>
        </w:tc>
      </w:tr>
      <w:tr w:rsidR="00B62020" w:rsidRPr="00250B4B" w:rsidTr="008772C8">
        <w:trPr>
          <w:trHeight w:val="255"/>
          <w:jc w:val="center"/>
        </w:trPr>
        <w:tc>
          <w:tcPr>
            <w:tcW w:w="2552" w:type="dxa"/>
            <w:shd w:val="clear" w:color="auto" w:fill="auto"/>
            <w:noWrap/>
            <w:vAlign w:val="bottom"/>
            <w:hideMark/>
          </w:tcPr>
          <w:p w:rsidR="00B62020" w:rsidRPr="00250B4B" w:rsidRDefault="00B62020" w:rsidP="008772C8">
            <w:pPr>
              <w:ind w:left="459"/>
              <w:jc w:val="left"/>
              <w:rPr>
                <w:rFonts w:eastAsia="Times New Roman"/>
                <w:sz w:val="18"/>
                <w:szCs w:val="18"/>
                <w:lang w:val="sr-Cyrl-RS" w:eastAsia="sr-Cyrl-CS"/>
              </w:rPr>
            </w:pPr>
            <w:r>
              <w:rPr>
                <w:rFonts w:eastAsia="Times New Roman"/>
                <w:sz w:val="18"/>
                <w:szCs w:val="18"/>
                <w:lang w:eastAsia="sr-Cyrl-CS"/>
              </w:rPr>
              <w:t>Own revenues of budget beneficiaries</w:t>
            </w:r>
          </w:p>
        </w:tc>
        <w:tc>
          <w:tcPr>
            <w:tcW w:w="134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241</w:t>
            </w:r>
            <w:r>
              <w:rPr>
                <w:rFonts w:eastAsia="Times New Roman"/>
                <w:sz w:val="18"/>
                <w:szCs w:val="18"/>
                <w:lang w:val="sr-Cyrl-RS" w:eastAsia="sr-Cyrl-CS"/>
              </w:rPr>
              <w:t>,</w:t>
            </w:r>
            <w:r w:rsidRPr="00250B4B">
              <w:rPr>
                <w:rFonts w:eastAsia="Times New Roman"/>
                <w:sz w:val="18"/>
                <w:szCs w:val="18"/>
                <w:lang w:val="sr-Cyrl-RS" w:eastAsia="sr-Cyrl-CS"/>
              </w:rPr>
              <w:t>900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321</w:t>
            </w:r>
            <w:r>
              <w:rPr>
                <w:rFonts w:eastAsia="Times New Roman"/>
                <w:sz w:val="18"/>
                <w:szCs w:val="18"/>
                <w:lang w:val="sr-Cyrl-RS" w:eastAsia="sr-Cyrl-CS"/>
              </w:rPr>
              <w:t>,</w:t>
            </w:r>
            <w:r w:rsidRPr="00250B4B">
              <w:rPr>
                <w:rFonts w:eastAsia="Times New Roman"/>
                <w:sz w:val="18"/>
                <w:szCs w:val="18"/>
                <w:lang w:val="sr-Cyrl-RS" w:eastAsia="sr-Cyrl-CS"/>
              </w:rPr>
              <w:t>900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270</w:t>
            </w:r>
            <w:r>
              <w:rPr>
                <w:rFonts w:eastAsia="Times New Roman"/>
                <w:sz w:val="18"/>
                <w:szCs w:val="18"/>
                <w:lang w:val="sr-Cyrl-RS" w:eastAsia="sr-Cyrl-CS"/>
              </w:rPr>
              <w:t>,</w:t>
            </w:r>
            <w:r w:rsidRPr="00250B4B">
              <w:rPr>
                <w:rFonts w:eastAsia="Times New Roman"/>
                <w:sz w:val="18"/>
                <w:szCs w:val="18"/>
                <w:lang w:val="sr-Cyrl-RS" w:eastAsia="sr-Cyrl-CS"/>
              </w:rPr>
              <w:t>397</w:t>
            </w:r>
            <w:r>
              <w:rPr>
                <w:rFonts w:eastAsia="Times New Roman"/>
                <w:sz w:val="18"/>
                <w:szCs w:val="18"/>
                <w:lang w:val="sr-Cyrl-RS" w:eastAsia="sr-Cyrl-CS"/>
              </w:rPr>
              <w:t>,</w:t>
            </w:r>
            <w:r w:rsidRPr="00250B4B">
              <w:rPr>
                <w:rFonts w:eastAsia="Times New Roman"/>
                <w:sz w:val="18"/>
                <w:szCs w:val="18"/>
                <w:lang w:val="sr-Cyrl-RS" w:eastAsia="sr-Cyrl-CS"/>
              </w:rPr>
              <w:t>569</w:t>
            </w:r>
          </w:p>
        </w:tc>
        <w:tc>
          <w:tcPr>
            <w:tcW w:w="141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84</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p>
        </w:tc>
        <w:tc>
          <w:tcPr>
            <w:tcW w:w="1276" w:type="dxa"/>
            <w:vAlign w:val="center"/>
          </w:tcPr>
          <w:p w:rsidR="00B62020" w:rsidRPr="00250B4B" w:rsidRDefault="00B62020" w:rsidP="008772C8">
            <w:pPr>
              <w:jc w:val="right"/>
              <w:rPr>
                <w:rFonts w:eastAsia="Times New Roman"/>
                <w:sz w:val="18"/>
                <w:szCs w:val="18"/>
                <w:lang w:val="sr-Cyrl-RS" w:eastAsia="sr-Cyrl-CS"/>
              </w:rPr>
            </w:pPr>
          </w:p>
        </w:tc>
      </w:tr>
      <w:tr w:rsidR="00B62020" w:rsidRPr="00250B4B" w:rsidTr="008772C8">
        <w:trPr>
          <w:trHeight w:val="255"/>
          <w:jc w:val="center"/>
        </w:trPr>
        <w:tc>
          <w:tcPr>
            <w:tcW w:w="2552" w:type="dxa"/>
            <w:shd w:val="clear" w:color="auto" w:fill="auto"/>
            <w:noWrap/>
            <w:vAlign w:val="bottom"/>
            <w:hideMark/>
          </w:tcPr>
          <w:p w:rsidR="00B62020" w:rsidRPr="00250B4B" w:rsidRDefault="00B62020" w:rsidP="008772C8">
            <w:pPr>
              <w:ind w:left="459"/>
              <w:jc w:val="left"/>
              <w:rPr>
                <w:rFonts w:eastAsia="Times New Roman"/>
                <w:sz w:val="18"/>
                <w:szCs w:val="18"/>
                <w:lang w:val="sr-Cyrl-RS" w:eastAsia="sr-Cyrl-CS"/>
              </w:rPr>
            </w:pPr>
            <w:r>
              <w:rPr>
                <w:rFonts w:eastAsia="Times New Roman"/>
                <w:sz w:val="18"/>
                <w:szCs w:val="18"/>
                <w:lang w:eastAsia="sr-Cyrl-CS"/>
              </w:rPr>
              <w:t>Undistributed surplus from previous years</w:t>
            </w:r>
          </w:p>
        </w:tc>
        <w:tc>
          <w:tcPr>
            <w:tcW w:w="134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94</w:t>
            </w:r>
            <w:r>
              <w:rPr>
                <w:rFonts w:eastAsia="Times New Roman"/>
                <w:sz w:val="18"/>
                <w:szCs w:val="18"/>
                <w:lang w:val="sr-Cyrl-RS" w:eastAsia="sr-Cyrl-CS"/>
              </w:rPr>
              <w:t>,</w:t>
            </w:r>
            <w:r w:rsidRPr="00250B4B">
              <w:rPr>
                <w:rFonts w:eastAsia="Times New Roman"/>
                <w:sz w:val="18"/>
                <w:szCs w:val="18"/>
                <w:lang w:val="sr-Cyrl-RS" w:eastAsia="sr-Cyrl-CS"/>
              </w:rPr>
              <w:t>109</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94</w:t>
            </w:r>
            <w:r>
              <w:rPr>
                <w:rFonts w:eastAsia="Times New Roman"/>
                <w:sz w:val="18"/>
                <w:szCs w:val="18"/>
                <w:lang w:val="sr-Cyrl-RS" w:eastAsia="sr-Cyrl-CS"/>
              </w:rPr>
              <w:t>,</w:t>
            </w:r>
            <w:r w:rsidRPr="00250B4B">
              <w:rPr>
                <w:rFonts w:eastAsia="Times New Roman"/>
                <w:sz w:val="18"/>
                <w:szCs w:val="18"/>
                <w:lang w:val="sr-Cyrl-RS" w:eastAsia="sr-Cyrl-CS"/>
              </w:rPr>
              <w:t>109</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94</w:t>
            </w:r>
            <w:r>
              <w:rPr>
                <w:rFonts w:eastAsia="Times New Roman"/>
                <w:sz w:val="18"/>
                <w:szCs w:val="18"/>
                <w:lang w:val="sr-Cyrl-RS" w:eastAsia="sr-Cyrl-CS"/>
              </w:rPr>
              <w:t>,</w:t>
            </w:r>
            <w:r w:rsidRPr="00250B4B">
              <w:rPr>
                <w:rFonts w:eastAsia="Times New Roman"/>
                <w:sz w:val="18"/>
                <w:szCs w:val="18"/>
                <w:lang w:val="sr-Cyrl-RS" w:eastAsia="sr-Cyrl-CS"/>
              </w:rPr>
              <w:t>098</w:t>
            </w:r>
            <w:r>
              <w:rPr>
                <w:rFonts w:eastAsia="Times New Roman"/>
                <w:sz w:val="18"/>
                <w:szCs w:val="18"/>
                <w:lang w:val="sr-Cyrl-RS" w:eastAsia="sr-Cyrl-CS"/>
              </w:rPr>
              <w:t>,</w:t>
            </w:r>
            <w:r w:rsidRPr="00250B4B">
              <w:rPr>
                <w:rFonts w:eastAsia="Times New Roman"/>
                <w:sz w:val="18"/>
                <w:szCs w:val="18"/>
                <w:lang w:val="sr-Cyrl-RS" w:eastAsia="sr-Cyrl-CS"/>
              </w:rPr>
              <w:t>679</w:t>
            </w:r>
          </w:p>
        </w:tc>
        <w:tc>
          <w:tcPr>
            <w:tcW w:w="1417" w:type="dxa"/>
            <w:tcBorders>
              <w:bottom w:val="single" w:sz="18"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100</w:t>
            </w:r>
          </w:p>
        </w:tc>
        <w:tc>
          <w:tcPr>
            <w:tcW w:w="1276" w:type="dxa"/>
            <w:tcBorders>
              <w:bottom w:val="single" w:sz="4"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p>
        </w:tc>
        <w:tc>
          <w:tcPr>
            <w:tcW w:w="1276" w:type="dxa"/>
            <w:vAlign w:val="center"/>
          </w:tcPr>
          <w:p w:rsidR="00B62020" w:rsidRPr="00250B4B" w:rsidRDefault="00B62020" w:rsidP="008772C8">
            <w:pPr>
              <w:jc w:val="right"/>
              <w:rPr>
                <w:rFonts w:eastAsia="Times New Roman"/>
                <w:sz w:val="18"/>
                <w:szCs w:val="18"/>
                <w:lang w:val="sr-Cyrl-RS" w:eastAsia="sr-Cyrl-CS"/>
              </w:rPr>
            </w:pPr>
          </w:p>
        </w:tc>
      </w:tr>
      <w:tr w:rsidR="00B62020" w:rsidRPr="00250B4B" w:rsidTr="009D2A67">
        <w:trPr>
          <w:trHeight w:val="255"/>
          <w:jc w:val="center"/>
        </w:trPr>
        <w:tc>
          <w:tcPr>
            <w:tcW w:w="2552" w:type="dxa"/>
            <w:tcBorders>
              <w:bottom w:val="single" w:sz="4" w:space="0" w:color="auto"/>
            </w:tcBorders>
            <w:shd w:val="clear" w:color="auto" w:fill="auto"/>
            <w:noWrap/>
            <w:vAlign w:val="bottom"/>
            <w:hideMark/>
          </w:tcPr>
          <w:p w:rsidR="00B62020" w:rsidRPr="00250B4B" w:rsidRDefault="00B62020" w:rsidP="008772C8">
            <w:pPr>
              <w:jc w:val="left"/>
              <w:rPr>
                <w:rFonts w:eastAsia="Times New Roman"/>
                <w:sz w:val="18"/>
                <w:szCs w:val="18"/>
                <w:lang w:val="sr-Cyrl-RS" w:eastAsia="sr-Cyrl-CS"/>
              </w:rPr>
            </w:pPr>
            <w:r>
              <w:rPr>
                <w:rFonts w:eastAsia="Times New Roman"/>
                <w:sz w:val="18"/>
                <w:szCs w:val="18"/>
                <w:lang w:eastAsia="sr-Cyrl-CS"/>
              </w:rPr>
              <w:t>Total</w:t>
            </w:r>
            <w:r w:rsidRPr="00250B4B">
              <w:rPr>
                <w:rFonts w:eastAsia="Times New Roman"/>
                <w:sz w:val="18"/>
                <w:szCs w:val="18"/>
                <w:lang w:val="sr-Cyrl-RS" w:eastAsia="sr-Cyrl-CS"/>
              </w:rPr>
              <w:t>:</w:t>
            </w:r>
          </w:p>
        </w:tc>
        <w:tc>
          <w:tcPr>
            <w:tcW w:w="1347" w:type="dxa"/>
            <w:tcBorders>
              <w:bottom w:val="single" w:sz="4"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336</w:t>
            </w:r>
            <w:r>
              <w:rPr>
                <w:rFonts w:eastAsia="Times New Roman"/>
                <w:sz w:val="18"/>
                <w:szCs w:val="18"/>
                <w:lang w:val="sr-Cyrl-RS" w:eastAsia="sr-Cyrl-CS"/>
              </w:rPr>
              <w:t>,</w:t>
            </w:r>
            <w:r w:rsidRPr="00250B4B">
              <w:rPr>
                <w:rFonts w:eastAsia="Times New Roman"/>
                <w:sz w:val="18"/>
                <w:szCs w:val="18"/>
                <w:lang w:val="sr-Cyrl-RS" w:eastAsia="sr-Cyrl-CS"/>
              </w:rPr>
              <w:t>009</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tcBorders>
              <w:bottom w:val="single" w:sz="4"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416</w:t>
            </w:r>
            <w:r>
              <w:rPr>
                <w:rFonts w:eastAsia="Times New Roman"/>
                <w:sz w:val="18"/>
                <w:szCs w:val="18"/>
                <w:lang w:val="sr-Cyrl-RS" w:eastAsia="sr-Cyrl-CS"/>
              </w:rPr>
              <w:t>,</w:t>
            </w:r>
            <w:r w:rsidRPr="00250B4B">
              <w:rPr>
                <w:rFonts w:eastAsia="Times New Roman"/>
                <w:sz w:val="18"/>
                <w:szCs w:val="18"/>
                <w:lang w:val="sr-Cyrl-RS" w:eastAsia="sr-Cyrl-CS"/>
              </w:rPr>
              <w:t>009</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tcBorders>
              <w:bottom w:val="single" w:sz="4" w:space="0" w:color="auto"/>
              <w:right w:val="single" w:sz="18"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364</w:t>
            </w:r>
            <w:r>
              <w:rPr>
                <w:rFonts w:eastAsia="Times New Roman"/>
                <w:sz w:val="18"/>
                <w:szCs w:val="18"/>
                <w:lang w:val="sr-Cyrl-RS" w:eastAsia="sr-Cyrl-CS"/>
              </w:rPr>
              <w:t>,</w:t>
            </w:r>
            <w:r w:rsidRPr="00250B4B">
              <w:rPr>
                <w:rFonts w:eastAsia="Times New Roman"/>
                <w:sz w:val="18"/>
                <w:szCs w:val="18"/>
                <w:lang w:val="sr-Cyrl-RS" w:eastAsia="sr-Cyrl-CS"/>
              </w:rPr>
              <w:t>496</w:t>
            </w:r>
            <w:r>
              <w:rPr>
                <w:rFonts w:eastAsia="Times New Roman"/>
                <w:sz w:val="18"/>
                <w:szCs w:val="18"/>
                <w:lang w:val="sr-Cyrl-RS" w:eastAsia="sr-Cyrl-CS"/>
              </w:rPr>
              <w:t>,</w:t>
            </w:r>
            <w:r w:rsidRPr="00250B4B">
              <w:rPr>
                <w:rFonts w:eastAsia="Times New Roman"/>
                <w:sz w:val="18"/>
                <w:szCs w:val="18"/>
                <w:lang w:val="sr-Cyrl-RS" w:eastAsia="sr-Cyrl-CS"/>
              </w:rPr>
              <w:t>248</w:t>
            </w:r>
          </w:p>
        </w:tc>
        <w:tc>
          <w:tcPr>
            <w:tcW w:w="1417"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62020" w:rsidRPr="009D2A67" w:rsidRDefault="009D2A67" w:rsidP="008772C8">
            <w:pPr>
              <w:jc w:val="right"/>
              <w:rPr>
                <w:rFonts w:eastAsia="Times New Roman"/>
                <w:b/>
                <w:sz w:val="18"/>
                <w:szCs w:val="18"/>
                <w:lang w:eastAsia="sr-Cyrl-CS"/>
              </w:rPr>
            </w:pPr>
            <w:r>
              <w:rPr>
                <w:rFonts w:eastAsia="Times New Roman"/>
                <w:b/>
                <w:szCs w:val="18"/>
                <w:lang w:val="sr-Cyrl-RS" w:eastAsia="sr-Cyrl-CS"/>
              </w:rPr>
              <w:t>8</w:t>
            </w:r>
            <w:r>
              <w:rPr>
                <w:rFonts w:eastAsia="Times New Roman"/>
                <w:b/>
                <w:szCs w:val="18"/>
                <w:lang w:eastAsia="sr-Cyrl-CS"/>
              </w:rPr>
              <w:t>7,6</w:t>
            </w:r>
          </w:p>
        </w:tc>
        <w:tc>
          <w:tcPr>
            <w:tcW w:w="1276" w:type="dxa"/>
            <w:tcBorders>
              <w:left w:val="single" w:sz="18" w:space="0" w:color="auto"/>
              <w:bottom w:val="single" w:sz="4" w:space="0" w:color="auto"/>
              <w:right w:val="single" w:sz="2"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337</w:t>
            </w:r>
            <w:r>
              <w:rPr>
                <w:rFonts w:eastAsia="Times New Roman"/>
                <w:sz w:val="18"/>
                <w:szCs w:val="18"/>
                <w:lang w:val="sr-Cyrl-RS" w:eastAsia="sr-Cyrl-CS"/>
              </w:rPr>
              <w:t>,</w:t>
            </w:r>
            <w:r w:rsidRPr="00250B4B">
              <w:rPr>
                <w:rFonts w:eastAsia="Times New Roman"/>
                <w:sz w:val="18"/>
                <w:szCs w:val="18"/>
                <w:lang w:val="sr-Cyrl-RS" w:eastAsia="sr-Cyrl-CS"/>
              </w:rPr>
              <w:t>244</w:t>
            </w:r>
            <w:r>
              <w:rPr>
                <w:rFonts w:eastAsia="Times New Roman"/>
                <w:sz w:val="18"/>
                <w:szCs w:val="18"/>
                <w:lang w:val="sr-Cyrl-RS" w:eastAsia="sr-Cyrl-CS"/>
              </w:rPr>
              <w:t>,</w:t>
            </w:r>
            <w:r w:rsidRPr="00250B4B">
              <w:rPr>
                <w:rFonts w:eastAsia="Times New Roman"/>
                <w:sz w:val="18"/>
                <w:szCs w:val="18"/>
                <w:lang w:val="sr-Cyrl-RS" w:eastAsia="sr-Cyrl-CS"/>
              </w:rPr>
              <w:t>397</w:t>
            </w:r>
          </w:p>
        </w:tc>
        <w:tc>
          <w:tcPr>
            <w:tcW w:w="1276" w:type="dxa"/>
            <w:tcBorders>
              <w:left w:val="single" w:sz="2" w:space="0" w:color="auto"/>
              <w:bottom w:val="single" w:sz="4" w:space="0" w:color="auto"/>
            </w:tcBorders>
            <w:vAlign w:val="center"/>
          </w:tcPr>
          <w:p w:rsidR="00B62020" w:rsidRPr="0053148E" w:rsidRDefault="00B62020" w:rsidP="008772C8">
            <w:pPr>
              <w:jc w:val="right"/>
              <w:rPr>
                <w:rFonts w:eastAsia="Times New Roman"/>
                <w:sz w:val="18"/>
                <w:szCs w:val="18"/>
                <w:lang w:val="sr-Latn-CS" w:eastAsia="sr-Cyrl-CS"/>
              </w:rPr>
            </w:pPr>
            <w:r>
              <w:rPr>
                <w:rFonts w:eastAsia="Times New Roman"/>
                <w:sz w:val="18"/>
                <w:szCs w:val="18"/>
                <w:lang w:val="sr-Latn-CS" w:eastAsia="sr-Cyrl-CS"/>
              </w:rPr>
              <w:t>365,000,000</w:t>
            </w:r>
          </w:p>
        </w:tc>
      </w:tr>
      <w:tr w:rsidR="00B62020" w:rsidRPr="00250B4B" w:rsidTr="008772C8">
        <w:trPr>
          <w:trHeight w:val="35"/>
          <w:jc w:val="center"/>
        </w:trPr>
        <w:tc>
          <w:tcPr>
            <w:tcW w:w="10420" w:type="dxa"/>
            <w:gridSpan w:val="7"/>
            <w:shd w:val="pct10" w:color="auto" w:fill="auto"/>
            <w:noWrap/>
            <w:vAlign w:val="bottom"/>
            <w:hideMark/>
          </w:tcPr>
          <w:p w:rsidR="00B62020" w:rsidRPr="00250B4B" w:rsidRDefault="00B62020" w:rsidP="008772C8">
            <w:pPr>
              <w:jc w:val="left"/>
              <w:rPr>
                <w:rFonts w:eastAsia="Times New Roman"/>
                <w:b/>
                <w:bCs/>
                <w:sz w:val="18"/>
                <w:szCs w:val="18"/>
                <w:lang w:val="sr-Cyrl-RS" w:eastAsia="sr-Cyrl-CS"/>
              </w:rPr>
            </w:pPr>
            <w:r w:rsidRPr="00BB4A9F">
              <w:rPr>
                <w:rFonts w:eastAsia="Times New Roman"/>
                <w:b/>
                <w:bCs/>
                <w:sz w:val="18"/>
                <w:szCs w:val="18"/>
                <w:lang w:val="sr-Cyrl-RS" w:eastAsia="sr-Cyrl-CS"/>
              </w:rPr>
              <w:t>BUDGET FUND FOR PROGRAMS OF SOCIAL AND HUMANITARIAN ORGANIZATIONS</w:t>
            </w:r>
            <w:r w:rsidRPr="00250B4B">
              <w:rPr>
                <w:rStyle w:val="FootnoteReference"/>
                <w:rFonts w:eastAsia="Times New Roman"/>
                <w:b/>
                <w:bCs/>
                <w:sz w:val="18"/>
                <w:szCs w:val="18"/>
                <w:lang w:val="sr-Cyrl-RS" w:eastAsia="sr-Cyrl-CS"/>
              </w:rPr>
              <w:footnoteReference w:id="15"/>
            </w:r>
          </w:p>
        </w:tc>
      </w:tr>
      <w:tr w:rsidR="00B62020" w:rsidRPr="00250B4B" w:rsidTr="008772C8">
        <w:trPr>
          <w:trHeight w:val="255"/>
          <w:jc w:val="center"/>
        </w:trPr>
        <w:tc>
          <w:tcPr>
            <w:tcW w:w="9144" w:type="dxa"/>
            <w:gridSpan w:val="6"/>
            <w:shd w:val="clear" w:color="auto" w:fill="auto"/>
            <w:noWrap/>
            <w:vAlign w:val="bottom"/>
            <w:hideMark/>
          </w:tcPr>
          <w:p w:rsidR="00B62020" w:rsidRPr="00250B4B" w:rsidRDefault="00B62020" w:rsidP="008772C8">
            <w:pPr>
              <w:jc w:val="left"/>
              <w:rPr>
                <w:rFonts w:eastAsia="Times New Roman"/>
                <w:sz w:val="18"/>
                <w:szCs w:val="18"/>
                <w:lang w:val="sr-Cyrl-RS" w:eastAsia="sr-Cyrl-CS"/>
              </w:rPr>
            </w:pPr>
            <w:r>
              <w:rPr>
                <w:rFonts w:eastAsia="Times New Roman"/>
                <w:sz w:val="18"/>
                <w:szCs w:val="18"/>
                <w:lang w:eastAsia="sr-Cyrl-CS"/>
              </w:rPr>
              <w:t>Sources of funding</w:t>
            </w:r>
            <w:r w:rsidRPr="00250B4B">
              <w:rPr>
                <w:rFonts w:eastAsia="Times New Roman"/>
                <w:sz w:val="18"/>
                <w:szCs w:val="18"/>
                <w:lang w:val="sr-Cyrl-RS" w:eastAsia="sr-Cyrl-CS"/>
              </w:rPr>
              <w:t>:</w:t>
            </w:r>
          </w:p>
        </w:tc>
        <w:tc>
          <w:tcPr>
            <w:tcW w:w="1276" w:type="dxa"/>
          </w:tcPr>
          <w:p w:rsidR="00B62020" w:rsidRPr="00250B4B" w:rsidRDefault="00B62020" w:rsidP="008772C8">
            <w:pPr>
              <w:jc w:val="left"/>
              <w:rPr>
                <w:rFonts w:eastAsia="Times New Roman"/>
                <w:sz w:val="18"/>
                <w:szCs w:val="18"/>
                <w:lang w:val="sr-Cyrl-RS" w:eastAsia="sr-Cyrl-CS"/>
              </w:rPr>
            </w:pPr>
          </w:p>
        </w:tc>
      </w:tr>
      <w:tr w:rsidR="00B62020" w:rsidRPr="00250B4B" w:rsidTr="008772C8">
        <w:trPr>
          <w:trHeight w:val="255"/>
          <w:jc w:val="center"/>
        </w:trPr>
        <w:tc>
          <w:tcPr>
            <w:tcW w:w="2552" w:type="dxa"/>
            <w:shd w:val="clear" w:color="auto" w:fill="auto"/>
            <w:noWrap/>
            <w:vAlign w:val="bottom"/>
            <w:hideMark/>
          </w:tcPr>
          <w:p w:rsidR="00B62020" w:rsidRPr="00250B4B" w:rsidRDefault="00B62020" w:rsidP="008772C8">
            <w:pPr>
              <w:ind w:left="459"/>
              <w:jc w:val="left"/>
              <w:rPr>
                <w:rFonts w:eastAsia="Times New Roman"/>
                <w:sz w:val="18"/>
                <w:szCs w:val="18"/>
                <w:lang w:val="sr-Cyrl-RS" w:eastAsia="sr-Cyrl-CS"/>
              </w:rPr>
            </w:pPr>
            <w:r>
              <w:rPr>
                <w:rFonts w:eastAsia="Times New Roman"/>
                <w:sz w:val="18"/>
                <w:szCs w:val="18"/>
                <w:lang w:eastAsia="sr-Cyrl-CS"/>
              </w:rPr>
              <w:t>Own revenues of budget beneficiaries</w:t>
            </w:r>
          </w:p>
        </w:tc>
        <w:tc>
          <w:tcPr>
            <w:tcW w:w="134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370</w:t>
            </w:r>
            <w:r>
              <w:rPr>
                <w:rFonts w:eastAsia="Times New Roman"/>
                <w:sz w:val="18"/>
                <w:szCs w:val="18"/>
                <w:lang w:val="sr-Cyrl-RS" w:eastAsia="sr-Cyrl-CS"/>
              </w:rPr>
              <w:t>,</w:t>
            </w:r>
            <w:r w:rsidRPr="00250B4B">
              <w:rPr>
                <w:rFonts w:eastAsia="Times New Roman"/>
                <w:sz w:val="18"/>
                <w:szCs w:val="18"/>
                <w:lang w:val="sr-Cyrl-RS" w:eastAsia="sr-Cyrl-CS"/>
              </w:rPr>
              <w:t>000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370</w:t>
            </w:r>
            <w:r>
              <w:rPr>
                <w:rFonts w:eastAsia="Times New Roman"/>
                <w:sz w:val="18"/>
                <w:szCs w:val="18"/>
                <w:lang w:val="sr-Cyrl-RS" w:eastAsia="sr-Cyrl-CS"/>
              </w:rPr>
              <w:t>,</w:t>
            </w:r>
            <w:r w:rsidRPr="00250B4B">
              <w:rPr>
                <w:rFonts w:eastAsia="Times New Roman"/>
                <w:sz w:val="18"/>
                <w:szCs w:val="18"/>
                <w:lang w:val="sr-Cyrl-RS" w:eastAsia="sr-Cyrl-CS"/>
              </w:rPr>
              <w:t>000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803</w:t>
            </w:r>
            <w:r>
              <w:rPr>
                <w:rFonts w:eastAsia="Times New Roman"/>
                <w:sz w:val="18"/>
                <w:szCs w:val="18"/>
                <w:lang w:val="sr-Cyrl-RS" w:eastAsia="sr-Cyrl-CS"/>
              </w:rPr>
              <w:t>,</w:t>
            </w:r>
            <w:r w:rsidRPr="00250B4B">
              <w:rPr>
                <w:rFonts w:eastAsia="Times New Roman"/>
                <w:sz w:val="18"/>
                <w:szCs w:val="18"/>
                <w:lang w:val="sr-Cyrl-RS" w:eastAsia="sr-Cyrl-CS"/>
              </w:rPr>
              <w:t>447</w:t>
            </w:r>
          </w:p>
        </w:tc>
        <w:tc>
          <w:tcPr>
            <w:tcW w:w="1417" w:type="dxa"/>
            <w:shd w:val="clear" w:color="auto" w:fill="auto"/>
            <w:noWrap/>
            <w:vAlign w:val="center"/>
            <w:hideMark/>
          </w:tcPr>
          <w:p w:rsidR="00B62020" w:rsidRPr="009D2A67" w:rsidRDefault="00B62020" w:rsidP="008772C8">
            <w:pPr>
              <w:jc w:val="right"/>
              <w:rPr>
                <w:rFonts w:eastAsia="Times New Roman"/>
                <w:sz w:val="18"/>
                <w:szCs w:val="18"/>
                <w:lang w:eastAsia="sr-Cyrl-CS"/>
              </w:rPr>
            </w:pPr>
            <w:r w:rsidRPr="00250B4B">
              <w:rPr>
                <w:rFonts w:eastAsia="Times New Roman"/>
                <w:sz w:val="18"/>
                <w:szCs w:val="18"/>
                <w:lang w:val="sr-Cyrl-RS" w:eastAsia="sr-Cyrl-CS"/>
              </w:rPr>
              <w:t>0</w:t>
            </w:r>
            <w:r w:rsidR="009D2A67">
              <w:rPr>
                <w:rFonts w:eastAsia="Times New Roman"/>
                <w:sz w:val="18"/>
                <w:szCs w:val="18"/>
                <w:lang w:eastAsia="sr-Cyrl-CS"/>
              </w:rPr>
              <w:t>,22</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p>
        </w:tc>
        <w:tc>
          <w:tcPr>
            <w:tcW w:w="1276" w:type="dxa"/>
            <w:vAlign w:val="center"/>
          </w:tcPr>
          <w:p w:rsidR="00B62020" w:rsidRPr="00250B4B" w:rsidRDefault="00B62020" w:rsidP="008772C8">
            <w:pPr>
              <w:jc w:val="right"/>
              <w:rPr>
                <w:rFonts w:eastAsia="Times New Roman"/>
                <w:sz w:val="18"/>
                <w:szCs w:val="18"/>
                <w:lang w:val="sr-Cyrl-RS" w:eastAsia="sr-Cyrl-CS"/>
              </w:rPr>
            </w:pPr>
          </w:p>
        </w:tc>
      </w:tr>
      <w:tr w:rsidR="00B62020" w:rsidRPr="00250B4B" w:rsidTr="008772C8">
        <w:trPr>
          <w:trHeight w:val="255"/>
          <w:jc w:val="center"/>
        </w:trPr>
        <w:tc>
          <w:tcPr>
            <w:tcW w:w="2552" w:type="dxa"/>
            <w:shd w:val="clear" w:color="auto" w:fill="auto"/>
            <w:noWrap/>
            <w:vAlign w:val="bottom"/>
            <w:hideMark/>
          </w:tcPr>
          <w:p w:rsidR="00B62020" w:rsidRPr="00250B4B" w:rsidRDefault="00B62020" w:rsidP="008772C8">
            <w:pPr>
              <w:ind w:left="459"/>
              <w:jc w:val="left"/>
              <w:rPr>
                <w:rFonts w:eastAsia="Times New Roman"/>
                <w:sz w:val="18"/>
                <w:szCs w:val="18"/>
                <w:lang w:val="sr-Cyrl-RS" w:eastAsia="sr-Cyrl-CS"/>
              </w:rPr>
            </w:pPr>
            <w:r>
              <w:rPr>
                <w:rFonts w:eastAsia="Times New Roman"/>
                <w:sz w:val="18"/>
                <w:szCs w:val="18"/>
                <w:lang w:eastAsia="sr-Cyrl-CS"/>
              </w:rPr>
              <w:t>Undistributed surplus from previous years</w:t>
            </w:r>
          </w:p>
        </w:tc>
        <w:tc>
          <w:tcPr>
            <w:tcW w:w="134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12</w:t>
            </w:r>
            <w:r>
              <w:rPr>
                <w:rFonts w:eastAsia="Times New Roman"/>
                <w:sz w:val="18"/>
                <w:szCs w:val="18"/>
                <w:lang w:val="sr-Cyrl-RS" w:eastAsia="sr-Cyrl-CS"/>
              </w:rPr>
              <w:t>,</w:t>
            </w:r>
            <w:r w:rsidRPr="00250B4B">
              <w:rPr>
                <w:rFonts w:eastAsia="Times New Roman"/>
                <w:sz w:val="18"/>
                <w:szCs w:val="18"/>
                <w:lang w:val="sr-Cyrl-RS" w:eastAsia="sr-Cyrl-CS"/>
              </w:rPr>
              <w:t>022</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12</w:t>
            </w:r>
            <w:r>
              <w:rPr>
                <w:rFonts w:eastAsia="Times New Roman"/>
                <w:sz w:val="18"/>
                <w:szCs w:val="18"/>
                <w:lang w:val="sr-Cyrl-RS" w:eastAsia="sr-Cyrl-CS"/>
              </w:rPr>
              <w:t>,</w:t>
            </w:r>
            <w:r w:rsidRPr="00250B4B">
              <w:rPr>
                <w:rFonts w:eastAsia="Times New Roman"/>
                <w:sz w:val="18"/>
                <w:szCs w:val="18"/>
                <w:lang w:val="sr-Cyrl-RS" w:eastAsia="sr-Cyrl-CS"/>
              </w:rPr>
              <w:t>022</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w:t>
            </w:r>
            <w:r>
              <w:rPr>
                <w:rFonts w:eastAsia="Times New Roman"/>
                <w:sz w:val="18"/>
                <w:szCs w:val="18"/>
                <w:lang w:val="sr-Cyrl-RS" w:eastAsia="sr-Cyrl-CS"/>
              </w:rPr>
              <w:t>,</w:t>
            </w:r>
            <w:r w:rsidRPr="00250B4B">
              <w:rPr>
                <w:rFonts w:eastAsia="Times New Roman"/>
                <w:sz w:val="18"/>
                <w:szCs w:val="18"/>
                <w:lang w:val="sr-Cyrl-RS" w:eastAsia="sr-Cyrl-CS"/>
              </w:rPr>
              <w:t>270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417" w:type="dxa"/>
            <w:tcBorders>
              <w:bottom w:val="single" w:sz="18" w:space="0" w:color="auto"/>
            </w:tcBorders>
            <w:shd w:val="clear" w:color="auto" w:fill="auto"/>
            <w:noWrap/>
            <w:vAlign w:val="center"/>
            <w:hideMark/>
          </w:tcPr>
          <w:p w:rsidR="00B62020" w:rsidRPr="009D2A67" w:rsidRDefault="009D2A67" w:rsidP="008772C8">
            <w:pPr>
              <w:jc w:val="right"/>
              <w:rPr>
                <w:rFonts w:eastAsia="Times New Roman"/>
                <w:sz w:val="18"/>
                <w:szCs w:val="18"/>
                <w:lang w:eastAsia="sr-Cyrl-CS"/>
              </w:rPr>
            </w:pPr>
            <w:r>
              <w:rPr>
                <w:rFonts w:eastAsia="Times New Roman"/>
                <w:sz w:val="18"/>
                <w:szCs w:val="18"/>
                <w:lang w:val="sr-Cyrl-RS" w:eastAsia="sr-Cyrl-CS"/>
              </w:rPr>
              <w:t>1</w:t>
            </w:r>
            <w:r>
              <w:rPr>
                <w:rFonts w:eastAsia="Times New Roman"/>
                <w:sz w:val="18"/>
                <w:szCs w:val="18"/>
                <w:lang w:eastAsia="sr-Cyrl-CS"/>
              </w:rPr>
              <w:t>0,56</w:t>
            </w:r>
          </w:p>
        </w:tc>
        <w:tc>
          <w:tcPr>
            <w:tcW w:w="1276" w:type="dxa"/>
            <w:tcBorders>
              <w:bottom w:val="single" w:sz="4"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p>
        </w:tc>
        <w:tc>
          <w:tcPr>
            <w:tcW w:w="1276" w:type="dxa"/>
            <w:vAlign w:val="center"/>
          </w:tcPr>
          <w:p w:rsidR="00B62020" w:rsidRPr="00250B4B" w:rsidRDefault="00B62020" w:rsidP="008772C8">
            <w:pPr>
              <w:jc w:val="right"/>
              <w:rPr>
                <w:rFonts w:eastAsia="Times New Roman"/>
                <w:sz w:val="18"/>
                <w:szCs w:val="18"/>
                <w:lang w:val="sr-Cyrl-RS" w:eastAsia="sr-Cyrl-CS"/>
              </w:rPr>
            </w:pPr>
          </w:p>
        </w:tc>
      </w:tr>
      <w:tr w:rsidR="00B62020" w:rsidRPr="00250B4B" w:rsidTr="009D2A67">
        <w:trPr>
          <w:trHeight w:val="255"/>
          <w:jc w:val="center"/>
        </w:trPr>
        <w:tc>
          <w:tcPr>
            <w:tcW w:w="2552" w:type="dxa"/>
            <w:tcBorders>
              <w:bottom w:val="single" w:sz="4" w:space="0" w:color="auto"/>
            </w:tcBorders>
            <w:shd w:val="clear" w:color="auto" w:fill="auto"/>
            <w:noWrap/>
            <w:vAlign w:val="bottom"/>
            <w:hideMark/>
          </w:tcPr>
          <w:p w:rsidR="00B62020" w:rsidRPr="00250B4B" w:rsidRDefault="00B62020" w:rsidP="008772C8">
            <w:pPr>
              <w:jc w:val="left"/>
              <w:rPr>
                <w:rFonts w:eastAsia="Times New Roman"/>
                <w:sz w:val="18"/>
                <w:szCs w:val="18"/>
                <w:lang w:val="sr-Cyrl-RS" w:eastAsia="sr-Cyrl-CS"/>
              </w:rPr>
            </w:pPr>
            <w:r>
              <w:rPr>
                <w:rFonts w:eastAsia="Times New Roman"/>
                <w:sz w:val="18"/>
                <w:szCs w:val="18"/>
                <w:lang w:eastAsia="sr-Cyrl-CS"/>
              </w:rPr>
              <w:t>Total</w:t>
            </w:r>
            <w:r w:rsidRPr="00250B4B">
              <w:rPr>
                <w:rFonts w:eastAsia="Times New Roman"/>
                <w:sz w:val="18"/>
                <w:szCs w:val="18"/>
                <w:lang w:val="sr-Cyrl-RS" w:eastAsia="sr-Cyrl-CS"/>
              </w:rPr>
              <w:t>:</w:t>
            </w:r>
          </w:p>
        </w:tc>
        <w:tc>
          <w:tcPr>
            <w:tcW w:w="1347" w:type="dxa"/>
            <w:tcBorders>
              <w:bottom w:val="single" w:sz="4"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382</w:t>
            </w:r>
            <w:r>
              <w:rPr>
                <w:rFonts w:eastAsia="Times New Roman"/>
                <w:sz w:val="18"/>
                <w:szCs w:val="18"/>
                <w:lang w:val="sr-Cyrl-RS" w:eastAsia="sr-Cyrl-CS"/>
              </w:rPr>
              <w:t>,</w:t>
            </w:r>
            <w:r w:rsidRPr="00250B4B">
              <w:rPr>
                <w:rFonts w:eastAsia="Times New Roman"/>
                <w:sz w:val="18"/>
                <w:szCs w:val="18"/>
                <w:lang w:val="sr-Cyrl-RS" w:eastAsia="sr-Cyrl-CS"/>
              </w:rPr>
              <w:t>022</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tcBorders>
              <w:bottom w:val="single" w:sz="4"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382</w:t>
            </w:r>
            <w:r>
              <w:rPr>
                <w:rFonts w:eastAsia="Times New Roman"/>
                <w:sz w:val="18"/>
                <w:szCs w:val="18"/>
                <w:lang w:val="sr-Cyrl-RS" w:eastAsia="sr-Cyrl-CS"/>
              </w:rPr>
              <w:t>,</w:t>
            </w:r>
            <w:r w:rsidRPr="00250B4B">
              <w:rPr>
                <w:rFonts w:eastAsia="Times New Roman"/>
                <w:sz w:val="18"/>
                <w:szCs w:val="18"/>
                <w:lang w:val="sr-Cyrl-RS" w:eastAsia="sr-Cyrl-CS"/>
              </w:rPr>
              <w:t>022</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tcBorders>
              <w:bottom w:val="single" w:sz="4" w:space="0" w:color="auto"/>
              <w:right w:val="single" w:sz="18"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2</w:t>
            </w:r>
            <w:r>
              <w:rPr>
                <w:rFonts w:eastAsia="Times New Roman"/>
                <w:sz w:val="18"/>
                <w:szCs w:val="18"/>
                <w:lang w:val="sr-Cyrl-RS" w:eastAsia="sr-Cyrl-CS"/>
              </w:rPr>
              <w:t>,</w:t>
            </w:r>
            <w:r w:rsidRPr="00250B4B">
              <w:rPr>
                <w:rFonts w:eastAsia="Times New Roman"/>
                <w:sz w:val="18"/>
                <w:szCs w:val="18"/>
                <w:lang w:val="sr-Cyrl-RS" w:eastAsia="sr-Cyrl-CS"/>
              </w:rPr>
              <w:t>073</w:t>
            </w:r>
            <w:r>
              <w:rPr>
                <w:rFonts w:eastAsia="Times New Roman"/>
                <w:sz w:val="18"/>
                <w:szCs w:val="18"/>
                <w:lang w:val="sr-Cyrl-RS" w:eastAsia="sr-Cyrl-CS"/>
              </w:rPr>
              <w:t>,</w:t>
            </w:r>
            <w:r w:rsidRPr="00250B4B">
              <w:rPr>
                <w:rFonts w:eastAsia="Times New Roman"/>
                <w:sz w:val="18"/>
                <w:szCs w:val="18"/>
                <w:lang w:val="sr-Cyrl-RS" w:eastAsia="sr-Cyrl-CS"/>
              </w:rPr>
              <w:t>447</w:t>
            </w:r>
          </w:p>
        </w:tc>
        <w:tc>
          <w:tcPr>
            <w:tcW w:w="1417"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62020" w:rsidRPr="009D2A67" w:rsidRDefault="00B62020" w:rsidP="008772C8">
            <w:pPr>
              <w:jc w:val="right"/>
              <w:rPr>
                <w:rFonts w:eastAsia="Times New Roman"/>
                <w:b/>
                <w:sz w:val="18"/>
                <w:szCs w:val="18"/>
                <w:lang w:eastAsia="sr-Cyrl-CS"/>
              </w:rPr>
            </w:pPr>
            <w:r w:rsidRPr="00250B4B">
              <w:rPr>
                <w:rFonts w:eastAsia="Times New Roman"/>
                <w:b/>
                <w:szCs w:val="18"/>
                <w:lang w:val="sr-Cyrl-RS" w:eastAsia="sr-Cyrl-CS"/>
              </w:rPr>
              <w:t>1</w:t>
            </w:r>
            <w:r w:rsidR="009D2A67">
              <w:rPr>
                <w:rFonts w:eastAsia="Times New Roman"/>
                <w:b/>
                <w:szCs w:val="18"/>
                <w:lang w:eastAsia="sr-Cyrl-CS"/>
              </w:rPr>
              <w:t>0,78</w:t>
            </w:r>
          </w:p>
        </w:tc>
        <w:tc>
          <w:tcPr>
            <w:tcW w:w="1276" w:type="dxa"/>
            <w:tcBorders>
              <w:left w:val="single" w:sz="18" w:space="0" w:color="auto"/>
              <w:bottom w:val="single" w:sz="4" w:space="0" w:color="auto"/>
              <w:right w:val="single" w:sz="2"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29</w:t>
            </w:r>
            <w:r>
              <w:rPr>
                <w:rFonts w:eastAsia="Times New Roman"/>
                <w:sz w:val="18"/>
                <w:szCs w:val="18"/>
                <w:lang w:val="sr-Cyrl-RS" w:eastAsia="sr-Cyrl-CS"/>
              </w:rPr>
              <w:t>,</w:t>
            </w:r>
            <w:r w:rsidRPr="00250B4B">
              <w:rPr>
                <w:rFonts w:eastAsia="Times New Roman"/>
                <w:sz w:val="18"/>
                <w:szCs w:val="18"/>
                <w:lang w:val="sr-Cyrl-RS" w:eastAsia="sr-Cyrl-CS"/>
              </w:rPr>
              <w:t>227</w:t>
            </w:r>
            <w:r>
              <w:rPr>
                <w:rFonts w:eastAsia="Times New Roman"/>
                <w:sz w:val="18"/>
                <w:szCs w:val="18"/>
                <w:lang w:val="sr-Cyrl-RS" w:eastAsia="sr-Cyrl-CS"/>
              </w:rPr>
              <w:t>,</w:t>
            </w:r>
            <w:r w:rsidRPr="00250B4B">
              <w:rPr>
                <w:rFonts w:eastAsia="Times New Roman"/>
                <w:sz w:val="18"/>
                <w:szCs w:val="18"/>
                <w:lang w:val="sr-Cyrl-RS" w:eastAsia="sr-Cyrl-CS"/>
              </w:rPr>
              <w:t>304</w:t>
            </w:r>
          </w:p>
        </w:tc>
        <w:tc>
          <w:tcPr>
            <w:tcW w:w="1276" w:type="dxa"/>
            <w:tcBorders>
              <w:left w:val="single" w:sz="2" w:space="0" w:color="auto"/>
              <w:bottom w:val="single" w:sz="4" w:space="0" w:color="auto"/>
            </w:tcBorders>
            <w:vAlign w:val="center"/>
          </w:tcPr>
          <w:p w:rsidR="00B62020" w:rsidRPr="00250B4B" w:rsidRDefault="00B62020" w:rsidP="008772C8">
            <w:pPr>
              <w:jc w:val="right"/>
              <w:rPr>
                <w:rFonts w:eastAsia="Times New Roman"/>
                <w:sz w:val="18"/>
                <w:szCs w:val="18"/>
                <w:lang w:val="sr-Cyrl-RS" w:eastAsia="sr-Cyrl-CS"/>
              </w:rPr>
            </w:pPr>
          </w:p>
        </w:tc>
      </w:tr>
      <w:tr w:rsidR="00B62020" w:rsidRPr="00250B4B" w:rsidTr="008772C8">
        <w:trPr>
          <w:trHeight w:val="35"/>
          <w:jc w:val="center"/>
        </w:trPr>
        <w:tc>
          <w:tcPr>
            <w:tcW w:w="10420" w:type="dxa"/>
            <w:gridSpan w:val="7"/>
            <w:tcBorders>
              <w:top w:val="single" w:sz="4" w:space="0" w:color="auto"/>
            </w:tcBorders>
            <w:shd w:val="pct10" w:color="auto" w:fill="auto"/>
            <w:noWrap/>
            <w:vAlign w:val="bottom"/>
            <w:hideMark/>
          </w:tcPr>
          <w:p w:rsidR="00B62020" w:rsidRPr="00250B4B" w:rsidRDefault="00B62020" w:rsidP="008772C8">
            <w:pPr>
              <w:jc w:val="left"/>
              <w:rPr>
                <w:rFonts w:eastAsia="Times New Roman"/>
                <w:b/>
                <w:bCs/>
                <w:sz w:val="18"/>
                <w:szCs w:val="18"/>
                <w:lang w:val="sr-Cyrl-RS" w:eastAsia="sr-Cyrl-CS"/>
              </w:rPr>
            </w:pPr>
            <w:r w:rsidRPr="00C00F9F">
              <w:rPr>
                <w:rFonts w:eastAsia="Times New Roman"/>
                <w:b/>
                <w:bCs/>
                <w:sz w:val="18"/>
                <w:szCs w:val="18"/>
                <w:lang w:val="sr-Cyrl-RS" w:eastAsia="sr-Cyrl-CS"/>
              </w:rPr>
              <w:t>BUDGET FUND FOR SOCIAL WELFARE INSTITUTIONS</w:t>
            </w:r>
            <w:r w:rsidRPr="00250B4B">
              <w:rPr>
                <w:rStyle w:val="FootnoteReference"/>
                <w:rFonts w:eastAsia="Times New Roman"/>
                <w:b/>
                <w:bCs/>
                <w:sz w:val="18"/>
                <w:szCs w:val="18"/>
                <w:lang w:val="sr-Cyrl-RS" w:eastAsia="sr-Cyrl-CS"/>
              </w:rPr>
              <w:t xml:space="preserve"> </w:t>
            </w:r>
            <w:r w:rsidRPr="00250B4B">
              <w:rPr>
                <w:rStyle w:val="FootnoteReference"/>
                <w:rFonts w:eastAsia="Times New Roman"/>
                <w:b/>
                <w:bCs/>
                <w:sz w:val="18"/>
                <w:szCs w:val="18"/>
                <w:lang w:val="sr-Cyrl-RS" w:eastAsia="sr-Cyrl-CS"/>
              </w:rPr>
              <w:footnoteReference w:id="16"/>
            </w:r>
          </w:p>
        </w:tc>
      </w:tr>
      <w:tr w:rsidR="00B62020" w:rsidRPr="00250B4B" w:rsidTr="008772C8">
        <w:trPr>
          <w:trHeight w:val="255"/>
          <w:jc w:val="center"/>
        </w:trPr>
        <w:tc>
          <w:tcPr>
            <w:tcW w:w="9144" w:type="dxa"/>
            <w:gridSpan w:val="6"/>
            <w:shd w:val="clear" w:color="auto" w:fill="auto"/>
            <w:noWrap/>
            <w:vAlign w:val="bottom"/>
            <w:hideMark/>
          </w:tcPr>
          <w:p w:rsidR="00B62020" w:rsidRPr="00250B4B" w:rsidRDefault="00B62020" w:rsidP="008772C8">
            <w:pPr>
              <w:jc w:val="left"/>
              <w:rPr>
                <w:rFonts w:eastAsia="Times New Roman"/>
                <w:sz w:val="18"/>
                <w:szCs w:val="18"/>
                <w:lang w:val="sr-Cyrl-RS" w:eastAsia="sr-Cyrl-CS"/>
              </w:rPr>
            </w:pPr>
            <w:r>
              <w:rPr>
                <w:rFonts w:eastAsia="Times New Roman"/>
                <w:sz w:val="18"/>
                <w:szCs w:val="18"/>
                <w:lang w:eastAsia="sr-Cyrl-CS"/>
              </w:rPr>
              <w:t>Sources of funding</w:t>
            </w:r>
            <w:r w:rsidRPr="00250B4B">
              <w:rPr>
                <w:rFonts w:eastAsia="Times New Roman"/>
                <w:sz w:val="18"/>
                <w:szCs w:val="18"/>
                <w:lang w:val="sr-Cyrl-RS" w:eastAsia="sr-Cyrl-CS"/>
              </w:rPr>
              <w:t>:</w:t>
            </w:r>
          </w:p>
        </w:tc>
        <w:tc>
          <w:tcPr>
            <w:tcW w:w="1276" w:type="dxa"/>
          </w:tcPr>
          <w:p w:rsidR="00B62020" w:rsidRPr="00250B4B" w:rsidRDefault="00B62020" w:rsidP="008772C8">
            <w:pPr>
              <w:jc w:val="left"/>
              <w:rPr>
                <w:rFonts w:eastAsia="Times New Roman"/>
                <w:sz w:val="18"/>
                <w:szCs w:val="18"/>
                <w:lang w:val="sr-Cyrl-RS" w:eastAsia="sr-Cyrl-CS"/>
              </w:rPr>
            </w:pPr>
          </w:p>
        </w:tc>
      </w:tr>
      <w:tr w:rsidR="00B62020" w:rsidRPr="00250B4B" w:rsidTr="008772C8">
        <w:trPr>
          <w:trHeight w:val="255"/>
          <w:jc w:val="center"/>
        </w:trPr>
        <w:tc>
          <w:tcPr>
            <w:tcW w:w="2552" w:type="dxa"/>
            <w:shd w:val="clear" w:color="auto" w:fill="auto"/>
            <w:noWrap/>
            <w:vAlign w:val="bottom"/>
            <w:hideMark/>
          </w:tcPr>
          <w:p w:rsidR="00B62020" w:rsidRPr="00250B4B" w:rsidRDefault="00B62020" w:rsidP="008772C8">
            <w:pPr>
              <w:ind w:left="459"/>
              <w:jc w:val="left"/>
              <w:rPr>
                <w:rFonts w:eastAsia="Times New Roman"/>
                <w:sz w:val="18"/>
                <w:szCs w:val="18"/>
                <w:lang w:val="sr-Cyrl-RS" w:eastAsia="sr-Cyrl-CS"/>
              </w:rPr>
            </w:pPr>
            <w:r>
              <w:rPr>
                <w:rFonts w:eastAsia="Times New Roman"/>
                <w:sz w:val="18"/>
                <w:szCs w:val="18"/>
                <w:lang w:eastAsia="sr-Cyrl-CS"/>
              </w:rPr>
              <w:t>Own revenues of budget beneficiaries</w:t>
            </w:r>
          </w:p>
        </w:tc>
        <w:tc>
          <w:tcPr>
            <w:tcW w:w="134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350</w:t>
            </w:r>
            <w:r>
              <w:rPr>
                <w:rFonts w:eastAsia="Times New Roman"/>
                <w:sz w:val="18"/>
                <w:szCs w:val="18"/>
                <w:lang w:val="sr-Cyrl-RS" w:eastAsia="sr-Cyrl-CS"/>
              </w:rPr>
              <w:t>,</w:t>
            </w:r>
            <w:r w:rsidRPr="00250B4B">
              <w:rPr>
                <w:rFonts w:eastAsia="Times New Roman"/>
                <w:sz w:val="18"/>
                <w:szCs w:val="18"/>
                <w:lang w:val="sr-Cyrl-RS" w:eastAsia="sr-Cyrl-CS"/>
              </w:rPr>
              <w:t>000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350</w:t>
            </w:r>
            <w:r>
              <w:rPr>
                <w:rFonts w:eastAsia="Times New Roman"/>
                <w:sz w:val="18"/>
                <w:szCs w:val="18"/>
                <w:lang w:val="sr-Cyrl-RS" w:eastAsia="sr-Cyrl-CS"/>
              </w:rPr>
              <w:t>,</w:t>
            </w:r>
            <w:r w:rsidRPr="00250B4B">
              <w:rPr>
                <w:rFonts w:eastAsia="Times New Roman"/>
                <w:sz w:val="18"/>
                <w:szCs w:val="18"/>
                <w:lang w:val="sr-Cyrl-RS" w:eastAsia="sr-Cyrl-CS"/>
              </w:rPr>
              <w:t>000</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160</w:t>
            </w:r>
            <w:r>
              <w:rPr>
                <w:rFonts w:eastAsia="Times New Roman"/>
                <w:sz w:val="18"/>
                <w:szCs w:val="18"/>
                <w:lang w:val="sr-Cyrl-RS" w:eastAsia="sr-Cyrl-CS"/>
              </w:rPr>
              <w:t>,</w:t>
            </w:r>
            <w:r w:rsidRPr="00250B4B">
              <w:rPr>
                <w:rFonts w:eastAsia="Times New Roman"/>
                <w:sz w:val="18"/>
                <w:szCs w:val="18"/>
                <w:lang w:val="sr-Cyrl-RS" w:eastAsia="sr-Cyrl-CS"/>
              </w:rPr>
              <w:t>984</w:t>
            </w:r>
            <w:r>
              <w:rPr>
                <w:rFonts w:eastAsia="Times New Roman"/>
                <w:sz w:val="18"/>
                <w:szCs w:val="18"/>
                <w:lang w:val="sr-Cyrl-RS" w:eastAsia="sr-Cyrl-CS"/>
              </w:rPr>
              <w:t>,</w:t>
            </w:r>
            <w:r w:rsidRPr="00250B4B">
              <w:rPr>
                <w:rFonts w:eastAsia="Times New Roman"/>
                <w:sz w:val="18"/>
                <w:szCs w:val="18"/>
                <w:lang w:val="sr-Cyrl-RS" w:eastAsia="sr-Cyrl-CS"/>
              </w:rPr>
              <w:t>872</w:t>
            </w:r>
          </w:p>
        </w:tc>
        <w:tc>
          <w:tcPr>
            <w:tcW w:w="141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46</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p>
        </w:tc>
        <w:tc>
          <w:tcPr>
            <w:tcW w:w="1276" w:type="dxa"/>
            <w:vAlign w:val="center"/>
          </w:tcPr>
          <w:p w:rsidR="00B62020" w:rsidRPr="00250B4B" w:rsidRDefault="00B62020" w:rsidP="008772C8">
            <w:pPr>
              <w:jc w:val="right"/>
              <w:rPr>
                <w:rFonts w:eastAsia="Times New Roman"/>
                <w:sz w:val="18"/>
                <w:szCs w:val="18"/>
                <w:lang w:val="sr-Cyrl-RS" w:eastAsia="sr-Cyrl-CS"/>
              </w:rPr>
            </w:pPr>
          </w:p>
        </w:tc>
      </w:tr>
      <w:tr w:rsidR="00B62020" w:rsidRPr="00250B4B" w:rsidTr="008772C8">
        <w:trPr>
          <w:trHeight w:val="255"/>
          <w:jc w:val="center"/>
        </w:trPr>
        <w:tc>
          <w:tcPr>
            <w:tcW w:w="2552" w:type="dxa"/>
            <w:shd w:val="clear" w:color="auto" w:fill="auto"/>
            <w:noWrap/>
            <w:vAlign w:val="bottom"/>
            <w:hideMark/>
          </w:tcPr>
          <w:p w:rsidR="00B62020" w:rsidRPr="00250B4B" w:rsidRDefault="00B62020" w:rsidP="008772C8">
            <w:pPr>
              <w:ind w:left="459"/>
              <w:jc w:val="left"/>
              <w:rPr>
                <w:rFonts w:eastAsia="Times New Roman"/>
                <w:sz w:val="18"/>
                <w:szCs w:val="18"/>
                <w:lang w:val="sr-Cyrl-RS" w:eastAsia="sr-Cyrl-CS"/>
              </w:rPr>
            </w:pPr>
            <w:r>
              <w:rPr>
                <w:rFonts w:eastAsia="Times New Roman"/>
                <w:sz w:val="18"/>
                <w:szCs w:val="18"/>
                <w:lang w:eastAsia="sr-Cyrl-CS"/>
              </w:rPr>
              <w:t>Undistributed surplus from previous years</w:t>
            </w:r>
          </w:p>
        </w:tc>
        <w:tc>
          <w:tcPr>
            <w:tcW w:w="134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326</w:t>
            </w:r>
            <w:r>
              <w:rPr>
                <w:rFonts w:eastAsia="Times New Roman"/>
                <w:sz w:val="18"/>
                <w:szCs w:val="18"/>
                <w:lang w:val="sr-Cyrl-RS" w:eastAsia="sr-Cyrl-CS"/>
              </w:rPr>
              <w:t>,</w:t>
            </w:r>
            <w:r w:rsidRPr="00250B4B">
              <w:rPr>
                <w:rFonts w:eastAsia="Times New Roman"/>
                <w:sz w:val="18"/>
                <w:szCs w:val="18"/>
                <w:lang w:val="sr-Cyrl-RS" w:eastAsia="sr-Cyrl-CS"/>
              </w:rPr>
              <w:t>428</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326</w:t>
            </w:r>
            <w:r>
              <w:rPr>
                <w:rFonts w:eastAsia="Times New Roman"/>
                <w:sz w:val="18"/>
                <w:szCs w:val="18"/>
                <w:lang w:val="sr-Cyrl-RS" w:eastAsia="sr-Cyrl-CS"/>
              </w:rPr>
              <w:t>,</w:t>
            </w:r>
            <w:r w:rsidRPr="00250B4B">
              <w:rPr>
                <w:rFonts w:eastAsia="Times New Roman"/>
                <w:sz w:val="18"/>
                <w:szCs w:val="18"/>
                <w:lang w:val="sr-Cyrl-RS" w:eastAsia="sr-Cyrl-CS"/>
              </w:rPr>
              <w:t>428</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226</w:t>
            </w:r>
            <w:r>
              <w:rPr>
                <w:rFonts w:eastAsia="Times New Roman"/>
                <w:sz w:val="18"/>
                <w:szCs w:val="18"/>
                <w:lang w:val="sr-Cyrl-RS" w:eastAsia="sr-Cyrl-CS"/>
              </w:rPr>
              <w:t>,</w:t>
            </w:r>
            <w:r w:rsidRPr="00250B4B">
              <w:rPr>
                <w:rFonts w:eastAsia="Times New Roman"/>
                <w:sz w:val="18"/>
                <w:szCs w:val="18"/>
                <w:lang w:val="sr-Cyrl-RS" w:eastAsia="sr-Cyrl-CS"/>
              </w:rPr>
              <w:t>629</w:t>
            </w:r>
            <w:r>
              <w:rPr>
                <w:rFonts w:eastAsia="Times New Roman"/>
                <w:sz w:val="18"/>
                <w:szCs w:val="18"/>
                <w:lang w:val="sr-Cyrl-RS" w:eastAsia="sr-Cyrl-CS"/>
              </w:rPr>
              <w:t>,</w:t>
            </w:r>
            <w:r w:rsidRPr="00250B4B">
              <w:rPr>
                <w:rFonts w:eastAsia="Times New Roman"/>
                <w:sz w:val="18"/>
                <w:szCs w:val="18"/>
                <w:lang w:val="sr-Cyrl-RS" w:eastAsia="sr-Cyrl-CS"/>
              </w:rPr>
              <w:t>135</w:t>
            </w:r>
          </w:p>
        </w:tc>
        <w:tc>
          <w:tcPr>
            <w:tcW w:w="1417" w:type="dxa"/>
            <w:tcBorders>
              <w:bottom w:val="single" w:sz="18" w:space="0" w:color="auto"/>
            </w:tcBorders>
            <w:shd w:val="clear" w:color="auto" w:fill="auto"/>
            <w:noWrap/>
            <w:vAlign w:val="center"/>
            <w:hideMark/>
          </w:tcPr>
          <w:p w:rsidR="00B62020" w:rsidRPr="009D2A67" w:rsidRDefault="00B62020" w:rsidP="008772C8">
            <w:pPr>
              <w:jc w:val="right"/>
              <w:rPr>
                <w:rFonts w:eastAsia="Times New Roman"/>
                <w:sz w:val="18"/>
                <w:szCs w:val="18"/>
                <w:lang w:eastAsia="sr-Cyrl-CS"/>
              </w:rPr>
            </w:pPr>
            <w:r w:rsidRPr="00250B4B">
              <w:rPr>
                <w:rFonts w:eastAsia="Times New Roman"/>
                <w:sz w:val="18"/>
                <w:szCs w:val="18"/>
                <w:lang w:val="sr-Cyrl-RS" w:eastAsia="sr-Cyrl-CS"/>
              </w:rPr>
              <w:t>69</w:t>
            </w:r>
            <w:r w:rsidR="009D2A67">
              <w:rPr>
                <w:rFonts w:eastAsia="Times New Roman"/>
                <w:sz w:val="18"/>
                <w:szCs w:val="18"/>
                <w:lang w:eastAsia="sr-Cyrl-CS"/>
              </w:rPr>
              <w:t>,4</w:t>
            </w:r>
          </w:p>
        </w:tc>
        <w:tc>
          <w:tcPr>
            <w:tcW w:w="1276" w:type="dxa"/>
            <w:tcBorders>
              <w:bottom w:val="single" w:sz="4"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p>
        </w:tc>
        <w:tc>
          <w:tcPr>
            <w:tcW w:w="1276" w:type="dxa"/>
            <w:vAlign w:val="center"/>
          </w:tcPr>
          <w:p w:rsidR="00B62020" w:rsidRPr="00250B4B" w:rsidRDefault="00B62020" w:rsidP="008772C8">
            <w:pPr>
              <w:jc w:val="right"/>
              <w:rPr>
                <w:rFonts w:eastAsia="Times New Roman"/>
                <w:sz w:val="18"/>
                <w:szCs w:val="18"/>
                <w:lang w:val="sr-Cyrl-RS" w:eastAsia="sr-Cyrl-CS"/>
              </w:rPr>
            </w:pPr>
          </w:p>
        </w:tc>
      </w:tr>
      <w:tr w:rsidR="00B62020" w:rsidRPr="00250B4B" w:rsidTr="009D2A67">
        <w:trPr>
          <w:trHeight w:val="255"/>
          <w:jc w:val="center"/>
        </w:trPr>
        <w:tc>
          <w:tcPr>
            <w:tcW w:w="2552" w:type="dxa"/>
            <w:shd w:val="clear" w:color="auto" w:fill="auto"/>
            <w:noWrap/>
            <w:vAlign w:val="bottom"/>
            <w:hideMark/>
          </w:tcPr>
          <w:p w:rsidR="00B62020" w:rsidRPr="00250B4B" w:rsidRDefault="00B62020" w:rsidP="008772C8">
            <w:pPr>
              <w:jc w:val="left"/>
              <w:rPr>
                <w:rFonts w:eastAsia="Times New Roman"/>
                <w:sz w:val="18"/>
                <w:szCs w:val="18"/>
                <w:lang w:val="sr-Cyrl-RS" w:eastAsia="sr-Cyrl-CS"/>
              </w:rPr>
            </w:pPr>
            <w:r>
              <w:rPr>
                <w:rFonts w:eastAsia="Times New Roman"/>
                <w:sz w:val="18"/>
                <w:szCs w:val="18"/>
                <w:lang w:eastAsia="sr-Cyrl-CS"/>
              </w:rPr>
              <w:t>Total</w:t>
            </w:r>
            <w:r w:rsidRPr="00250B4B">
              <w:rPr>
                <w:rFonts w:eastAsia="Times New Roman"/>
                <w:sz w:val="18"/>
                <w:szCs w:val="18"/>
                <w:lang w:val="sr-Cyrl-RS" w:eastAsia="sr-Cyrl-CS"/>
              </w:rPr>
              <w:t>:</w:t>
            </w:r>
          </w:p>
        </w:tc>
        <w:tc>
          <w:tcPr>
            <w:tcW w:w="1347"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676</w:t>
            </w:r>
            <w:r>
              <w:rPr>
                <w:rFonts w:eastAsia="Times New Roman"/>
                <w:sz w:val="18"/>
                <w:szCs w:val="18"/>
                <w:lang w:val="sr-Cyrl-RS" w:eastAsia="sr-Cyrl-CS"/>
              </w:rPr>
              <w:t>,</w:t>
            </w:r>
            <w:r w:rsidRPr="00250B4B">
              <w:rPr>
                <w:rFonts w:eastAsia="Times New Roman"/>
                <w:sz w:val="18"/>
                <w:szCs w:val="18"/>
                <w:lang w:val="sr-Cyrl-RS" w:eastAsia="sr-Cyrl-CS"/>
              </w:rPr>
              <w:t>428</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676</w:t>
            </w:r>
            <w:r>
              <w:rPr>
                <w:rFonts w:eastAsia="Times New Roman"/>
                <w:sz w:val="18"/>
                <w:szCs w:val="18"/>
                <w:lang w:val="sr-Cyrl-RS" w:eastAsia="sr-Cyrl-CS"/>
              </w:rPr>
              <w:t>,</w:t>
            </w:r>
            <w:r w:rsidRPr="00250B4B">
              <w:rPr>
                <w:rFonts w:eastAsia="Times New Roman"/>
                <w:sz w:val="18"/>
                <w:szCs w:val="18"/>
                <w:lang w:val="sr-Cyrl-RS" w:eastAsia="sr-Cyrl-CS"/>
              </w:rPr>
              <w:t>428</w:t>
            </w:r>
            <w:r>
              <w:rPr>
                <w:rFonts w:eastAsia="Times New Roman"/>
                <w:sz w:val="18"/>
                <w:szCs w:val="18"/>
                <w:lang w:val="sr-Cyrl-RS" w:eastAsia="sr-Cyrl-CS"/>
              </w:rPr>
              <w:t>,</w:t>
            </w:r>
            <w:r w:rsidRPr="00250B4B">
              <w:rPr>
                <w:rFonts w:eastAsia="Times New Roman"/>
                <w:sz w:val="18"/>
                <w:szCs w:val="18"/>
                <w:lang w:val="sr-Cyrl-RS" w:eastAsia="sr-Cyrl-CS"/>
              </w:rPr>
              <w:t>000</w:t>
            </w:r>
          </w:p>
        </w:tc>
        <w:tc>
          <w:tcPr>
            <w:tcW w:w="1276" w:type="dxa"/>
            <w:tcBorders>
              <w:right w:val="single" w:sz="18"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387</w:t>
            </w:r>
            <w:r>
              <w:rPr>
                <w:rFonts w:eastAsia="Times New Roman"/>
                <w:sz w:val="18"/>
                <w:szCs w:val="18"/>
                <w:lang w:val="sr-Cyrl-RS" w:eastAsia="sr-Cyrl-CS"/>
              </w:rPr>
              <w:t>,</w:t>
            </w:r>
            <w:r w:rsidRPr="00250B4B">
              <w:rPr>
                <w:rFonts w:eastAsia="Times New Roman"/>
                <w:sz w:val="18"/>
                <w:szCs w:val="18"/>
                <w:lang w:val="sr-Cyrl-RS" w:eastAsia="sr-Cyrl-CS"/>
              </w:rPr>
              <w:t>614</w:t>
            </w:r>
            <w:r>
              <w:rPr>
                <w:rFonts w:eastAsia="Times New Roman"/>
                <w:sz w:val="18"/>
                <w:szCs w:val="18"/>
                <w:lang w:val="sr-Cyrl-RS" w:eastAsia="sr-Cyrl-CS"/>
              </w:rPr>
              <w:t>,</w:t>
            </w:r>
            <w:r w:rsidRPr="00250B4B">
              <w:rPr>
                <w:rFonts w:eastAsia="Times New Roman"/>
                <w:sz w:val="18"/>
                <w:szCs w:val="18"/>
                <w:lang w:val="sr-Cyrl-RS" w:eastAsia="sr-Cyrl-CS"/>
              </w:rPr>
              <w:t>007</w:t>
            </w:r>
          </w:p>
        </w:tc>
        <w:tc>
          <w:tcPr>
            <w:tcW w:w="1417"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62020" w:rsidRPr="009D2A67" w:rsidRDefault="00B62020" w:rsidP="008772C8">
            <w:pPr>
              <w:jc w:val="right"/>
              <w:rPr>
                <w:rFonts w:eastAsia="Times New Roman"/>
                <w:b/>
                <w:sz w:val="18"/>
                <w:szCs w:val="18"/>
                <w:lang w:eastAsia="sr-Cyrl-CS"/>
              </w:rPr>
            </w:pPr>
            <w:r w:rsidRPr="00250B4B">
              <w:rPr>
                <w:rFonts w:eastAsia="Times New Roman"/>
                <w:b/>
                <w:szCs w:val="18"/>
                <w:lang w:val="sr-Cyrl-RS" w:eastAsia="sr-Cyrl-CS"/>
              </w:rPr>
              <w:t>57</w:t>
            </w:r>
            <w:r w:rsidR="009D2A67">
              <w:rPr>
                <w:rFonts w:eastAsia="Times New Roman"/>
                <w:b/>
                <w:szCs w:val="18"/>
                <w:lang w:eastAsia="sr-Cyrl-CS"/>
              </w:rPr>
              <w:t>,3</w:t>
            </w:r>
          </w:p>
        </w:tc>
        <w:tc>
          <w:tcPr>
            <w:tcW w:w="1276" w:type="dxa"/>
            <w:tcBorders>
              <w:left w:val="single" w:sz="18" w:space="0" w:color="auto"/>
              <w:bottom w:val="single" w:sz="2" w:space="0" w:color="auto"/>
              <w:right w:val="single" w:sz="2" w:space="0" w:color="auto"/>
            </w:tcBorders>
            <w:shd w:val="clear" w:color="auto" w:fill="auto"/>
            <w:noWrap/>
            <w:vAlign w:val="center"/>
            <w:hideMark/>
          </w:tcPr>
          <w:p w:rsidR="00B62020" w:rsidRPr="00250B4B" w:rsidRDefault="00B62020" w:rsidP="008772C8">
            <w:pPr>
              <w:jc w:val="right"/>
              <w:rPr>
                <w:rFonts w:eastAsia="Times New Roman"/>
                <w:sz w:val="18"/>
                <w:szCs w:val="18"/>
                <w:lang w:val="sr-Cyrl-RS" w:eastAsia="sr-Cyrl-CS"/>
              </w:rPr>
            </w:pPr>
            <w:r w:rsidRPr="00250B4B">
              <w:rPr>
                <w:rFonts w:eastAsia="Times New Roman"/>
                <w:sz w:val="18"/>
                <w:szCs w:val="18"/>
                <w:lang w:val="sr-Cyrl-RS" w:eastAsia="sr-Cyrl-CS"/>
              </w:rPr>
              <w:t>423</w:t>
            </w:r>
            <w:r>
              <w:rPr>
                <w:rFonts w:eastAsia="Times New Roman"/>
                <w:sz w:val="18"/>
                <w:szCs w:val="18"/>
                <w:lang w:val="sr-Cyrl-RS" w:eastAsia="sr-Cyrl-CS"/>
              </w:rPr>
              <w:t>,</w:t>
            </w:r>
            <w:r w:rsidRPr="00250B4B">
              <w:rPr>
                <w:rFonts w:eastAsia="Times New Roman"/>
                <w:sz w:val="18"/>
                <w:szCs w:val="18"/>
                <w:lang w:val="sr-Cyrl-RS" w:eastAsia="sr-Cyrl-CS"/>
              </w:rPr>
              <w:t>711</w:t>
            </w:r>
            <w:r>
              <w:rPr>
                <w:rFonts w:eastAsia="Times New Roman"/>
                <w:sz w:val="18"/>
                <w:szCs w:val="18"/>
                <w:lang w:val="sr-Cyrl-RS" w:eastAsia="sr-Cyrl-CS"/>
              </w:rPr>
              <w:t>,</w:t>
            </w:r>
            <w:r w:rsidRPr="00250B4B">
              <w:rPr>
                <w:rFonts w:eastAsia="Times New Roman"/>
                <w:sz w:val="18"/>
                <w:szCs w:val="18"/>
                <w:lang w:val="sr-Cyrl-RS" w:eastAsia="sr-Cyrl-CS"/>
              </w:rPr>
              <w:t>697</w:t>
            </w:r>
          </w:p>
        </w:tc>
        <w:tc>
          <w:tcPr>
            <w:tcW w:w="1276" w:type="dxa"/>
            <w:tcBorders>
              <w:left w:val="single" w:sz="2" w:space="0" w:color="auto"/>
            </w:tcBorders>
            <w:vAlign w:val="center"/>
          </w:tcPr>
          <w:p w:rsidR="00B62020" w:rsidRPr="0053148E" w:rsidRDefault="00B62020" w:rsidP="008772C8">
            <w:pPr>
              <w:jc w:val="right"/>
              <w:rPr>
                <w:rFonts w:eastAsia="Times New Roman"/>
                <w:sz w:val="18"/>
                <w:szCs w:val="18"/>
                <w:lang w:val="sr-Latn-CS" w:eastAsia="sr-Cyrl-CS"/>
              </w:rPr>
            </w:pPr>
            <w:r>
              <w:rPr>
                <w:rFonts w:eastAsia="Times New Roman"/>
                <w:sz w:val="18"/>
                <w:szCs w:val="18"/>
                <w:lang w:val="sr-Latn-CS" w:eastAsia="sr-Cyrl-CS"/>
              </w:rPr>
              <w:t>424,708,000</w:t>
            </w:r>
          </w:p>
        </w:tc>
      </w:tr>
      <w:tr w:rsidR="00B62020" w:rsidRPr="00250B4B" w:rsidTr="009D2A67">
        <w:trPr>
          <w:trHeight w:val="255"/>
          <w:jc w:val="center"/>
        </w:trPr>
        <w:tc>
          <w:tcPr>
            <w:tcW w:w="2552" w:type="dxa"/>
            <w:shd w:val="clear" w:color="auto" w:fill="auto"/>
            <w:noWrap/>
            <w:vAlign w:val="bottom"/>
            <w:hideMark/>
          </w:tcPr>
          <w:p w:rsidR="00B62020" w:rsidRPr="00C00F9F" w:rsidRDefault="00B62020" w:rsidP="008772C8">
            <w:pPr>
              <w:jc w:val="left"/>
              <w:rPr>
                <w:rFonts w:eastAsia="Times New Roman"/>
                <w:b/>
                <w:sz w:val="18"/>
                <w:szCs w:val="18"/>
                <w:lang w:eastAsia="sr-Cyrl-CS"/>
              </w:rPr>
            </w:pPr>
            <w:r>
              <w:rPr>
                <w:rFonts w:eastAsia="Times New Roman"/>
                <w:b/>
                <w:sz w:val="18"/>
                <w:szCs w:val="18"/>
                <w:lang w:eastAsia="sr-Cyrl-CS"/>
              </w:rPr>
              <w:t>Total funds</w:t>
            </w:r>
          </w:p>
        </w:tc>
        <w:tc>
          <w:tcPr>
            <w:tcW w:w="1347" w:type="dxa"/>
            <w:shd w:val="clear" w:color="auto" w:fill="auto"/>
            <w:noWrap/>
            <w:vAlign w:val="center"/>
            <w:hideMark/>
          </w:tcPr>
          <w:p w:rsidR="00B62020" w:rsidRPr="00250B4B" w:rsidRDefault="00B62020" w:rsidP="008772C8">
            <w:pPr>
              <w:jc w:val="right"/>
              <w:rPr>
                <w:b/>
                <w:sz w:val="18"/>
                <w:szCs w:val="18"/>
                <w:lang w:val="sr-Cyrl-RS"/>
              </w:rPr>
            </w:pPr>
            <w:r w:rsidRPr="00250B4B">
              <w:rPr>
                <w:b/>
                <w:sz w:val="18"/>
                <w:szCs w:val="18"/>
                <w:lang w:val="sr-Cyrl-RS"/>
              </w:rPr>
              <w:t>3</w:t>
            </w:r>
            <w:r>
              <w:rPr>
                <w:b/>
                <w:sz w:val="18"/>
                <w:szCs w:val="18"/>
                <w:lang w:val="sr-Cyrl-RS"/>
              </w:rPr>
              <w:t>,</w:t>
            </w:r>
            <w:r w:rsidRPr="00250B4B">
              <w:rPr>
                <w:b/>
                <w:sz w:val="18"/>
                <w:szCs w:val="18"/>
                <w:lang w:val="sr-Cyrl-RS"/>
              </w:rPr>
              <w:t>654</w:t>
            </w:r>
            <w:r>
              <w:rPr>
                <w:b/>
                <w:sz w:val="18"/>
                <w:szCs w:val="18"/>
                <w:lang w:val="sr-Cyrl-RS"/>
              </w:rPr>
              <w:t>,</w:t>
            </w:r>
            <w:r w:rsidRPr="00250B4B">
              <w:rPr>
                <w:b/>
                <w:sz w:val="18"/>
                <w:szCs w:val="18"/>
                <w:lang w:val="sr-Cyrl-RS"/>
              </w:rPr>
              <w:t>633</w:t>
            </w:r>
            <w:r>
              <w:rPr>
                <w:b/>
                <w:sz w:val="18"/>
                <w:szCs w:val="18"/>
                <w:lang w:val="sr-Cyrl-RS"/>
              </w:rPr>
              <w:t>,</w:t>
            </w:r>
            <w:r w:rsidRPr="00250B4B">
              <w:rPr>
                <w:b/>
                <w:sz w:val="18"/>
                <w:szCs w:val="18"/>
                <w:lang w:val="sr-Cyrl-RS"/>
              </w:rPr>
              <w:t>000</w:t>
            </w:r>
          </w:p>
        </w:tc>
        <w:tc>
          <w:tcPr>
            <w:tcW w:w="1276" w:type="dxa"/>
            <w:shd w:val="clear" w:color="auto" w:fill="auto"/>
            <w:noWrap/>
            <w:vAlign w:val="center"/>
            <w:hideMark/>
          </w:tcPr>
          <w:p w:rsidR="00B62020" w:rsidRPr="00250B4B" w:rsidRDefault="00B62020" w:rsidP="008772C8">
            <w:pPr>
              <w:jc w:val="right"/>
              <w:rPr>
                <w:b/>
                <w:sz w:val="18"/>
                <w:szCs w:val="18"/>
                <w:lang w:val="sr-Cyrl-RS"/>
              </w:rPr>
            </w:pPr>
            <w:r w:rsidRPr="00250B4B">
              <w:rPr>
                <w:b/>
                <w:sz w:val="18"/>
                <w:szCs w:val="18"/>
                <w:lang w:val="sr-Cyrl-RS"/>
              </w:rPr>
              <w:t>3</w:t>
            </w:r>
            <w:r>
              <w:rPr>
                <w:b/>
                <w:sz w:val="18"/>
                <w:szCs w:val="18"/>
                <w:lang w:val="sr-Cyrl-RS"/>
              </w:rPr>
              <w:t>,</w:t>
            </w:r>
            <w:r w:rsidRPr="00250B4B">
              <w:rPr>
                <w:b/>
                <w:sz w:val="18"/>
                <w:szCs w:val="18"/>
                <w:lang w:val="sr-Cyrl-RS"/>
              </w:rPr>
              <w:t>734</w:t>
            </w:r>
            <w:r>
              <w:rPr>
                <w:b/>
                <w:sz w:val="18"/>
                <w:szCs w:val="18"/>
                <w:lang w:val="sr-Cyrl-RS"/>
              </w:rPr>
              <w:t>,</w:t>
            </w:r>
            <w:r w:rsidRPr="00250B4B">
              <w:rPr>
                <w:b/>
                <w:sz w:val="18"/>
                <w:szCs w:val="18"/>
                <w:lang w:val="sr-Cyrl-RS"/>
              </w:rPr>
              <w:t>633</w:t>
            </w:r>
            <w:r>
              <w:rPr>
                <w:b/>
                <w:sz w:val="18"/>
                <w:szCs w:val="18"/>
                <w:lang w:val="sr-Cyrl-RS"/>
              </w:rPr>
              <w:t>,</w:t>
            </w:r>
            <w:r w:rsidRPr="00250B4B">
              <w:rPr>
                <w:b/>
                <w:sz w:val="18"/>
                <w:szCs w:val="18"/>
                <w:lang w:val="sr-Cyrl-RS"/>
              </w:rPr>
              <w:t>000</w:t>
            </w:r>
          </w:p>
        </w:tc>
        <w:tc>
          <w:tcPr>
            <w:tcW w:w="1276" w:type="dxa"/>
            <w:tcBorders>
              <w:right w:val="single" w:sz="18" w:space="0" w:color="auto"/>
            </w:tcBorders>
            <w:shd w:val="clear" w:color="auto" w:fill="auto"/>
            <w:noWrap/>
            <w:vAlign w:val="center"/>
            <w:hideMark/>
          </w:tcPr>
          <w:p w:rsidR="00B62020" w:rsidRPr="00250B4B" w:rsidRDefault="00B62020" w:rsidP="008772C8">
            <w:pPr>
              <w:jc w:val="right"/>
              <w:rPr>
                <w:b/>
                <w:sz w:val="18"/>
                <w:szCs w:val="18"/>
                <w:lang w:val="sr-Cyrl-RS"/>
              </w:rPr>
            </w:pPr>
            <w:r w:rsidRPr="00250B4B">
              <w:rPr>
                <w:b/>
                <w:sz w:val="18"/>
                <w:szCs w:val="18"/>
                <w:lang w:val="sr-Cyrl-RS"/>
              </w:rPr>
              <w:t>2</w:t>
            </w:r>
            <w:r>
              <w:rPr>
                <w:b/>
                <w:sz w:val="18"/>
                <w:szCs w:val="18"/>
                <w:lang w:val="sr-Cyrl-RS"/>
              </w:rPr>
              <w:t>,</w:t>
            </w:r>
            <w:r w:rsidRPr="00250B4B">
              <w:rPr>
                <w:b/>
                <w:sz w:val="18"/>
                <w:szCs w:val="18"/>
                <w:lang w:val="sr-Cyrl-RS"/>
              </w:rPr>
              <w:t>478</w:t>
            </w:r>
            <w:r>
              <w:rPr>
                <w:b/>
                <w:sz w:val="18"/>
                <w:szCs w:val="18"/>
                <w:lang w:val="sr-Cyrl-RS"/>
              </w:rPr>
              <w:t>,</w:t>
            </w:r>
            <w:r w:rsidRPr="00250B4B">
              <w:rPr>
                <w:b/>
                <w:sz w:val="18"/>
                <w:szCs w:val="18"/>
                <w:lang w:val="sr-Cyrl-RS"/>
              </w:rPr>
              <w:t>818</w:t>
            </w:r>
            <w:r>
              <w:rPr>
                <w:b/>
                <w:sz w:val="18"/>
                <w:szCs w:val="18"/>
                <w:lang w:val="sr-Cyrl-RS"/>
              </w:rPr>
              <w:t>,</w:t>
            </w:r>
            <w:r w:rsidRPr="00250B4B">
              <w:rPr>
                <w:b/>
                <w:sz w:val="18"/>
                <w:szCs w:val="18"/>
                <w:lang w:val="sr-Cyrl-RS"/>
              </w:rPr>
              <w:t>827</w:t>
            </w:r>
          </w:p>
        </w:tc>
        <w:tc>
          <w:tcPr>
            <w:tcW w:w="1417"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62020" w:rsidRPr="009D2A67" w:rsidRDefault="00B62020" w:rsidP="008772C8">
            <w:pPr>
              <w:jc w:val="right"/>
              <w:rPr>
                <w:b/>
              </w:rPr>
            </w:pPr>
            <w:r w:rsidRPr="00250B4B">
              <w:rPr>
                <w:b/>
                <w:lang w:val="sr-Cyrl-RS"/>
              </w:rPr>
              <w:t>66</w:t>
            </w:r>
            <w:r w:rsidR="009D2A67">
              <w:rPr>
                <w:b/>
              </w:rPr>
              <w:t>,4</w:t>
            </w:r>
          </w:p>
        </w:tc>
        <w:tc>
          <w:tcPr>
            <w:tcW w:w="1276" w:type="dxa"/>
            <w:tcBorders>
              <w:top w:val="single" w:sz="2" w:space="0" w:color="auto"/>
              <w:left w:val="single" w:sz="18" w:space="0" w:color="auto"/>
              <w:right w:val="single" w:sz="2" w:space="0" w:color="auto"/>
            </w:tcBorders>
            <w:shd w:val="clear" w:color="auto" w:fill="auto"/>
            <w:noWrap/>
            <w:vAlign w:val="center"/>
          </w:tcPr>
          <w:p w:rsidR="00B62020" w:rsidRPr="00250B4B" w:rsidRDefault="00B62020" w:rsidP="008772C8">
            <w:pPr>
              <w:jc w:val="right"/>
              <w:rPr>
                <w:b/>
                <w:sz w:val="18"/>
                <w:szCs w:val="18"/>
                <w:lang w:val="sr-Cyrl-RS"/>
              </w:rPr>
            </w:pPr>
            <w:r>
              <w:rPr>
                <w:b/>
                <w:sz w:val="18"/>
                <w:szCs w:val="18"/>
                <w:lang w:val="sr-Cyrl-RS"/>
              </w:rPr>
              <w:t>2,080,183,398</w:t>
            </w:r>
          </w:p>
        </w:tc>
        <w:tc>
          <w:tcPr>
            <w:tcW w:w="1276" w:type="dxa"/>
            <w:tcBorders>
              <w:left w:val="single" w:sz="2" w:space="0" w:color="auto"/>
            </w:tcBorders>
            <w:vAlign w:val="center"/>
          </w:tcPr>
          <w:p w:rsidR="00B62020" w:rsidRPr="00250B4B" w:rsidRDefault="00B62020" w:rsidP="008772C8">
            <w:pPr>
              <w:jc w:val="right"/>
              <w:rPr>
                <w:b/>
                <w:sz w:val="18"/>
                <w:szCs w:val="18"/>
                <w:lang w:val="sr-Cyrl-RS"/>
              </w:rPr>
            </w:pPr>
            <w:r>
              <w:rPr>
                <w:b/>
                <w:sz w:val="18"/>
                <w:szCs w:val="18"/>
                <w:lang w:val="sr-Cyrl-RS"/>
              </w:rPr>
              <w:t>2,684,684,000</w:t>
            </w:r>
          </w:p>
        </w:tc>
      </w:tr>
    </w:tbl>
    <w:p w:rsidR="00371E0E" w:rsidRDefault="00B62020" w:rsidP="00B62020">
      <w:r>
        <w:rPr>
          <w:rFonts w:cs="Times New Roman"/>
          <w:szCs w:val="24"/>
          <w:lang w:val="en-GB"/>
        </w:rPr>
        <w:t>Budgetary</w:t>
      </w:r>
      <w:r w:rsidR="00371E0E">
        <w:rPr>
          <w:rFonts w:cs="Times New Roman"/>
          <w:szCs w:val="24"/>
          <w:lang w:val="en-GB"/>
        </w:rPr>
        <w:t xml:space="preserve"> funds are established by a decision of the competent body for an indefinite period of time and these funds are managed, </w:t>
      </w:r>
      <w:r w:rsidR="00371E0E">
        <w:rPr>
          <w:rFonts w:cs="Times New Roman"/>
          <w:i/>
          <w:szCs w:val="24"/>
          <w:lang w:val="en-GB"/>
        </w:rPr>
        <w:t>inter alia</w:t>
      </w:r>
      <w:r w:rsidR="00371E0E">
        <w:rPr>
          <w:rFonts w:cs="Times New Roman"/>
          <w:szCs w:val="24"/>
          <w:lang w:val="en-GB"/>
        </w:rPr>
        <w:t xml:space="preserve">, by ministries in charge of social protection, employment, sports and youth, local </w:t>
      </w:r>
      <w:r w:rsidR="009D2A67">
        <w:rPr>
          <w:rFonts w:cs="Times New Roman"/>
          <w:szCs w:val="24"/>
          <w:lang w:val="en-GB"/>
        </w:rPr>
        <w:t>self-</w:t>
      </w:r>
      <w:r w:rsidR="00371E0E">
        <w:rPr>
          <w:rFonts w:cs="Times New Roman"/>
          <w:szCs w:val="24"/>
          <w:lang w:val="en-GB"/>
        </w:rPr>
        <w:t xml:space="preserve">government and health, within the scope of their competencies. The sources of financing specific budgetary funds (see Table 1) are: 1) appropriations allocated in the budget for the current year; 2) </w:t>
      </w:r>
      <w:r w:rsidR="00BF7C49">
        <w:rPr>
          <w:rFonts w:cs="Times New Roman"/>
          <w:szCs w:val="24"/>
          <w:lang w:val="en-GB"/>
        </w:rPr>
        <w:t>compensation</w:t>
      </w:r>
      <w:r w:rsidR="00371E0E">
        <w:rPr>
          <w:rFonts w:cs="Times New Roman"/>
          <w:szCs w:val="24"/>
          <w:lang w:val="en-GB"/>
        </w:rPr>
        <w:t xml:space="preserve"> </w:t>
      </w:r>
      <w:r w:rsidR="00BF7C49">
        <w:rPr>
          <w:rFonts w:cs="Times New Roman"/>
          <w:szCs w:val="24"/>
          <w:lang w:val="en-GB"/>
        </w:rPr>
        <w:t>on account of</w:t>
      </w:r>
      <w:r w:rsidR="00371E0E">
        <w:rPr>
          <w:rFonts w:cs="Times New Roman"/>
          <w:szCs w:val="24"/>
          <w:lang w:val="en-GB"/>
        </w:rPr>
        <w:t xml:space="preserve"> organizing </w:t>
      </w:r>
      <w:r>
        <w:rPr>
          <w:rFonts w:cs="Times New Roman"/>
          <w:szCs w:val="24"/>
          <w:lang w:val="en-GB"/>
        </w:rPr>
        <w:t>g</w:t>
      </w:r>
      <w:r w:rsidR="00BF7C49">
        <w:rPr>
          <w:rFonts w:cs="Times New Roman"/>
          <w:szCs w:val="24"/>
          <w:lang w:val="en-GB"/>
        </w:rPr>
        <w:t>ames of chance</w:t>
      </w:r>
      <w:r w:rsidR="00371E0E">
        <w:rPr>
          <w:rFonts w:cs="Times New Roman"/>
          <w:szCs w:val="24"/>
          <w:lang w:val="en-GB"/>
        </w:rPr>
        <w:t xml:space="preserve">; 3) </w:t>
      </w:r>
      <w:r w:rsidR="00BF7C49">
        <w:rPr>
          <w:rFonts w:cs="Times New Roman"/>
          <w:szCs w:val="24"/>
          <w:lang w:val="en-GB"/>
        </w:rPr>
        <w:t>compensation on account of permit and granting approval for organizing special games of chance and/or approval for organizing prize games in goods and services; 4) other sources. Earmarked budget allocations are distributed, amounting to 19%</w:t>
      </w:r>
      <w:r w:rsidR="009D2A67">
        <w:rPr>
          <w:rFonts w:cs="Times New Roman"/>
          <w:szCs w:val="24"/>
          <w:lang w:val="en-GB"/>
        </w:rPr>
        <w:t>, for</w:t>
      </w:r>
      <w:r w:rsidR="00BF7C49">
        <w:rPr>
          <w:rFonts w:cs="Times New Roman"/>
          <w:szCs w:val="24"/>
          <w:lang w:val="en-GB"/>
        </w:rPr>
        <w:t xml:space="preserve"> financing the Red Cross of Serbia, organizations of persons with disabilities and other associations aiming to advance the socio-economic and social status of persons with disabilities, social protection institutions and other associations aiming to advance the socio-economic and social status of persons in social need, sports and youth and local self-government units. </w:t>
      </w:r>
      <w:r w:rsidR="00371E0E">
        <w:rPr>
          <w:rFonts w:cs="Times New Roman"/>
          <w:szCs w:val="24"/>
          <w:lang w:val="en-GB"/>
        </w:rPr>
        <w:t xml:space="preserve"> </w:t>
      </w:r>
    </w:p>
    <w:p w:rsidR="00371E0E" w:rsidRDefault="00BF7C49" w:rsidP="001250AD">
      <w:r>
        <w:t xml:space="preserve">As an example of a lack of funds in the disposal of budgetary funds, which is not harmonized with the EU standards which are strived for within the decentralized management of EU funds, we would like to underline that, in 2009, the State Audit Institution published the Report on the Audit of the Annual Financial Report of the Ministry of Labor and Social Affairs 2009 and recommended that financing veteran-disability, disability and other organizations and associations should be regulated by a special instrument and/or procedure, manner and criteria for the selection of programs and/or projects should be prescribed, as well as the contents and form of the contract to be signed with the beneficiaries, </w:t>
      </w:r>
      <w:r w:rsidR="00634E06">
        <w:t xml:space="preserve">the form and mandatory elements that beneficiaries’ programs should contain, the criteria for the allocation of funds, deadlines, form and mandatory elements of the reports for justifying the funds, the manner and instruments of control of the spent funds. </w:t>
      </w:r>
    </w:p>
    <w:p w:rsidR="00C302BB" w:rsidRPr="001250AD" w:rsidRDefault="00C302BB" w:rsidP="001250AD">
      <w:pPr>
        <w:rPr>
          <w:b/>
          <w:caps/>
        </w:rPr>
      </w:pPr>
      <w:r w:rsidRPr="001250AD">
        <w:t xml:space="preserve">In addition to these funds and programmes, </w:t>
      </w:r>
      <w:r w:rsidR="000F1B53">
        <w:t xml:space="preserve">there are other </w:t>
      </w:r>
      <w:r w:rsidR="00947751" w:rsidRPr="001250AD">
        <w:t>opportunities for funding of social inclusion measures</w:t>
      </w:r>
      <w:r w:rsidR="000F1B53">
        <w:t>, for example the one</w:t>
      </w:r>
      <w:r w:rsidR="00947751" w:rsidRPr="001250AD">
        <w:t xml:space="preserve"> stipulated in the Law on seizure of property acquired through crime. Article 4</w:t>
      </w:r>
      <w:r w:rsidR="00B52860">
        <w:rPr>
          <w:lang w:val="sr-Cyrl-CS"/>
        </w:rPr>
        <w:t>9</w:t>
      </w:r>
      <w:r w:rsidR="00947751" w:rsidRPr="001250AD">
        <w:t xml:space="preserve"> of this Law envisages that the funds acquired through selling of the seized property can be </w:t>
      </w:r>
      <w:r w:rsidR="009D2A67" w:rsidRPr="001250AD">
        <w:t>utilized</w:t>
      </w:r>
      <w:r w:rsidR="00947751" w:rsidRPr="001250AD">
        <w:t xml:space="preserve"> for the financing of the social, health, educational and other institutions, in accordance with the regulation of the Government.</w:t>
      </w:r>
    </w:p>
    <w:p w:rsidR="00026901" w:rsidRDefault="00634E06" w:rsidP="001250AD">
      <w:r>
        <w:t xml:space="preserve">Additionally, it should be mentioned that, in view of financing civil society organizations from the Budget of the Republic of Serbia in 2011, it has been concluded that almost 20% of competitions was </w:t>
      </w:r>
      <w:r w:rsidR="00026901">
        <w:t>published</w:t>
      </w:r>
      <w:r>
        <w:t xml:space="preserve"> without written criteria for the allocation of funds, and that most Government bodies </w:t>
      </w:r>
      <w:r w:rsidR="00026901">
        <w:t>do not have a procedure for receiving appeals to the opened competitions</w:t>
      </w:r>
      <w:r w:rsidR="00026901" w:rsidRPr="00AC1180">
        <w:rPr>
          <w:rStyle w:val="FootnoteReference"/>
          <w:sz w:val="22"/>
          <w:lang w:val="sr-Latn-RS"/>
        </w:rPr>
        <w:footnoteReference w:id="17"/>
      </w:r>
      <w:r w:rsidR="00026901">
        <w:t xml:space="preserve">. Recommendations and findings of the Office for Cooperation with Civil Society of the Government of the Republic of Serbia indicate unequivocally that there are deficiencies in various stages of financing civil society organizations and other associations. For this reason, it is recommended to develop a methodology of monitoring the implementation of approved programs/projects, in particular monitoring their implementation on the ground, as well as unification of monitoring the spending of funds to prevent non-earmarked spending of the funds. It is also recommended to develop a methodology for monitoring achieved results of the approved projects/programs, as well as to conduct a regular analysis of the impact of invested funds in relation to the achieved results, with a view to a more effective utilization of results of the competitions in further planning of support. </w:t>
      </w:r>
    </w:p>
    <w:p w:rsidR="00B62020" w:rsidRDefault="000F1B53" w:rsidP="001250AD">
      <w:r>
        <w:t xml:space="preserve">In conclusion, existing budgetary funds and programmes in the field of social inclusion at central level do not represent mechanisms of effective and efficient public expenditure. There is a clear need of merging at least some of them into a joint mechanism. </w:t>
      </w:r>
      <w:r w:rsidR="0018203A" w:rsidRPr="001250AD">
        <w:t xml:space="preserve">Integrating funds from various ministries has proved to be a difficult task, even when it comes to funds from a same ministry. However, this challenge is achievable with strong political will and support from EU in terms of setting environment for </w:t>
      </w:r>
      <w:r w:rsidR="00841BE4" w:rsidRPr="001250AD">
        <w:t>clearer</w:t>
      </w:r>
      <w:r w:rsidR="00D93612" w:rsidRPr="001250AD">
        <w:t xml:space="preserve"> role in the policy design and policy implementation in the field of social inclusion.</w:t>
      </w:r>
      <w:r w:rsidR="0018203A" w:rsidRPr="001250AD">
        <w:t xml:space="preserve"> </w:t>
      </w:r>
      <w:r w:rsidR="00841BE4" w:rsidRPr="000F1B53">
        <w:t xml:space="preserve"> </w:t>
      </w:r>
    </w:p>
    <w:p w:rsidR="00026901" w:rsidRPr="00182D71" w:rsidRDefault="00026901" w:rsidP="00182D71">
      <w:pPr>
        <w:pStyle w:val="Heading2"/>
      </w:pPr>
      <w:bookmarkStart w:id="13" w:name="_Toc353200760"/>
      <w:r w:rsidRPr="00182D71">
        <w:t>2.2. Financing social Inclusion on the Local Level</w:t>
      </w:r>
      <w:bookmarkEnd w:id="13"/>
    </w:p>
    <w:p w:rsidR="00026901" w:rsidRDefault="00026901" w:rsidP="00B62020">
      <w:r w:rsidRPr="00B62020">
        <w:t xml:space="preserve">Local self-governments are also relevant equal partners in the field of social inclusion. </w:t>
      </w:r>
      <w:r>
        <w:t xml:space="preserve">According to the Law on Financing Local Self-governments, the Republic is mandated to </w:t>
      </w:r>
      <w:r w:rsidR="002B06FD">
        <w:t>ensure</w:t>
      </w:r>
      <w:r>
        <w:t xml:space="preserve"> adequate funds and/or sources of income for conducting specific activities whenever new activities are </w:t>
      </w:r>
      <w:r w:rsidR="002B06FD">
        <w:t xml:space="preserve">transferred or delegated to the local self-government unit. However, the decentralization process occasionally faces challenges when it comes to financing competencies on the local level, and this was also indicated by the European Commission in the Progress Report on Serbia (2012): “competencies are still delegated without ensuring enough capacities and funds on the local level”. Specifically, it is underlined that there is still a limited offer of community-based social services. </w:t>
      </w:r>
    </w:p>
    <w:p w:rsidR="002B06FD" w:rsidRDefault="002B06FD" w:rsidP="00B62020">
      <w:r w:rsidRPr="002B06FD">
        <w:t>The</w:t>
      </w:r>
      <w:r w:rsidR="00026901" w:rsidRPr="00B62020">
        <w:t xml:space="preserve"> scope of activities </w:t>
      </w:r>
      <w:r>
        <w:t xml:space="preserve">of local self-governments </w:t>
      </w:r>
      <w:r w:rsidR="00026901" w:rsidRPr="00B62020">
        <w:t>is defined by a number of legal instruments.</w:t>
      </w:r>
      <w:r>
        <w:t xml:space="preserve"> Several examples is listed hereof. </w:t>
      </w:r>
      <w:r w:rsidR="00026901" w:rsidRPr="00B62020">
        <w:rPr>
          <w:b/>
          <w:i/>
        </w:rPr>
        <w:t>Law on Social Protection</w:t>
      </w:r>
      <w:r>
        <w:rPr>
          <w:b/>
          <w:i/>
        </w:rPr>
        <w:t xml:space="preserve">: </w:t>
      </w:r>
      <w:r w:rsidR="00026901" w:rsidRPr="00B62020">
        <w:t xml:space="preserve">This law stipulates that local self-governments are to develop their respective programs for advancing social protection and that they need to establish measures and actions for encouragement and development of existing and new social services. Funds for these measures are secured within the budget of local governments. In case these municipalities are below average development level of the Republic, funding is secured from “earmarked” transfers. According to Article 207 of this Law the Government determines the amount and criteria for the allocation of these transfers. </w:t>
      </w:r>
      <w:r w:rsidR="00026901" w:rsidRPr="00B62020">
        <w:rPr>
          <w:b/>
          <w:i/>
        </w:rPr>
        <w:t>Law on Employment and Unemployment Insurance</w:t>
      </w:r>
      <w:r>
        <w:rPr>
          <w:b/>
          <w:i/>
        </w:rPr>
        <w:t xml:space="preserve">: </w:t>
      </w:r>
      <w:r w:rsidR="00026901" w:rsidRPr="00B62020">
        <w:t>The financing of active employment policy is defined by Articles 59 and 60 of this Law, stipulating that active labour measures on the municipal level financed from local budgets through specifically established budgetary funds. Those municipalities which secure more than half of funding for active labour measures can apply for co-financing from national budget in accordance with the National Employment Action Plan.</w:t>
      </w:r>
      <w:r>
        <w:t xml:space="preserve"> </w:t>
      </w:r>
      <w:r w:rsidR="00026901" w:rsidRPr="00B62020">
        <w:rPr>
          <w:b/>
          <w:i/>
        </w:rPr>
        <w:t>Law on the Fundamentals of the Education System</w:t>
      </w:r>
      <w:r>
        <w:rPr>
          <w:b/>
          <w:i/>
        </w:rPr>
        <w:t xml:space="preserve">: </w:t>
      </w:r>
      <w:r w:rsidR="00026901" w:rsidRPr="00B62020">
        <w:t xml:space="preserve">According to Article 28 of this Law, the Republic of Serbia, an autonomous province, a local self-government, another legal entity or a private entity may establish an education institution. This law determines procedures of the work of inter-sectoral commissions and details concerning the Individual Education Plan, Individual Program and Individualized Manner of Delivery (Article 77) for child or student in need of additional educational and pedagogical support due to social deprivation, developmental impairment and physical disability or for other reasons. These aspects of social inclusion in education, however, require additional capacity building and financing which are often financed externally. </w:t>
      </w:r>
    </w:p>
    <w:p w:rsidR="00026901" w:rsidRPr="00B62020" w:rsidRDefault="00026901" w:rsidP="00B62020">
      <w:r w:rsidRPr="00B62020">
        <w:t xml:space="preserve">According to the recommendations from the First National Report on Social Inclusion and Poverty Reduction in the Republic of Serbia, the priority in the forthcoming period should be to fully assume the already transferred powers and to establish partnerships at the local level, including the intersectoral and intermunicipal cooperation. Also, according to this Report, it is necessary to further </w:t>
      </w:r>
      <w:r w:rsidR="00982B80" w:rsidRPr="00B62020">
        <w:t>harmonize</w:t>
      </w:r>
      <w:r w:rsidRPr="00B62020">
        <w:t xml:space="preserve"> the policy of funding local governments, develop the information systems (which entails the collection and exchange of information), strengthen their capacities, ensure a more thorough involvement in the reforms related to the process of social inclusion and poverty reduction and the like. </w:t>
      </w:r>
      <w:r w:rsidR="002B06FD">
        <w:t xml:space="preserve">The establishment of the Social Inclusion Fund would contribute to the resolution of the abovementioned challenges and to the advancement of the existing and future legislative framework on the competencies and financing of local self-governments. For example, an increase in the budget of local self-governments for social inclusion measures may be stimulated by co-financing projects (according to a principle of combining resources from EU funds and earmarked transfers in the field of social protection) and the implementation of adequate trainings for local level stakeholders. This is particularly important having in mind the future EU cohesion policy which envisages increased investments in social infrastructure, which represents a precondition for a more successful implementation of social protection measures and other social inclusion policies. </w:t>
      </w:r>
    </w:p>
    <w:p w:rsidR="00B62020" w:rsidRPr="00B62020" w:rsidRDefault="00026901" w:rsidP="00B62020">
      <w:pPr>
        <w:rPr>
          <w:b/>
        </w:rPr>
      </w:pPr>
      <w:r w:rsidRPr="00B62020">
        <w:rPr>
          <w:b/>
        </w:rPr>
        <w:t xml:space="preserve">The Social Inclusion Fund can play a significant role in the future in strengthening the competences of local self-governments in designing effective social inclusion measures. </w:t>
      </w:r>
    </w:p>
    <w:p w:rsidR="00444EA0" w:rsidRPr="00182D71" w:rsidRDefault="002B06FD" w:rsidP="00182D71">
      <w:pPr>
        <w:pStyle w:val="Heading2"/>
      </w:pPr>
      <w:bookmarkStart w:id="14" w:name="_Toc353200761"/>
      <w:r w:rsidRPr="00182D71">
        <w:t>2.3.</w:t>
      </w:r>
      <w:r w:rsidR="00444EA0" w:rsidRPr="00182D71">
        <w:t xml:space="preserve"> Relevant Projects</w:t>
      </w:r>
      <w:bookmarkEnd w:id="14"/>
      <w:r w:rsidR="00444EA0" w:rsidRPr="00182D71">
        <w:t xml:space="preserve"> </w:t>
      </w:r>
    </w:p>
    <w:p w:rsidR="00EF6050" w:rsidRDefault="00CA0960" w:rsidP="00444EA0">
      <w:r w:rsidRPr="00CA0960">
        <w:t xml:space="preserve">Another problem can be observed in the management of externally financed measures for social inclusion. Various donor and credit financed programmes have been implemented, but the main challenge for all of them was the issue of institutional memory, since majority of them have been financed and implemented through specially established project implementation units, which were closed, once the projects were completed. More reasonable and efficient approach would be to build capacities of single body which will be able to absorb and more importantly implement funds in line with strict criteria imposed by development partners. </w:t>
      </w:r>
    </w:p>
    <w:p w:rsidR="00444EA0" w:rsidRPr="005B5F57" w:rsidRDefault="00B62020" w:rsidP="00444EA0">
      <w:pPr>
        <w:rPr>
          <w:rFonts w:cs="Times New Roman"/>
          <w:szCs w:val="24"/>
          <w:lang w:val="en-GB"/>
        </w:rPr>
      </w:pPr>
      <w:r>
        <w:rPr>
          <w:rFonts w:cs="Times New Roman"/>
          <w:b/>
          <w:szCs w:val="24"/>
          <w:lang w:val="en-GB"/>
        </w:rPr>
        <w:t xml:space="preserve">The </w:t>
      </w:r>
      <w:r w:rsidR="00444EA0" w:rsidRPr="005B5F57">
        <w:rPr>
          <w:rFonts w:cs="Times New Roman"/>
          <w:b/>
          <w:szCs w:val="24"/>
          <w:lang w:val="en-GB"/>
        </w:rPr>
        <w:t>DILS</w:t>
      </w:r>
      <w:r>
        <w:rPr>
          <w:rFonts w:cs="Times New Roman"/>
          <w:b/>
          <w:szCs w:val="24"/>
          <w:lang w:val="en-GB"/>
        </w:rPr>
        <w:t xml:space="preserve"> project</w:t>
      </w:r>
      <w:r w:rsidR="00444EA0" w:rsidRPr="005B5F57">
        <w:rPr>
          <w:rFonts w:cs="Times New Roman"/>
          <w:b/>
          <w:szCs w:val="24"/>
          <w:lang w:val="en-GB"/>
        </w:rPr>
        <w:t xml:space="preserve"> (Delivery of Improved Local Services)</w:t>
      </w:r>
      <w:r w:rsidR="00444EA0" w:rsidRPr="005B5F57">
        <w:rPr>
          <w:rFonts w:cs="Times New Roman"/>
          <w:szCs w:val="24"/>
          <w:lang w:val="en-GB"/>
        </w:rPr>
        <w:t xml:space="preserve"> is funded from a </w:t>
      </w:r>
      <w:r w:rsidR="00444EA0">
        <w:rPr>
          <w:rFonts w:cs="Times New Roman"/>
          <w:szCs w:val="24"/>
          <w:lang w:val="en-GB"/>
        </w:rPr>
        <w:t>EUR</w:t>
      </w:r>
      <w:r w:rsidR="00444EA0" w:rsidRPr="005B5F57">
        <w:rPr>
          <w:rFonts w:cs="Times New Roman"/>
          <w:szCs w:val="24"/>
          <w:lang w:val="en-GB"/>
        </w:rPr>
        <w:t xml:space="preserve"> 32 million World Bank loan. This project is implemented by the project implementation unit and three ministries (the Ministry of Education</w:t>
      </w:r>
      <w:r w:rsidR="00982B80">
        <w:rPr>
          <w:rFonts w:cs="Times New Roman"/>
          <w:szCs w:val="24"/>
          <w:lang w:val="en-GB"/>
        </w:rPr>
        <w:t>,</w:t>
      </w:r>
      <w:r w:rsidR="00444EA0" w:rsidRPr="005B5F57">
        <w:rPr>
          <w:rFonts w:cs="Times New Roman"/>
          <w:szCs w:val="24"/>
          <w:lang w:val="en-GB"/>
        </w:rPr>
        <w:t xml:space="preserve"> Science</w:t>
      </w:r>
      <w:r w:rsidR="00982B80">
        <w:rPr>
          <w:rFonts w:cs="Times New Roman"/>
          <w:szCs w:val="24"/>
          <w:lang w:val="en-GB"/>
        </w:rPr>
        <w:t xml:space="preserve"> and Technological Development</w:t>
      </w:r>
      <w:r w:rsidR="00444EA0" w:rsidRPr="005B5F57">
        <w:rPr>
          <w:rFonts w:cs="Times New Roman"/>
          <w:szCs w:val="24"/>
          <w:lang w:val="en-GB"/>
        </w:rPr>
        <w:t>, the Ministry of Labour</w:t>
      </w:r>
      <w:r w:rsidR="00982B80">
        <w:rPr>
          <w:rFonts w:cs="Times New Roman"/>
          <w:szCs w:val="24"/>
          <w:lang w:val="en-GB"/>
        </w:rPr>
        <w:t>, Employment</w:t>
      </w:r>
      <w:r w:rsidR="00444EA0" w:rsidRPr="005B5F57">
        <w:rPr>
          <w:rFonts w:cs="Times New Roman"/>
          <w:szCs w:val="24"/>
          <w:lang w:val="en-GB"/>
        </w:rPr>
        <w:t xml:space="preserve"> and Social Policy and the Ministry of Health). The aim of the project is to strengthen capacities of health care, education and social welfare institutions </w:t>
      </w:r>
      <w:r w:rsidR="00444EA0">
        <w:rPr>
          <w:rFonts w:cs="Times New Roman"/>
          <w:szCs w:val="24"/>
          <w:lang w:val="en-GB"/>
        </w:rPr>
        <w:t>on the</w:t>
      </w:r>
      <w:r w:rsidR="00444EA0" w:rsidRPr="005B5F57">
        <w:rPr>
          <w:rFonts w:cs="Times New Roman"/>
          <w:szCs w:val="24"/>
          <w:lang w:val="en-GB"/>
        </w:rPr>
        <w:t xml:space="preserve"> local level to deliver efficient, accessible, high quality services, financed by the principle “money follows the client”</w:t>
      </w:r>
      <w:r w:rsidR="00444EA0">
        <w:rPr>
          <w:rFonts w:cs="Times New Roman"/>
          <w:szCs w:val="24"/>
          <w:lang w:val="en-GB"/>
        </w:rPr>
        <w:t>,</w:t>
      </w:r>
      <w:r w:rsidR="00444EA0" w:rsidRPr="005B5F57">
        <w:rPr>
          <w:rFonts w:cs="Times New Roman"/>
          <w:szCs w:val="24"/>
          <w:lang w:val="en-GB"/>
        </w:rPr>
        <w:t xml:space="preserve"> in a decentralised </w:t>
      </w:r>
      <w:r w:rsidR="00444EA0">
        <w:rPr>
          <w:rFonts w:cs="Times New Roman"/>
          <w:szCs w:val="24"/>
          <w:lang w:val="en-GB"/>
        </w:rPr>
        <w:t>environment that cares for vulnerable service beneficiaries</w:t>
      </w:r>
      <w:r w:rsidR="00444EA0" w:rsidRPr="005B5F57">
        <w:rPr>
          <w:rFonts w:cs="Times New Roman"/>
          <w:szCs w:val="24"/>
          <w:lang w:val="en-GB"/>
        </w:rPr>
        <w:t xml:space="preserve">. The main activities include grants, </w:t>
      </w:r>
      <w:r w:rsidR="00444EA0">
        <w:rPr>
          <w:rFonts w:cs="Times New Roman"/>
          <w:szCs w:val="24"/>
          <w:lang w:val="en-GB"/>
        </w:rPr>
        <w:t xml:space="preserve">setting </w:t>
      </w:r>
      <w:r w:rsidR="00444EA0" w:rsidRPr="005B5F57">
        <w:rPr>
          <w:rFonts w:cs="Times New Roman"/>
          <w:szCs w:val="24"/>
          <w:lang w:val="en-GB"/>
        </w:rPr>
        <w:t>information system</w:t>
      </w:r>
      <w:r w:rsidR="00444EA0">
        <w:rPr>
          <w:rFonts w:cs="Times New Roman"/>
          <w:szCs w:val="24"/>
          <w:lang w:val="en-GB"/>
        </w:rPr>
        <w:t>s</w:t>
      </w:r>
      <w:r w:rsidR="00444EA0" w:rsidRPr="005B5F57">
        <w:rPr>
          <w:rFonts w:cs="Times New Roman"/>
          <w:szCs w:val="24"/>
          <w:lang w:val="en-GB"/>
        </w:rPr>
        <w:t xml:space="preserve">, training, innovation etc. </w:t>
      </w:r>
    </w:p>
    <w:p w:rsidR="00444EA0" w:rsidRPr="005B5F57" w:rsidRDefault="00444EA0" w:rsidP="00444EA0">
      <w:pPr>
        <w:rPr>
          <w:rFonts w:cs="Times New Roman"/>
          <w:szCs w:val="24"/>
          <w:lang w:val="en-GB"/>
        </w:rPr>
      </w:pPr>
      <w:r>
        <w:rPr>
          <w:rFonts w:cs="Times New Roman"/>
          <w:szCs w:val="24"/>
          <w:lang w:val="en-GB"/>
        </w:rPr>
        <w:t>The</w:t>
      </w:r>
      <w:r w:rsidRPr="005B5F57">
        <w:rPr>
          <w:rFonts w:cs="Times New Roman"/>
          <w:szCs w:val="24"/>
          <w:lang w:val="en-GB"/>
        </w:rPr>
        <w:t xml:space="preserve"> Ministry of Education</w:t>
      </w:r>
      <w:r w:rsidR="00982B80">
        <w:rPr>
          <w:rFonts w:cs="Times New Roman"/>
          <w:szCs w:val="24"/>
          <w:lang w:val="en-GB"/>
        </w:rPr>
        <w:t xml:space="preserve">, </w:t>
      </w:r>
      <w:r w:rsidRPr="005B5F57">
        <w:rPr>
          <w:rFonts w:cs="Times New Roman"/>
          <w:szCs w:val="24"/>
          <w:lang w:val="en-GB"/>
        </w:rPr>
        <w:t>Science</w:t>
      </w:r>
      <w:r>
        <w:rPr>
          <w:rFonts w:cs="Times New Roman"/>
          <w:szCs w:val="24"/>
          <w:lang w:val="en-GB"/>
        </w:rPr>
        <w:t xml:space="preserve"> </w:t>
      </w:r>
      <w:r w:rsidR="00982B80">
        <w:rPr>
          <w:rFonts w:cs="Times New Roman"/>
          <w:szCs w:val="24"/>
          <w:lang w:val="en-GB"/>
        </w:rPr>
        <w:t xml:space="preserve">and Technological Development </w:t>
      </w:r>
      <w:r>
        <w:rPr>
          <w:rFonts w:cs="Times New Roman"/>
          <w:szCs w:val="24"/>
          <w:lang w:val="en-GB"/>
        </w:rPr>
        <w:t>developed and tested</w:t>
      </w:r>
      <w:r w:rsidRPr="005B5F57">
        <w:rPr>
          <w:rFonts w:cs="Times New Roman"/>
          <w:szCs w:val="24"/>
          <w:lang w:val="en-GB"/>
        </w:rPr>
        <w:t xml:space="preserve"> an efficient model of inclusive education in nine pilot schools in 2009 and 2010. Later on it was </w:t>
      </w:r>
      <w:r>
        <w:rPr>
          <w:rFonts w:cs="Times New Roman"/>
          <w:szCs w:val="24"/>
          <w:lang w:val="en-GB"/>
        </w:rPr>
        <w:t>scaled up</w:t>
      </w:r>
      <w:r w:rsidRPr="005B5F57">
        <w:rPr>
          <w:rFonts w:cs="Times New Roman"/>
          <w:szCs w:val="24"/>
          <w:lang w:val="en-GB"/>
        </w:rPr>
        <w:t xml:space="preserve"> throughout the education system. Particular attention is paid t</w:t>
      </w:r>
      <w:r>
        <w:rPr>
          <w:rFonts w:cs="Times New Roman"/>
          <w:szCs w:val="24"/>
          <w:lang w:val="en-GB"/>
        </w:rPr>
        <w:t>o the issues of Roma inclusion and a s</w:t>
      </w:r>
      <w:r w:rsidRPr="005B5F57">
        <w:rPr>
          <w:rFonts w:cs="Times New Roman"/>
          <w:szCs w:val="24"/>
          <w:lang w:val="en-GB"/>
        </w:rPr>
        <w:t xml:space="preserve">ub-project </w:t>
      </w:r>
      <w:r>
        <w:rPr>
          <w:rFonts w:cs="Times New Roman"/>
          <w:szCs w:val="24"/>
          <w:lang w:val="en-GB"/>
        </w:rPr>
        <w:t xml:space="preserve">entitled </w:t>
      </w:r>
      <w:r w:rsidRPr="005B5F57">
        <w:rPr>
          <w:rFonts w:cs="Times New Roman"/>
          <w:szCs w:val="24"/>
          <w:lang w:val="en-GB"/>
        </w:rPr>
        <w:t xml:space="preserve">“Roma Educational Inclusion” has been designed for this purpose. Within this framework, 56 local self-governments with </w:t>
      </w:r>
      <w:r>
        <w:rPr>
          <w:rFonts w:cs="Times New Roman"/>
          <w:szCs w:val="24"/>
          <w:lang w:val="en-GB"/>
        </w:rPr>
        <w:t xml:space="preserve">a </w:t>
      </w:r>
      <w:r w:rsidRPr="005B5F57">
        <w:rPr>
          <w:rFonts w:cs="Times New Roman"/>
          <w:szCs w:val="24"/>
          <w:lang w:val="en-GB"/>
        </w:rPr>
        <w:t xml:space="preserve">high share of Roma population have received grants </w:t>
      </w:r>
      <w:r>
        <w:rPr>
          <w:rFonts w:cs="Times New Roman"/>
          <w:szCs w:val="24"/>
          <w:lang w:val="en-GB"/>
        </w:rPr>
        <w:t>aiming to</w:t>
      </w:r>
      <w:r w:rsidRPr="005B5F57">
        <w:rPr>
          <w:rFonts w:cs="Times New Roman"/>
          <w:szCs w:val="24"/>
          <w:lang w:val="en-GB"/>
        </w:rPr>
        <w:t xml:space="preserve"> increase quality and accessibility of education for Roma pupils. The average amount of grant was EUR 35,000. Data on activities related to pupils from poor families and rural areas are not available at the moment. </w:t>
      </w:r>
    </w:p>
    <w:p w:rsidR="00444EA0" w:rsidRPr="005B5F57" w:rsidRDefault="00444EA0" w:rsidP="00444EA0">
      <w:pPr>
        <w:rPr>
          <w:rFonts w:cs="Times New Roman"/>
          <w:szCs w:val="24"/>
          <w:lang w:val="en-GB"/>
        </w:rPr>
      </w:pPr>
      <w:r>
        <w:rPr>
          <w:rFonts w:cs="Times New Roman"/>
          <w:szCs w:val="24"/>
          <w:lang w:val="en-GB"/>
        </w:rPr>
        <w:t>On the other hand, the</w:t>
      </w:r>
      <w:r w:rsidRPr="005B5F57">
        <w:rPr>
          <w:rFonts w:cs="Times New Roman"/>
          <w:szCs w:val="24"/>
          <w:lang w:val="en-GB"/>
        </w:rPr>
        <w:t xml:space="preserve"> Ministry of Labour</w:t>
      </w:r>
      <w:r w:rsidR="00982B80">
        <w:rPr>
          <w:rFonts w:cs="Times New Roman"/>
          <w:szCs w:val="24"/>
          <w:lang w:val="en-GB"/>
        </w:rPr>
        <w:t>, Employment</w:t>
      </w:r>
      <w:r w:rsidRPr="005B5F57">
        <w:rPr>
          <w:rFonts w:cs="Times New Roman"/>
          <w:szCs w:val="24"/>
          <w:lang w:val="en-GB"/>
        </w:rPr>
        <w:t xml:space="preserve"> and Social Policy is awarding grants for the organization</w:t>
      </w:r>
      <w:r>
        <w:rPr>
          <w:rFonts w:cs="Times New Roman"/>
          <w:szCs w:val="24"/>
          <w:lang w:val="en-GB"/>
        </w:rPr>
        <w:t>s of persons with disabilities</w:t>
      </w:r>
      <w:r w:rsidRPr="005B5F57">
        <w:rPr>
          <w:rFonts w:cs="Times New Roman"/>
          <w:szCs w:val="24"/>
          <w:lang w:val="en-GB"/>
        </w:rPr>
        <w:t xml:space="preserve">. Two rounds of grants </w:t>
      </w:r>
      <w:r>
        <w:rPr>
          <w:rFonts w:cs="Times New Roman"/>
          <w:szCs w:val="24"/>
          <w:lang w:val="en-GB"/>
        </w:rPr>
        <w:t>have been</w:t>
      </w:r>
      <w:r w:rsidRPr="005B5F57">
        <w:rPr>
          <w:rFonts w:cs="Times New Roman"/>
          <w:szCs w:val="24"/>
          <w:lang w:val="en-GB"/>
        </w:rPr>
        <w:t xml:space="preserve"> implemented. The applicants are non-governmental organiza</w:t>
      </w:r>
      <w:r>
        <w:rPr>
          <w:rFonts w:cs="Times New Roman"/>
          <w:szCs w:val="24"/>
          <w:lang w:val="en-GB"/>
        </w:rPr>
        <w:t>tions dealing with disability issues</w:t>
      </w:r>
      <w:r w:rsidRPr="005B5F57">
        <w:rPr>
          <w:rFonts w:cs="Times New Roman"/>
          <w:szCs w:val="24"/>
          <w:lang w:val="en-GB"/>
        </w:rPr>
        <w:t>. In 2010 a total of 48 projects were approved.</w:t>
      </w:r>
      <w:r w:rsidR="002B06FD">
        <w:rPr>
          <w:rFonts w:cs="Times New Roman"/>
          <w:szCs w:val="24"/>
          <w:lang w:val="en-GB"/>
        </w:rPr>
        <w:t xml:space="preserve"> </w:t>
      </w:r>
      <w:r w:rsidRPr="005B5F57">
        <w:rPr>
          <w:rFonts w:cs="Times New Roman"/>
          <w:szCs w:val="24"/>
          <w:lang w:val="en-GB"/>
        </w:rPr>
        <w:t xml:space="preserve">The overall budget for local projects was EUR 400.000. In 2011 a total of 36 projects were approved. The 2011 call for proposals was conceived to support “service packages” that will in 2012 become part of the regular activities of 34 associations of organizations and 500 local organizations. </w:t>
      </w:r>
    </w:p>
    <w:p w:rsidR="00444EA0" w:rsidRPr="001C5C75" w:rsidRDefault="00444EA0" w:rsidP="001C5C75">
      <w:pPr>
        <w:rPr>
          <w:rFonts w:cs="Times New Roman"/>
          <w:szCs w:val="24"/>
          <w:lang w:val="en-GB"/>
        </w:rPr>
      </w:pPr>
      <w:r w:rsidRPr="001C5C75">
        <w:rPr>
          <w:rStyle w:val="hps"/>
          <w:rFonts w:cs="Times New Roman"/>
          <w:b/>
          <w:szCs w:val="24"/>
          <w:lang w:val="en-GB"/>
        </w:rPr>
        <w:t>The Social Innovation Fund</w:t>
      </w:r>
      <w:r w:rsidRPr="003F2A98">
        <w:rPr>
          <w:rStyle w:val="hps"/>
          <w:rFonts w:cs="Times New Roman"/>
          <w:szCs w:val="24"/>
          <w:lang w:val="en-GB"/>
        </w:rPr>
        <w:t xml:space="preserve"> (SIF) was a program</w:t>
      </w:r>
      <w:r w:rsidRPr="003F2A98">
        <w:rPr>
          <w:rFonts w:cs="Times New Roman"/>
          <w:szCs w:val="24"/>
          <w:lang w:val="en-GB"/>
        </w:rPr>
        <w:t xml:space="preserve"> </w:t>
      </w:r>
      <w:r w:rsidRPr="003F2A98">
        <w:rPr>
          <w:rStyle w:val="hps"/>
          <w:rFonts w:cs="Times New Roman"/>
          <w:szCs w:val="24"/>
          <w:lang w:val="en-GB"/>
        </w:rPr>
        <w:t xml:space="preserve">of the </w:t>
      </w:r>
      <w:r w:rsidR="00982B80">
        <w:rPr>
          <w:rStyle w:val="hps"/>
          <w:rFonts w:cs="Times New Roman"/>
          <w:szCs w:val="24"/>
          <w:lang w:val="en-GB"/>
        </w:rPr>
        <w:t xml:space="preserve">then </w:t>
      </w:r>
      <w:r w:rsidRPr="003F2A98">
        <w:rPr>
          <w:rStyle w:val="hps"/>
          <w:rFonts w:cs="Times New Roman"/>
          <w:szCs w:val="24"/>
          <w:lang w:val="en-GB"/>
        </w:rPr>
        <w:t>Ministry</w:t>
      </w:r>
      <w:r w:rsidRPr="003F2A98">
        <w:rPr>
          <w:rFonts w:cs="Times New Roman"/>
          <w:szCs w:val="24"/>
          <w:lang w:val="en-GB"/>
        </w:rPr>
        <w:t xml:space="preserve"> </w:t>
      </w:r>
      <w:r w:rsidRPr="00A07B29">
        <w:rPr>
          <w:rStyle w:val="hps"/>
          <w:rFonts w:cs="Times New Roman"/>
          <w:szCs w:val="24"/>
          <w:lang w:val="en-GB"/>
        </w:rPr>
        <w:t>of Labour and</w:t>
      </w:r>
      <w:r w:rsidRPr="00A07B29">
        <w:rPr>
          <w:rFonts w:cs="Times New Roman"/>
          <w:szCs w:val="24"/>
          <w:lang w:val="en-GB"/>
        </w:rPr>
        <w:t xml:space="preserve"> </w:t>
      </w:r>
      <w:r w:rsidRPr="00A07B29">
        <w:rPr>
          <w:rStyle w:val="hps"/>
          <w:rFonts w:cs="Times New Roman"/>
          <w:szCs w:val="24"/>
          <w:lang w:val="en-GB"/>
        </w:rPr>
        <w:t>Social Policy, which</w:t>
      </w:r>
      <w:r w:rsidRPr="00A07B29">
        <w:rPr>
          <w:rFonts w:cs="Times New Roman"/>
          <w:szCs w:val="24"/>
          <w:lang w:val="en-GB"/>
        </w:rPr>
        <w:t xml:space="preserve"> was </w:t>
      </w:r>
      <w:r w:rsidRPr="00A07B29">
        <w:rPr>
          <w:rStyle w:val="hps"/>
          <w:rFonts w:cs="Times New Roman"/>
          <w:szCs w:val="24"/>
          <w:lang w:val="en-GB"/>
        </w:rPr>
        <w:t>supported by</w:t>
      </w:r>
      <w:r w:rsidRPr="001C5C75">
        <w:rPr>
          <w:rFonts w:cs="Times New Roman"/>
          <w:szCs w:val="24"/>
          <w:lang w:val="en-GB"/>
        </w:rPr>
        <w:t xml:space="preserve"> the </w:t>
      </w:r>
      <w:r w:rsidRPr="001C5C75">
        <w:rPr>
          <w:rStyle w:val="hps"/>
          <w:rFonts w:cs="Times New Roman"/>
          <w:szCs w:val="24"/>
          <w:lang w:val="en-GB"/>
        </w:rPr>
        <w:t>UNDP</w:t>
      </w:r>
      <w:r w:rsidRPr="001C5C75">
        <w:rPr>
          <w:rFonts w:cs="Times New Roman"/>
          <w:szCs w:val="24"/>
          <w:lang w:val="en-GB"/>
        </w:rPr>
        <w:t xml:space="preserve"> </w:t>
      </w:r>
      <w:r w:rsidRPr="001C5C75">
        <w:rPr>
          <w:rStyle w:val="hps"/>
          <w:rFonts w:cs="Times New Roman"/>
          <w:szCs w:val="24"/>
          <w:lang w:val="en-GB"/>
        </w:rPr>
        <w:t>and the</w:t>
      </w:r>
      <w:r w:rsidRPr="001C5C75">
        <w:rPr>
          <w:rFonts w:cs="Times New Roman"/>
          <w:szCs w:val="24"/>
          <w:lang w:val="en-GB"/>
        </w:rPr>
        <w:t xml:space="preserve"> </w:t>
      </w:r>
      <w:r w:rsidRPr="001C5C75">
        <w:rPr>
          <w:rStyle w:val="hps"/>
          <w:rFonts w:cs="Times New Roman"/>
          <w:szCs w:val="24"/>
          <w:lang w:val="en-GB"/>
        </w:rPr>
        <w:t>EU.</w:t>
      </w:r>
      <w:r w:rsidRPr="001C5C75">
        <w:rPr>
          <w:rFonts w:cs="Times New Roman"/>
          <w:szCs w:val="24"/>
          <w:lang w:val="en-GB"/>
        </w:rPr>
        <w:t xml:space="preserve"> </w:t>
      </w:r>
      <w:r w:rsidRPr="001C5C75">
        <w:rPr>
          <w:rStyle w:val="hps"/>
          <w:rFonts w:cs="Times New Roman"/>
          <w:szCs w:val="24"/>
          <w:lang w:val="en-GB"/>
        </w:rPr>
        <w:t>It was</w:t>
      </w:r>
      <w:r w:rsidRPr="001C5C75">
        <w:rPr>
          <w:rFonts w:cs="Times New Roman"/>
          <w:szCs w:val="24"/>
          <w:lang w:val="en-GB"/>
        </w:rPr>
        <w:t xml:space="preserve"> </w:t>
      </w:r>
      <w:r w:rsidRPr="001C5C75">
        <w:rPr>
          <w:rStyle w:val="hps"/>
          <w:rFonts w:cs="Times New Roman"/>
          <w:szCs w:val="24"/>
          <w:lang w:val="en-GB"/>
        </w:rPr>
        <w:t>established</w:t>
      </w:r>
      <w:r w:rsidRPr="001C5C75">
        <w:rPr>
          <w:rFonts w:cs="Times New Roman"/>
          <w:szCs w:val="24"/>
          <w:lang w:val="en-GB"/>
        </w:rPr>
        <w:t xml:space="preserve"> </w:t>
      </w:r>
      <w:r w:rsidRPr="001C5C75">
        <w:rPr>
          <w:rStyle w:val="hps"/>
          <w:rFonts w:cs="Times New Roman"/>
          <w:szCs w:val="24"/>
          <w:lang w:val="en-GB"/>
        </w:rPr>
        <w:t>to</w:t>
      </w:r>
      <w:r w:rsidRPr="001C5C75">
        <w:rPr>
          <w:rFonts w:cs="Times New Roman"/>
          <w:szCs w:val="24"/>
          <w:lang w:val="en-GB"/>
        </w:rPr>
        <w:t xml:space="preserve">: </w:t>
      </w:r>
    </w:p>
    <w:p w:rsidR="00444EA0" w:rsidRPr="005B5F57" w:rsidRDefault="00444EA0" w:rsidP="00351681">
      <w:pPr>
        <w:pStyle w:val="ListParagraph"/>
        <w:numPr>
          <w:ilvl w:val="0"/>
          <w:numId w:val="8"/>
        </w:numPr>
        <w:rPr>
          <w:rFonts w:cs="Times New Roman"/>
          <w:szCs w:val="24"/>
          <w:lang w:val="en-GB"/>
        </w:rPr>
      </w:pPr>
      <w:r>
        <w:rPr>
          <w:rStyle w:val="hps"/>
          <w:rFonts w:cs="Times New Roman"/>
          <w:szCs w:val="24"/>
          <w:lang w:val="en-GB"/>
        </w:rPr>
        <w:t>S</w:t>
      </w:r>
      <w:r w:rsidRPr="005B5F57">
        <w:rPr>
          <w:rStyle w:val="hps"/>
          <w:rFonts w:cs="Times New Roman"/>
          <w:szCs w:val="24"/>
          <w:lang w:val="en-GB"/>
        </w:rPr>
        <w:t>upport the development</w:t>
      </w:r>
      <w:r w:rsidRPr="005B5F57">
        <w:rPr>
          <w:rFonts w:cs="Times New Roman"/>
          <w:szCs w:val="24"/>
          <w:lang w:val="en-GB"/>
        </w:rPr>
        <w:t xml:space="preserve"> </w:t>
      </w:r>
      <w:r w:rsidRPr="005B5F57">
        <w:rPr>
          <w:rStyle w:val="hps"/>
          <w:rFonts w:cs="Times New Roman"/>
          <w:szCs w:val="24"/>
          <w:lang w:val="en-GB"/>
        </w:rPr>
        <w:t>of innovative</w:t>
      </w:r>
      <w:r w:rsidRPr="005B5F57">
        <w:rPr>
          <w:rFonts w:cs="Times New Roman"/>
          <w:szCs w:val="24"/>
          <w:lang w:val="en-GB"/>
        </w:rPr>
        <w:t xml:space="preserve"> </w:t>
      </w:r>
      <w:r w:rsidRPr="005B5F57">
        <w:rPr>
          <w:rStyle w:val="hps"/>
          <w:rFonts w:cs="Times New Roman"/>
          <w:szCs w:val="24"/>
          <w:lang w:val="en-GB"/>
        </w:rPr>
        <w:t>services</w:t>
      </w:r>
      <w:r>
        <w:rPr>
          <w:rFonts w:cs="Times New Roman"/>
          <w:szCs w:val="24"/>
          <w:lang w:val="en-GB"/>
        </w:rPr>
        <w:t>,</w:t>
      </w:r>
    </w:p>
    <w:p w:rsidR="00444EA0" w:rsidRPr="005B5F57" w:rsidRDefault="00444EA0" w:rsidP="00351681">
      <w:pPr>
        <w:pStyle w:val="ListParagraph"/>
        <w:numPr>
          <w:ilvl w:val="0"/>
          <w:numId w:val="8"/>
        </w:numPr>
        <w:rPr>
          <w:rFonts w:cs="Times New Roman"/>
          <w:szCs w:val="24"/>
          <w:lang w:val="en-GB"/>
        </w:rPr>
      </w:pPr>
      <w:r>
        <w:rPr>
          <w:rStyle w:val="hps"/>
          <w:rFonts w:cs="Times New Roman"/>
          <w:szCs w:val="24"/>
          <w:lang w:val="en-GB"/>
        </w:rPr>
        <w:t>S</w:t>
      </w:r>
      <w:r w:rsidRPr="005B5F57">
        <w:rPr>
          <w:rStyle w:val="hps"/>
          <w:rFonts w:cs="Times New Roman"/>
          <w:szCs w:val="24"/>
          <w:lang w:val="en-GB"/>
        </w:rPr>
        <w:t>upport the</w:t>
      </w:r>
      <w:r w:rsidRPr="005B5F57">
        <w:rPr>
          <w:rFonts w:cs="Times New Roman"/>
          <w:szCs w:val="24"/>
          <w:lang w:val="en-GB"/>
        </w:rPr>
        <w:t xml:space="preserve"> </w:t>
      </w:r>
      <w:r w:rsidRPr="005B5F57">
        <w:rPr>
          <w:rStyle w:val="hps"/>
          <w:rFonts w:cs="Times New Roman"/>
          <w:szCs w:val="24"/>
          <w:lang w:val="en-GB"/>
        </w:rPr>
        <w:t>development and integration</w:t>
      </w:r>
      <w:r w:rsidRPr="005B5F57">
        <w:rPr>
          <w:rFonts w:cs="Times New Roman"/>
          <w:szCs w:val="24"/>
          <w:lang w:val="en-GB"/>
        </w:rPr>
        <w:t xml:space="preserve"> of best practices</w:t>
      </w:r>
      <w:r>
        <w:rPr>
          <w:rFonts w:cs="Times New Roman"/>
          <w:szCs w:val="24"/>
          <w:lang w:val="en-GB"/>
        </w:rPr>
        <w:t xml:space="preserve"> in the social protection system,</w:t>
      </w:r>
    </w:p>
    <w:p w:rsidR="00444EA0" w:rsidRPr="005B5F57" w:rsidRDefault="00444EA0" w:rsidP="00351681">
      <w:pPr>
        <w:pStyle w:val="ListParagraph"/>
        <w:numPr>
          <w:ilvl w:val="0"/>
          <w:numId w:val="8"/>
        </w:numPr>
        <w:rPr>
          <w:rStyle w:val="hps"/>
          <w:rFonts w:cs="Times New Roman"/>
          <w:szCs w:val="24"/>
          <w:lang w:val="en-GB"/>
        </w:rPr>
      </w:pPr>
      <w:r>
        <w:rPr>
          <w:rStyle w:val="hps"/>
          <w:rFonts w:cs="Times New Roman"/>
          <w:szCs w:val="24"/>
          <w:lang w:val="en-GB"/>
        </w:rPr>
        <w:t>S</w:t>
      </w:r>
      <w:r w:rsidRPr="005B5F57">
        <w:rPr>
          <w:rStyle w:val="hps"/>
          <w:rFonts w:cs="Times New Roman"/>
          <w:szCs w:val="24"/>
          <w:lang w:val="en-GB"/>
        </w:rPr>
        <w:t>upport the development</w:t>
      </w:r>
      <w:r w:rsidRPr="005B5F57">
        <w:rPr>
          <w:rFonts w:cs="Times New Roman"/>
          <w:szCs w:val="24"/>
          <w:lang w:val="en-GB"/>
        </w:rPr>
        <w:t xml:space="preserve"> </w:t>
      </w:r>
      <w:r w:rsidRPr="005B5F57">
        <w:rPr>
          <w:rStyle w:val="hps"/>
          <w:rFonts w:cs="Times New Roman"/>
          <w:szCs w:val="24"/>
          <w:lang w:val="en-GB"/>
        </w:rPr>
        <w:t>of services</w:t>
      </w:r>
      <w:r w:rsidRPr="005B5F57">
        <w:rPr>
          <w:rFonts w:cs="Times New Roman"/>
          <w:szCs w:val="24"/>
          <w:lang w:val="en-GB"/>
        </w:rPr>
        <w:t xml:space="preserve"> </w:t>
      </w:r>
      <w:r w:rsidRPr="005B5F57">
        <w:rPr>
          <w:rStyle w:val="hps"/>
          <w:rFonts w:cs="Times New Roman"/>
          <w:szCs w:val="24"/>
          <w:lang w:val="en-GB"/>
        </w:rPr>
        <w:t>where they</w:t>
      </w:r>
      <w:r w:rsidRPr="005B5F57">
        <w:rPr>
          <w:rFonts w:cs="Times New Roman"/>
          <w:szCs w:val="24"/>
          <w:lang w:val="en-GB"/>
        </w:rPr>
        <w:t xml:space="preserve"> do not </w:t>
      </w:r>
      <w:r w:rsidRPr="005B5F57">
        <w:rPr>
          <w:rStyle w:val="hps"/>
          <w:rFonts w:cs="Times New Roman"/>
          <w:szCs w:val="24"/>
          <w:lang w:val="en-GB"/>
        </w:rPr>
        <w:t>exist</w:t>
      </w:r>
      <w:r>
        <w:rPr>
          <w:rStyle w:val="hps"/>
          <w:rFonts w:cs="Times New Roman"/>
          <w:szCs w:val="24"/>
          <w:lang w:val="en-GB"/>
        </w:rPr>
        <w:t>,</w:t>
      </w:r>
    </w:p>
    <w:p w:rsidR="00444EA0" w:rsidRPr="005B5F57" w:rsidRDefault="00444EA0" w:rsidP="00351681">
      <w:pPr>
        <w:pStyle w:val="ListParagraph"/>
        <w:numPr>
          <w:ilvl w:val="0"/>
          <w:numId w:val="8"/>
        </w:numPr>
        <w:rPr>
          <w:rStyle w:val="hps"/>
          <w:rFonts w:cs="Times New Roman"/>
          <w:szCs w:val="24"/>
          <w:lang w:val="en-GB"/>
        </w:rPr>
      </w:pPr>
      <w:r>
        <w:rPr>
          <w:rStyle w:val="hps"/>
          <w:rFonts w:cs="Times New Roman"/>
          <w:szCs w:val="24"/>
          <w:lang w:val="en-GB"/>
        </w:rPr>
        <w:t>D</w:t>
      </w:r>
      <w:r w:rsidRPr="005B5F57">
        <w:rPr>
          <w:rStyle w:val="hps"/>
          <w:rFonts w:cs="Times New Roman"/>
          <w:szCs w:val="24"/>
          <w:lang w:val="en-GB"/>
        </w:rPr>
        <w:t>evelop</w:t>
      </w:r>
      <w:r w:rsidRPr="005B5F57">
        <w:rPr>
          <w:rFonts w:cs="Times New Roman"/>
          <w:szCs w:val="24"/>
          <w:lang w:val="en-GB"/>
        </w:rPr>
        <w:t xml:space="preserve"> </w:t>
      </w:r>
      <w:r w:rsidRPr="005B5F57">
        <w:rPr>
          <w:rStyle w:val="hps"/>
          <w:rFonts w:cs="Times New Roman"/>
          <w:szCs w:val="24"/>
          <w:lang w:val="en-GB"/>
        </w:rPr>
        <w:t>the capacity</w:t>
      </w:r>
      <w:r w:rsidRPr="005B5F57">
        <w:rPr>
          <w:rFonts w:cs="Times New Roman"/>
          <w:szCs w:val="24"/>
          <w:lang w:val="en-GB"/>
        </w:rPr>
        <w:t xml:space="preserve"> </w:t>
      </w:r>
      <w:r w:rsidRPr="005B5F57">
        <w:rPr>
          <w:rStyle w:val="hps"/>
          <w:rFonts w:cs="Times New Roman"/>
          <w:szCs w:val="24"/>
          <w:lang w:val="en-GB"/>
        </w:rPr>
        <w:t>of service providers</w:t>
      </w:r>
      <w:r w:rsidRPr="005B5F57">
        <w:rPr>
          <w:rFonts w:cs="Times New Roman"/>
          <w:szCs w:val="24"/>
          <w:lang w:val="en-GB"/>
        </w:rPr>
        <w:t xml:space="preserve"> </w:t>
      </w:r>
      <w:r w:rsidRPr="005B5F57">
        <w:rPr>
          <w:rStyle w:val="hps"/>
          <w:rFonts w:cs="Times New Roman"/>
          <w:szCs w:val="24"/>
          <w:lang w:val="en-GB"/>
        </w:rPr>
        <w:t xml:space="preserve">and </w:t>
      </w:r>
    </w:p>
    <w:p w:rsidR="00444EA0" w:rsidRPr="005B5F57" w:rsidRDefault="00444EA0" w:rsidP="00351681">
      <w:pPr>
        <w:pStyle w:val="ListParagraph"/>
        <w:numPr>
          <w:ilvl w:val="0"/>
          <w:numId w:val="8"/>
        </w:numPr>
        <w:rPr>
          <w:rFonts w:cs="Times New Roman"/>
          <w:szCs w:val="24"/>
          <w:lang w:val="en-GB"/>
        </w:rPr>
      </w:pPr>
      <w:r>
        <w:rPr>
          <w:rStyle w:val="hps"/>
          <w:rFonts w:cs="Times New Roman"/>
          <w:szCs w:val="24"/>
          <w:lang w:val="en-GB"/>
        </w:rPr>
        <w:t>E</w:t>
      </w:r>
      <w:r w:rsidRPr="005B5F57">
        <w:rPr>
          <w:rStyle w:val="hps"/>
          <w:rFonts w:cs="Times New Roman"/>
          <w:szCs w:val="24"/>
          <w:lang w:val="en-GB"/>
        </w:rPr>
        <w:t>nable</w:t>
      </w:r>
      <w:r w:rsidRPr="005B5F57">
        <w:rPr>
          <w:rFonts w:cs="Times New Roman"/>
          <w:szCs w:val="24"/>
          <w:lang w:val="en-GB"/>
        </w:rPr>
        <w:t xml:space="preserve"> </w:t>
      </w:r>
      <w:r w:rsidRPr="005B5F57">
        <w:rPr>
          <w:rStyle w:val="hps"/>
          <w:rFonts w:cs="Times New Roman"/>
          <w:szCs w:val="24"/>
          <w:lang w:val="en-GB"/>
        </w:rPr>
        <w:t>the introduction</w:t>
      </w:r>
      <w:r w:rsidRPr="005B5F57">
        <w:rPr>
          <w:rFonts w:cs="Times New Roman"/>
          <w:szCs w:val="24"/>
          <w:lang w:val="en-GB"/>
        </w:rPr>
        <w:t xml:space="preserve"> </w:t>
      </w:r>
      <w:r w:rsidRPr="005B5F57">
        <w:rPr>
          <w:rStyle w:val="hps"/>
          <w:rFonts w:cs="Times New Roman"/>
          <w:szCs w:val="24"/>
          <w:lang w:val="en-GB"/>
        </w:rPr>
        <w:t>of new actors</w:t>
      </w:r>
      <w:r w:rsidRPr="005B5F57">
        <w:rPr>
          <w:rFonts w:cs="Times New Roman"/>
          <w:szCs w:val="24"/>
          <w:lang w:val="en-GB"/>
        </w:rPr>
        <w:t xml:space="preserve"> </w:t>
      </w:r>
      <w:r w:rsidRPr="005B5F57">
        <w:rPr>
          <w:rStyle w:val="hps"/>
          <w:rFonts w:cs="Times New Roman"/>
          <w:szCs w:val="24"/>
          <w:lang w:val="en-GB"/>
        </w:rPr>
        <w:t>in the</w:t>
      </w:r>
      <w:r w:rsidRPr="005B5F57">
        <w:rPr>
          <w:rFonts w:cs="Times New Roman"/>
          <w:szCs w:val="24"/>
          <w:lang w:val="en-GB"/>
        </w:rPr>
        <w:t xml:space="preserve"> </w:t>
      </w:r>
      <w:r w:rsidRPr="005B5F57">
        <w:rPr>
          <w:rStyle w:val="hps"/>
          <w:rFonts w:cs="Times New Roman"/>
          <w:szCs w:val="24"/>
          <w:lang w:val="en-GB"/>
        </w:rPr>
        <w:t>system</w:t>
      </w:r>
      <w:r w:rsidRPr="005B5F57">
        <w:rPr>
          <w:rFonts w:cs="Times New Roman"/>
          <w:szCs w:val="24"/>
          <w:lang w:val="en-GB"/>
        </w:rPr>
        <w:t xml:space="preserve"> </w:t>
      </w:r>
      <w:r w:rsidRPr="005B5F57">
        <w:rPr>
          <w:rStyle w:val="hps"/>
          <w:rFonts w:cs="Times New Roman"/>
          <w:szCs w:val="24"/>
          <w:lang w:val="en-GB"/>
        </w:rPr>
        <w:t>(</w:t>
      </w:r>
      <w:r w:rsidRPr="005B5F57">
        <w:rPr>
          <w:rFonts w:cs="Times New Roman"/>
          <w:szCs w:val="24"/>
          <w:lang w:val="en-GB"/>
        </w:rPr>
        <w:t xml:space="preserve">profit </w:t>
      </w:r>
      <w:r w:rsidRPr="005B5F57">
        <w:rPr>
          <w:rStyle w:val="hps"/>
          <w:rFonts w:cs="Times New Roman"/>
          <w:szCs w:val="24"/>
          <w:lang w:val="en-GB"/>
        </w:rPr>
        <w:t>and</w:t>
      </w:r>
      <w:r w:rsidRPr="005B5F57">
        <w:rPr>
          <w:rFonts w:cs="Times New Roman"/>
          <w:szCs w:val="24"/>
          <w:lang w:val="en-GB"/>
        </w:rPr>
        <w:t xml:space="preserve"> </w:t>
      </w:r>
      <w:r w:rsidRPr="005B5F57">
        <w:rPr>
          <w:rStyle w:val="hps"/>
          <w:rFonts w:cs="Times New Roman"/>
          <w:szCs w:val="24"/>
          <w:lang w:val="en-GB"/>
        </w:rPr>
        <w:t>non-profit sector</w:t>
      </w:r>
      <w:r w:rsidRPr="005B5F57">
        <w:rPr>
          <w:rFonts w:cs="Times New Roman"/>
          <w:szCs w:val="24"/>
          <w:lang w:val="en-GB"/>
        </w:rPr>
        <w:t>)</w:t>
      </w:r>
      <w:r>
        <w:rPr>
          <w:rFonts w:cs="Times New Roman"/>
          <w:szCs w:val="24"/>
          <w:lang w:val="en-GB"/>
        </w:rPr>
        <w:t>.</w:t>
      </w:r>
    </w:p>
    <w:p w:rsidR="00444EA0" w:rsidRPr="005B5F57" w:rsidRDefault="00444EA0" w:rsidP="00444EA0">
      <w:pPr>
        <w:rPr>
          <w:rFonts w:cs="Times New Roman"/>
          <w:szCs w:val="24"/>
          <w:lang w:val="en-GB"/>
        </w:rPr>
      </w:pPr>
      <w:r w:rsidRPr="005B5F57">
        <w:rPr>
          <w:rStyle w:val="hps"/>
          <w:rFonts w:cs="Times New Roman"/>
          <w:szCs w:val="24"/>
          <w:lang w:val="en-GB"/>
        </w:rPr>
        <w:t>The Fund</w:t>
      </w:r>
      <w:r w:rsidRPr="005B5F57">
        <w:rPr>
          <w:rFonts w:cs="Times New Roman"/>
          <w:szCs w:val="24"/>
          <w:lang w:val="en-GB"/>
        </w:rPr>
        <w:t xml:space="preserve"> </w:t>
      </w:r>
      <w:r w:rsidRPr="005B5F57">
        <w:rPr>
          <w:rStyle w:val="hps"/>
          <w:rFonts w:cs="Times New Roman"/>
          <w:szCs w:val="24"/>
          <w:lang w:val="en-GB"/>
        </w:rPr>
        <w:t>organised</w:t>
      </w:r>
      <w:r w:rsidRPr="005B5F57">
        <w:rPr>
          <w:rFonts w:cs="Times New Roman"/>
          <w:szCs w:val="24"/>
          <w:lang w:val="en-GB"/>
        </w:rPr>
        <w:t xml:space="preserve"> </w:t>
      </w:r>
      <w:r w:rsidRPr="005B5F57">
        <w:rPr>
          <w:rStyle w:val="hps"/>
          <w:rFonts w:cs="Times New Roman"/>
          <w:szCs w:val="24"/>
          <w:lang w:val="en-GB"/>
        </w:rPr>
        <w:t>public calls for proposals.</w:t>
      </w:r>
      <w:r w:rsidRPr="005B5F57">
        <w:rPr>
          <w:rFonts w:cs="Times New Roman"/>
          <w:szCs w:val="24"/>
          <w:lang w:val="en-GB"/>
        </w:rPr>
        <w:t xml:space="preserve"> </w:t>
      </w:r>
      <w:r w:rsidRPr="005B5F57">
        <w:rPr>
          <w:rStyle w:val="hps"/>
          <w:rFonts w:cs="Times New Roman"/>
          <w:szCs w:val="24"/>
          <w:lang w:val="en-GB"/>
        </w:rPr>
        <w:t>The projects</w:t>
      </w:r>
      <w:r w:rsidRPr="005B5F57">
        <w:rPr>
          <w:rFonts w:cs="Times New Roman"/>
          <w:szCs w:val="24"/>
          <w:lang w:val="en-GB"/>
        </w:rPr>
        <w:t xml:space="preserve"> </w:t>
      </w:r>
      <w:r w:rsidRPr="005B5F57">
        <w:rPr>
          <w:rStyle w:val="hps"/>
          <w:rFonts w:cs="Times New Roman"/>
          <w:szCs w:val="24"/>
          <w:lang w:val="en-GB"/>
        </w:rPr>
        <w:t>were applied by NGOs</w:t>
      </w:r>
      <w:r w:rsidRPr="005B5F57">
        <w:rPr>
          <w:rFonts w:cs="Times New Roman"/>
          <w:szCs w:val="24"/>
          <w:lang w:val="en-GB"/>
        </w:rPr>
        <w:t xml:space="preserve"> </w:t>
      </w:r>
      <w:r w:rsidRPr="005B5F57">
        <w:rPr>
          <w:rStyle w:val="hps"/>
          <w:rFonts w:cs="Times New Roman"/>
          <w:szCs w:val="24"/>
          <w:lang w:val="en-GB"/>
        </w:rPr>
        <w:t>in partnership</w:t>
      </w:r>
      <w:r w:rsidRPr="005B5F57">
        <w:rPr>
          <w:rFonts w:cs="Times New Roman"/>
          <w:szCs w:val="24"/>
          <w:lang w:val="en-GB"/>
        </w:rPr>
        <w:t xml:space="preserve"> </w:t>
      </w:r>
      <w:r>
        <w:rPr>
          <w:rStyle w:val="hps"/>
          <w:rFonts w:cs="Times New Roman"/>
          <w:szCs w:val="24"/>
          <w:lang w:val="en-GB"/>
        </w:rPr>
        <w:t>with</w:t>
      </w:r>
      <w:r w:rsidRPr="005B5F57">
        <w:rPr>
          <w:rFonts w:cs="Times New Roman"/>
          <w:szCs w:val="24"/>
          <w:lang w:val="en-GB"/>
        </w:rPr>
        <w:t xml:space="preserve"> </w:t>
      </w:r>
      <w:r w:rsidRPr="005B5F57">
        <w:rPr>
          <w:rStyle w:val="hps"/>
          <w:rFonts w:cs="Times New Roman"/>
          <w:szCs w:val="24"/>
          <w:lang w:val="en-GB"/>
        </w:rPr>
        <w:t>public institutions</w:t>
      </w:r>
      <w:r w:rsidRPr="005B5F57">
        <w:rPr>
          <w:rFonts w:cs="Times New Roman"/>
          <w:szCs w:val="24"/>
          <w:lang w:val="en-GB"/>
        </w:rPr>
        <w:t xml:space="preserve"> </w:t>
      </w:r>
      <w:r w:rsidRPr="005B5F57">
        <w:rPr>
          <w:rStyle w:val="hps"/>
          <w:rFonts w:cs="Times New Roman"/>
          <w:szCs w:val="24"/>
          <w:lang w:val="en-GB"/>
        </w:rPr>
        <w:t>and</w:t>
      </w:r>
      <w:r w:rsidRPr="005B5F57">
        <w:rPr>
          <w:rFonts w:cs="Times New Roman"/>
          <w:szCs w:val="24"/>
          <w:lang w:val="en-GB"/>
        </w:rPr>
        <w:t xml:space="preserve"> </w:t>
      </w:r>
      <w:r w:rsidRPr="005B5F57">
        <w:rPr>
          <w:rStyle w:val="hps"/>
          <w:rFonts w:cs="Times New Roman"/>
          <w:szCs w:val="24"/>
          <w:lang w:val="en-GB"/>
        </w:rPr>
        <w:t>they had to</w:t>
      </w:r>
      <w:r w:rsidRPr="005B5F57">
        <w:rPr>
          <w:rFonts w:cs="Times New Roman"/>
          <w:szCs w:val="24"/>
          <w:lang w:val="en-GB"/>
        </w:rPr>
        <w:t xml:space="preserve"> </w:t>
      </w:r>
      <w:r w:rsidRPr="005B5F57">
        <w:rPr>
          <w:rStyle w:val="hps"/>
          <w:rFonts w:cs="Times New Roman"/>
          <w:szCs w:val="24"/>
          <w:lang w:val="en-GB"/>
        </w:rPr>
        <w:t>respond to</w:t>
      </w:r>
      <w:r w:rsidRPr="005B5F57">
        <w:rPr>
          <w:rFonts w:cs="Times New Roman"/>
          <w:szCs w:val="24"/>
          <w:lang w:val="en-GB"/>
        </w:rPr>
        <w:t xml:space="preserve"> </w:t>
      </w:r>
      <w:r w:rsidRPr="005B5F57">
        <w:rPr>
          <w:rStyle w:val="hps"/>
          <w:rFonts w:cs="Times New Roman"/>
          <w:szCs w:val="24"/>
          <w:lang w:val="en-GB"/>
        </w:rPr>
        <w:t>local</w:t>
      </w:r>
      <w:r w:rsidRPr="005B5F57">
        <w:rPr>
          <w:rFonts w:cs="Times New Roman"/>
          <w:szCs w:val="24"/>
          <w:lang w:val="en-GB"/>
        </w:rPr>
        <w:t xml:space="preserve"> </w:t>
      </w:r>
      <w:r w:rsidRPr="005B5F57">
        <w:rPr>
          <w:rStyle w:val="hps"/>
          <w:rFonts w:cs="Times New Roman"/>
          <w:szCs w:val="24"/>
          <w:lang w:val="en-GB"/>
        </w:rPr>
        <w:t>priorities</w:t>
      </w:r>
      <w:r w:rsidRPr="005B5F57">
        <w:rPr>
          <w:rFonts w:cs="Times New Roman"/>
          <w:szCs w:val="24"/>
          <w:lang w:val="en-GB"/>
        </w:rPr>
        <w:t xml:space="preserve"> </w:t>
      </w:r>
      <w:r w:rsidRPr="005B5F57">
        <w:rPr>
          <w:rStyle w:val="hps"/>
          <w:rFonts w:cs="Times New Roman"/>
          <w:szCs w:val="24"/>
          <w:lang w:val="en-GB"/>
        </w:rPr>
        <w:t>(</w:t>
      </w:r>
      <w:r w:rsidRPr="005B5F57">
        <w:rPr>
          <w:rFonts w:cs="Times New Roman"/>
          <w:szCs w:val="24"/>
          <w:lang w:val="en-GB"/>
        </w:rPr>
        <w:t xml:space="preserve">in later </w:t>
      </w:r>
      <w:r w:rsidRPr="005B5F57">
        <w:rPr>
          <w:rStyle w:val="hps"/>
          <w:rFonts w:cs="Times New Roman"/>
          <w:szCs w:val="24"/>
          <w:lang w:val="en-GB"/>
        </w:rPr>
        <w:t>stages, the</w:t>
      </w:r>
      <w:r w:rsidRPr="005B5F57">
        <w:rPr>
          <w:rFonts w:cs="Times New Roman"/>
          <w:szCs w:val="24"/>
          <w:lang w:val="en-GB"/>
        </w:rPr>
        <w:t xml:space="preserve"> </w:t>
      </w:r>
      <w:r w:rsidRPr="005B5F57">
        <w:rPr>
          <w:rStyle w:val="hps"/>
          <w:rFonts w:cs="Times New Roman"/>
          <w:szCs w:val="24"/>
          <w:lang w:val="en-GB"/>
        </w:rPr>
        <w:t>funded projects reflect</w:t>
      </w:r>
      <w:r>
        <w:rPr>
          <w:rStyle w:val="hps"/>
          <w:rFonts w:cs="Times New Roman"/>
          <w:szCs w:val="24"/>
          <w:lang w:val="en-GB"/>
        </w:rPr>
        <w:t>ed</w:t>
      </w:r>
      <w:r w:rsidRPr="005B5F57">
        <w:rPr>
          <w:rStyle w:val="hps"/>
          <w:rFonts w:cs="Times New Roman"/>
          <w:szCs w:val="24"/>
          <w:lang w:val="en-GB"/>
        </w:rPr>
        <w:t xml:space="preserve"> priorities</w:t>
      </w:r>
      <w:r w:rsidRPr="005B5F57">
        <w:rPr>
          <w:rFonts w:cs="Times New Roman"/>
          <w:szCs w:val="24"/>
          <w:lang w:val="en-GB"/>
        </w:rPr>
        <w:t xml:space="preserve"> </w:t>
      </w:r>
      <w:r w:rsidRPr="005B5F57">
        <w:rPr>
          <w:rStyle w:val="hps"/>
          <w:rFonts w:cs="Times New Roman"/>
          <w:szCs w:val="24"/>
          <w:lang w:val="en-GB"/>
        </w:rPr>
        <w:t>of local strategies for</w:t>
      </w:r>
      <w:r w:rsidRPr="005B5F57">
        <w:rPr>
          <w:rFonts w:cs="Times New Roman"/>
          <w:szCs w:val="24"/>
          <w:lang w:val="en-GB"/>
        </w:rPr>
        <w:t xml:space="preserve"> </w:t>
      </w:r>
      <w:r w:rsidRPr="005B5F57">
        <w:rPr>
          <w:rStyle w:val="hps"/>
          <w:rFonts w:cs="Times New Roman"/>
          <w:szCs w:val="24"/>
          <w:lang w:val="en-GB"/>
        </w:rPr>
        <w:t>social protection</w:t>
      </w:r>
      <w:r w:rsidRPr="005B5F57">
        <w:rPr>
          <w:rFonts w:cs="Times New Roman"/>
          <w:szCs w:val="24"/>
          <w:lang w:val="en-GB"/>
        </w:rPr>
        <w:t>).</w:t>
      </w:r>
    </w:p>
    <w:p w:rsidR="00444EA0" w:rsidRPr="005B5F57" w:rsidRDefault="00444EA0" w:rsidP="00444EA0">
      <w:pPr>
        <w:rPr>
          <w:rFonts w:cs="Times New Roman"/>
          <w:szCs w:val="24"/>
          <w:lang w:val="en-GB"/>
        </w:rPr>
      </w:pPr>
      <w:r w:rsidRPr="005B5F57">
        <w:rPr>
          <w:rStyle w:val="hps"/>
          <w:rFonts w:cs="Times New Roman"/>
          <w:szCs w:val="24"/>
          <w:lang w:val="en-GB"/>
        </w:rPr>
        <w:t xml:space="preserve">The issue of </w:t>
      </w:r>
      <w:r>
        <w:rPr>
          <w:rStyle w:val="hps"/>
          <w:rFonts w:cs="Times New Roman"/>
          <w:szCs w:val="24"/>
          <w:lang w:val="en-GB"/>
        </w:rPr>
        <w:t xml:space="preserve">the </w:t>
      </w:r>
      <w:r w:rsidRPr="005B5F57">
        <w:rPr>
          <w:rStyle w:val="hps"/>
          <w:rFonts w:cs="Times New Roman"/>
          <w:szCs w:val="24"/>
          <w:lang w:val="en-GB"/>
        </w:rPr>
        <w:t>legal</w:t>
      </w:r>
      <w:r w:rsidRPr="005B5F57">
        <w:rPr>
          <w:rFonts w:cs="Times New Roman"/>
          <w:szCs w:val="24"/>
          <w:lang w:val="en-GB"/>
        </w:rPr>
        <w:t xml:space="preserve"> </w:t>
      </w:r>
      <w:r w:rsidRPr="005B5F57">
        <w:rPr>
          <w:rStyle w:val="hps"/>
          <w:rFonts w:cs="Times New Roman"/>
          <w:szCs w:val="24"/>
          <w:lang w:val="en-GB"/>
        </w:rPr>
        <w:t>status of</w:t>
      </w:r>
      <w:r w:rsidRPr="005B5F57">
        <w:rPr>
          <w:rFonts w:cs="Times New Roman"/>
          <w:szCs w:val="24"/>
          <w:lang w:val="en-GB"/>
        </w:rPr>
        <w:t xml:space="preserve"> </w:t>
      </w:r>
      <w:r w:rsidRPr="005B5F57">
        <w:rPr>
          <w:rStyle w:val="hps"/>
          <w:rFonts w:cs="Times New Roman"/>
          <w:szCs w:val="24"/>
          <w:lang w:val="en-GB"/>
        </w:rPr>
        <w:t>the Social Innovation Fund</w:t>
      </w:r>
      <w:r w:rsidRPr="005B5F57">
        <w:rPr>
          <w:rFonts w:cs="Times New Roman"/>
          <w:szCs w:val="24"/>
          <w:lang w:val="en-GB"/>
        </w:rPr>
        <w:t xml:space="preserve"> </w:t>
      </w:r>
      <w:r w:rsidRPr="005B5F57">
        <w:rPr>
          <w:rStyle w:val="hps"/>
          <w:rFonts w:cs="Times New Roman"/>
          <w:szCs w:val="24"/>
          <w:lang w:val="en-GB"/>
        </w:rPr>
        <w:t>was never</w:t>
      </w:r>
      <w:r w:rsidRPr="005B5F57">
        <w:rPr>
          <w:rFonts w:cs="Times New Roman"/>
          <w:szCs w:val="24"/>
          <w:lang w:val="en-GB"/>
        </w:rPr>
        <w:t xml:space="preserve"> </w:t>
      </w:r>
      <w:r>
        <w:rPr>
          <w:rFonts w:cs="Times New Roman"/>
          <w:szCs w:val="24"/>
          <w:lang w:val="en-GB"/>
        </w:rPr>
        <w:t>re</w:t>
      </w:r>
      <w:r w:rsidRPr="005B5F57">
        <w:rPr>
          <w:rStyle w:val="hps"/>
          <w:rFonts w:cs="Times New Roman"/>
          <w:szCs w:val="24"/>
          <w:lang w:val="en-GB"/>
        </w:rPr>
        <w:t>solved</w:t>
      </w:r>
      <w:r w:rsidRPr="005B5F57">
        <w:rPr>
          <w:rFonts w:cs="Times New Roman"/>
          <w:szCs w:val="24"/>
          <w:lang w:val="en-GB"/>
        </w:rPr>
        <w:t xml:space="preserve">, although </w:t>
      </w:r>
      <w:r w:rsidRPr="005B5F57">
        <w:rPr>
          <w:rStyle w:val="hps"/>
          <w:rFonts w:cs="Times New Roman"/>
          <w:szCs w:val="24"/>
          <w:lang w:val="en-GB"/>
        </w:rPr>
        <w:t>on several occasions</w:t>
      </w:r>
      <w:r w:rsidRPr="005B5F57">
        <w:rPr>
          <w:rFonts w:cs="Times New Roman"/>
          <w:szCs w:val="24"/>
          <w:lang w:val="en-GB"/>
        </w:rPr>
        <w:t xml:space="preserve"> </w:t>
      </w:r>
      <w:r w:rsidRPr="005B5F57">
        <w:rPr>
          <w:rStyle w:val="hps"/>
          <w:rFonts w:cs="Times New Roman"/>
          <w:szCs w:val="24"/>
          <w:lang w:val="en-GB"/>
        </w:rPr>
        <w:t>attempts were made to</w:t>
      </w:r>
      <w:r w:rsidRPr="005B5F57">
        <w:rPr>
          <w:rFonts w:cs="Times New Roman"/>
          <w:szCs w:val="24"/>
          <w:lang w:val="en-GB"/>
        </w:rPr>
        <w:t xml:space="preserve"> </w:t>
      </w:r>
      <w:r w:rsidRPr="005B5F57">
        <w:rPr>
          <w:rStyle w:val="hps"/>
          <w:rFonts w:cs="Times New Roman"/>
          <w:szCs w:val="24"/>
          <w:lang w:val="en-GB"/>
        </w:rPr>
        <w:t>define</w:t>
      </w:r>
      <w:r w:rsidRPr="005B5F57">
        <w:rPr>
          <w:rFonts w:cs="Times New Roman"/>
          <w:szCs w:val="24"/>
          <w:lang w:val="en-GB"/>
        </w:rPr>
        <w:t xml:space="preserve"> </w:t>
      </w:r>
      <w:r w:rsidRPr="005B5F57">
        <w:rPr>
          <w:rStyle w:val="hps"/>
          <w:rFonts w:cs="Times New Roman"/>
          <w:szCs w:val="24"/>
          <w:lang w:val="en-GB"/>
        </w:rPr>
        <w:t xml:space="preserve">it and make </w:t>
      </w:r>
      <w:r>
        <w:rPr>
          <w:rStyle w:val="hps"/>
          <w:rFonts w:cs="Times New Roman"/>
          <w:szCs w:val="24"/>
          <w:lang w:val="en-GB"/>
        </w:rPr>
        <w:t xml:space="preserve">an </w:t>
      </w:r>
      <w:r w:rsidRPr="005B5F57">
        <w:rPr>
          <w:rStyle w:val="hps"/>
          <w:rFonts w:cs="Times New Roman"/>
          <w:szCs w:val="24"/>
          <w:lang w:val="en-GB"/>
        </w:rPr>
        <w:t xml:space="preserve">agreement </w:t>
      </w:r>
      <w:r>
        <w:rPr>
          <w:rStyle w:val="hps"/>
          <w:rFonts w:cs="Times New Roman"/>
          <w:szCs w:val="24"/>
          <w:lang w:val="en-GB"/>
        </w:rPr>
        <w:t>within</w:t>
      </w:r>
      <w:r w:rsidRPr="005B5F57">
        <w:rPr>
          <w:rStyle w:val="hps"/>
          <w:rFonts w:cs="Times New Roman"/>
          <w:szCs w:val="24"/>
          <w:lang w:val="en-GB"/>
        </w:rPr>
        <w:t xml:space="preserve"> the government and line ministry</w:t>
      </w:r>
      <w:r w:rsidRPr="005B5F57">
        <w:rPr>
          <w:rFonts w:cs="Times New Roman"/>
          <w:szCs w:val="24"/>
          <w:lang w:val="en-GB"/>
        </w:rPr>
        <w:t xml:space="preserve">. </w:t>
      </w:r>
      <w:r w:rsidRPr="005B5F57">
        <w:rPr>
          <w:rStyle w:val="hps"/>
          <w:rFonts w:cs="Times New Roman"/>
          <w:szCs w:val="24"/>
          <w:lang w:val="en-GB"/>
        </w:rPr>
        <w:t>S</w:t>
      </w:r>
      <w:r w:rsidRPr="005B5F57">
        <w:rPr>
          <w:rFonts w:cs="Times New Roman"/>
          <w:szCs w:val="24"/>
          <w:lang w:val="en-GB"/>
        </w:rPr>
        <w:t xml:space="preserve">everal </w:t>
      </w:r>
      <w:r w:rsidRPr="005B5F57">
        <w:rPr>
          <w:rStyle w:val="hps"/>
          <w:rFonts w:cs="Times New Roman"/>
          <w:szCs w:val="24"/>
          <w:lang w:val="en-GB"/>
        </w:rPr>
        <w:t xml:space="preserve">solutions were </w:t>
      </w:r>
      <w:r>
        <w:rPr>
          <w:rStyle w:val="hps"/>
          <w:rFonts w:cs="Times New Roman"/>
          <w:szCs w:val="24"/>
          <w:lang w:val="en-GB"/>
        </w:rPr>
        <w:t>considered</w:t>
      </w:r>
      <w:r w:rsidRPr="005B5F57">
        <w:rPr>
          <w:rFonts w:cs="Times New Roman"/>
          <w:szCs w:val="24"/>
          <w:lang w:val="en-GB"/>
        </w:rPr>
        <w:t xml:space="preserve">: </w:t>
      </w:r>
      <w:r w:rsidRPr="005B5F57">
        <w:rPr>
          <w:rStyle w:val="hps"/>
          <w:rFonts w:cs="Times New Roman"/>
          <w:szCs w:val="24"/>
          <w:lang w:val="en-GB"/>
        </w:rPr>
        <w:t>the establishment of</w:t>
      </w:r>
      <w:r w:rsidRPr="005B5F57">
        <w:rPr>
          <w:rFonts w:cs="Times New Roman"/>
          <w:szCs w:val="24"/>
          <w:lang w:val="en-GB"/>
        </w:rPr>
        <w:t xml:space="preserve"> </w:t>
      </w:r>
      <w:r w:rsidRPr="005B5F57">
        <w:rPr>
          <w:rStyle w:val="hps"/>
          <w:rFonts w:cs="Times New Roman"/>
          <w:szCs w:val="24"/>
          <w:lang w:val="en-GB"/>
        </w:rPr>
        <w:t>the Fund as part</w:t>
      </w:r>
      <w:r w:rsidRPr="005B5F57">
        <w:rPr>
          <w:rFonts w:cs="Times New Roman"/>
          <w:szCs w:val="24"/>
          <w:lang w:val="en-GB"/>
        </w:rPr>
        <w:t xml:space="preserve"> </w:t>
      </w:r>
      <w:r w:rsidRPr="005B5F57">
        <w:rPr>
          <w:rStyle w:val="hps"/>
          <w:rFonts w:cs="Times New Roman"/>
          <w:szCs w:val="24"/>
          <w:lang w:val="en-GB"/>
        </w:rPr>
        <w:t>of the line ministry</w:t>
      </w:r>
      <w:r w:rsidRPr="005B5F57">
        <w:rPr>
          <w:rFonts w:cs="Times New Roman"/>
          <w:szCs w:val="24"/>
          <w:lang w:val="en-GB"/>
        </w:rPr>
        <w:t xml:space="preserve">, the establishment of </w:t>
      </w:r>
      <w:r>
        <w:rPr>
          <w:rFonts w:cs="Times New Roman"/>
          <w:szCs w:val="24"/>
          <w:lang w:val="en-GB"/>
        </w:rPr>
        <w:t xml:space="preserve">a </w:t>
      </w:r>
      <w:r w:rsidRPr="005B5F57">
        <w:rPr>
          <w:rStyle w:val="hps"/>
          <w:rFonts w:cs="Times New Roman"/>
          <w:szCs w:val="24"/>
          <w:lang w:val="en-GB"/>
        </w:rPr>
        <w:t>public agency</w:t>
      </w:r>
      <w:r w:rsidRPr="005B5F57">
        <w:rPr>
          <w:rFonts w:cs="Times New Roman"/>
          <w:szCs w:val="24"/>
          <w:lang w:val="en-GB"/>
        </w:rPr>
        <w:t xml:space="preserve">, </w:t>
      </w:r>
      <w:r>
        <w:rPr>
          <w:rFonts w:cs="Times New Roman"/>
          <w:szCs w:val="24"/>
          <w:lang w:val="en-GB"/>
        </w:rPr>
        <w:t xml:space="preserve">a </w:t>
      </w:r>
      <w:r w:rsidRPr="005B5F57">
        <w:rPr>
          <w:rFonts w:cs="Times New Roman"/>
          <w:szCs w:val="24"/>
          <w:lang w:val="en-GB"/>
        </w:rPr>
        <w:t xml:space="preserve">project </w:t>
      </w:r>
      <w:r w:rsidRPr="005B5F57">
        <w:rPr>
          <w:rStyle w:val="hps"/>
          <w:rFonts w:cs="Times New Roman"/>
          <w:szCs w:val="24"/>
          <w:lang w:val="en-GB"/>
        </w:rPr>
        <w:t>center within</w:t>
      </w:r>
      <w:r w:rsidRPr="005B5F57">
        <w:rPr>
          <w:rFonts w:cs="Times New Roman"/>
          <w:szCs w:val="24"/>
          <w:lang w:val="en-GB"/>
        </w:rPr>
        <w:t xml:space="preserve"> </w:t>
      </w:r>
      <w:r w:rsidRPr="005B5F57">
        <w:rPr>
          <w:rStyle w:val="hps"/>
          <w:rFonts w:cs="Times New Roman"/>
          <w:szCs w:val="24"/>
          <w:lang w:val="en-GB"/>
        </w:rPr>
        <w:t>the ministry</w:t>
      </w:r>
      <w:r w:rsidRPr="005B5F57">
        <w:rPr>
          <w:rFonts w:cs="Times New Roman"/>
          <w:szCs w:val="24"/>
          <w:lang w:val="en-GB"/>
        </w:rPr>
        <w:t xml:space="preserve"> </w:t>
      </w:r>
      <w:r w:rsidRPr="005B5F57">
        <w:rPr>
          <w:rStyle w:val="hps"/>
          <w:rFonts w:cs="Times New Roman"/>
          <w:szCs w:val="24"/>
          <w:lang w:val="en-GB"/>
        </w:rPr>
        <w:t>or joining</w:t>
      </w:r>
      <w:r w:rsidRPr="005B5F57">
        <w:rPr>
          <w:rFonts w:cs="Times New Roman"/>
          <w:szCs w:val="24"/>
          <w:lang w:val="en-GB"/>
        </w:rPr>
        <w:t xml:space="preserve"> </w:t>
      </w:r>
      <w:r w:rsidRPr="005B5F57">
        <w:rPr>
          <w:rStyle w:val="hps"/>
          <w:rFonts w:cs="Times New Roman"/>
          <w:szCs w:val="24"/>
          <w:lang w:val="en-GB"/>
        </w:rPr>
        <w:t>the Social Protection Institute. The majority of reviews consider this as a key</w:t>
      </w:r>
      <w:r w:rsidRPr="005B5F57">
        <w:rPr>
          <w:rFonts w:cs="Times New Roman"/>
          <w:szCs w:val="24"/>
          <w:lang w:val="en-GB"/>
        </w:rPr>
        <w:t xml:space="preserve"> </w:t>
      </w:r>
      <w:r w:rsidRPr="005B5F57">
        <w:rPr>
          <w:rStyle w:val="hps"/>
          <w:rFonts w:cs="Times New Roman"/>
          <w:szCs w:val="24"/>
          <w:lang w:val="en-GB"/>
        </w:rPr>
        <w:t>shortcoming.</w:t>
      </w:r>
      <w:r w:rsidRPr="005B5F57">
        <w:rPr>
          <w:rFonts w:cs="Times New Roman"/>
          <w:szCs w:val="24"/>
          <w:lang w:val="en-GB"/>
        </w:rPr>
        <w:t xml:space="preserve"> </w:t>
      </w:r>
      <w:r w:rsidRPr="005B5F57">
        <w:rPr>
          <w:rStyle w:val="hps"/>
          <w:rFonts w:cs="Times New Roman"/>
          <w:szCs w:val="24"/>
          <w:lang w:val="en-GB"/>
        </w:rPr>
        <w:t>However,</w:t>
      </w:r>
      <w:r w:rsidRPr="005B5F57">
        <w:rPr>
          <w:rFonts w:cs="Times New Roman"/>
          <w:szCs w:val="24"/>
          <w:lang w:val="en-GB"/>
        </w:rPr>
        <w:t xml:space="preserve"> </w:t>
      </w:r>
      <w:r>
        <w:rPr>
          <w:rFonts w:cs="Times New Roman"/>
          <w:szCs w:val="24"/>
          <w:lang w:val="en-GB"/>
        </w:rPr>
        <w:t xml:space="preserve">the </w:t>
      </w:r>
      <w:r w:rsidRPr="005B5F57">
        <w:rPr>
          <w:rStyle w:val="hps"/>
          <w:rFonts w:cs="Times New Roman"/>
          <w:szCs w:val="24"/>
          <w:lang w:val="en-GB"/>
        </w:rPr>
        <w:t>Social Innovation Fund was built</w:t>
      </w:r>
      <w:r w:rsidRPr="005B5F57">
        <w:rPr>
          <w:rFonts w:cs="Times New Roman"/>
          <w:szCs w:val="24"/>
          <w:lang w:val="en-GB"/>
        </w:rPr>
        <w:t xml:space="preserve"> </w:t>
      </w:r>
      <w:r w:rsidRPr="005B5F57">
        <w:rPr>
          <w:rStyle w:val="hps"/>
          <w:rFonts w:cs="Times New Roman"/>
          <w:szCs w:val="24"/>
          <w:lang w:val="en-GB"/>
        </w:rPr>
        <w:t>on the</w:t>
      </w:r>
      <w:r w:rsidRPr="005B5F57">
        <w:rPr>
          <w:rFonts w:cs="Times New Roman"/>
          <w:szCs w:val="24"/>
          <w:lang w:val="en-GB"/>
        </w:rPr>
        <w:t xml:space="preserve"> </w:t>
      </w:r>
      <w:r w:rsidRPr="005B5F57">
        <w:rPr>
          <w:rStyle w:val="hps"/>
          <w:rFonts w:cs="Times New Roman"/>
          <w:szCs w:val="24"/>
          <w:lang w:val="en-GB"/>
        </w:rPr>
        <w:t>assumption</w:t>
      </w:r>
      <w:r w:rsidRPr="005B5F57">
        <w:rPr>
          <w:rFonts w:cs="Times New Roman"/>
          <w:szCs w:val="24"/>
          <w:lang w:val="en-GB"/>
        </w:rPr>
        <w:t xml:space="preserve"> </w:t>
      </w:r>
      <w:r w:rsidRPr="005B5F57">
        <w:rPr>
          <w:rStyle w:val="hps"/>
          <w:rFonts w:cs="Times New Roman"/>
          <w:szCs w:val="24"/>
          <w:lang w:val="en-GB"/>
        </w:rPr>
        <w:t>that</w:t>
      </w:r>
      <w:r w:rsidRPr="005B5F57">
        <w:rPr>
          <w:rFonts w:cs="Times New Roman"/>
          <w:szCs w:val="24"/>
          <w:lang w:val="en-GB"/>
        </w:rPr>
        <w:t xml:space="preserve"> </w:t>
      </w:r>
      <w:r w:rsidRPr="005B5F57">
        <w:rPr>
          <w:rStyle w:val="hps"/>
          <w:rFonts w:cs="Times New Roman"/>
          <w:szCs w:val="24"/>
          <w:lang w:val="en-GB"/>
        </w:rPr>
        <w:t>it will</w:t>
      </w:r>
      <w:r w:rsidRPr="005B5F57">
        <w:rPr>
          <w:rFonts w:cs="Times New Roman"/>
          <w:szCs w:val="24"/>
          <w:lang w:val="en-GB"/>
        </w:rPr>
        <w:t xml:space="preserve"> </w:t>
      </w:r>
      <w:r w:rsidRPr="005B5F57">
        <w:rPr>
          <w:rStyle w:val="hps"/>
          <w:rFonts w:cs="Times New Roman"/>
          <w:szCs w:val="24"/>
          <w:lang w:val="en-GB"/>
        </w:rPr>
        <w:t xml:space="preserve">be </w:t>
      </w:r>
      <w:r>
        <w:rPr>
          <w:rStyle w:val="hps"/>
          <w:rFonts w:cs="Times New Roman"/>
          <w:szCs w:val="24"/>
          <w:lang w:val="en-GB"/>
        </w:rPr>
        <w:t xml:space="preserve">a </w:t>
      </w:r>
      <w:r w:rsidRPr="005B5F57">
        <w:rPr>
          <w:rStyle w:val="hps"/>
          <w:rFonts w:cs="Times New Roman"/>
          <w:szCs w:val="24"/>
          <w:lang w:val="en-GB"/>
        </w:rPr>
        <w:t>temporary</w:t>
      </w:r>
      <w:r w:rsidRPr="005B5F57">
        <w:rPr>
          <w:rFonts w:cs="Times New Roman"/>
          <w:szCs w:val="24"/>
          <w:lang w:val="en-GB"/>
        </w:rPr>
        <w:t xml:space="preserve"> </w:t>
      </w:r>
      <w:r w:rsidRPr="005B5F57">
        <w:rPr>
          <w:rStyle w:val="hps"/>
          <w:rFonts w:cs="Times New Roman"/>
          <w:szCs w:val="24"/>
          <w:lang w:val="en-GB"/>
        </w:rPr>
        <w:t>(</w:t>
      </w:r>
      <w:r w:rsidRPr="005B5F57">
        <w:rPr>
          <w:rFonts w:cs="Times New Roman"/>
          <w:szCs w:val="24"/>
          <w:lang w:val="en-GB"/>
        </w:rPr>
        <w:t xml:space="preserve">transitional) </w:t>
      </w:r>
      <w:r w:rsidRPr="005B5F57">
        <w:rPr>
          <w:rStyle w:val="hps"/>
          <w:rFonts w:cs="Times New Roman"/>
          <w:szCs w:val="24"/>
          <w:lang w:val="en-GB"/>
        </w:rPr>
        <w:t>mechanism.</w:t>
      </w:r>
      <w:r w:rsidRPr="005B5F57">
        <w:rPr>
          <w:rFonts w:cs="Times New Roman"/>
          <w:szCs w:val="24"/>
          <w:lang w:val="en-GB"/>
        </w:rPr>
        <w:t xml:space="preserve"> </w:t>
      </w:r>
      <w:r>
        <w:rPr>
          <w:rFonts w:cs="Times New Roman"/>
          <w:szCs w:val="24"/>
          <w:lang w:val="en-GB"/>
        </w:rPr>
        <w:t xml:space="preserve">The SIF </w:t>
      </w:r>
      <w:r w:rsidRPr="005B5F57">
        <w:rPr>
          <w:rStyle w:val="hps"/>
          <w:rFonts w:cs="Times New Roman"/>
          <w:szCs w:val="24"/>
          <w:lang w:val="en-GB"/>
        </w:rPr>
        <w:t>Operational Manual implies</w:t>
      </w:r>
      <w:r w:rsidRPr="005B5F57">
        <w:rPr>
          <w:rFonts w:cs="Times New Roman"/>
          <w:szCs w:val="24"/>
          <w:lang w:val="en-GB"/>
        </w:rPr>
        <w:t xml:space="preserve"> </w:t>
      </w:r>
      <w:r w:rsidRPr="005B5F57">
        <w:rPr>
          <w:rStyle w:val="hps"/>
          <w:rFonts w:cs="Times New Roman"/>
          <w:szCs w:val="24"/>
          <w:lang w:val="en-GB"/>
        </w:rPr>
        <w:t>the</w:t>
      </w:r>
      <w:r w:rsidRPr="005B5F57">
        <w:rPr>
          <w:rFonts w:cs="Times New Roman"/>
          <w:szCs w:val="24"/>
          <w:lang w:val="en-GB"/>
        </w:rPr>
        <w:t xml:space="preserve"> </w:t>
      </w:r>
      <w:r w:rsidRPr="005B5F57">
        <w:rPr>
          <w:rStyle w:val="hps"/>
          <w:rFonts w:cs="Times New Roman"/>
          <w:szCs w:val="24"/>
          <w:lang w:val="en-GB"/>
        </w:rPr>
        <w:t>possibility of</w:t>
      </w:r>
      <w:r w:rsidRPr="005B5F57">
        <w:rPr>
          <w:rFonts w:cs="Times New Roman"/>
          <w:szCs w:val="24"/>
          <w:lang w:val="en-GB"/>
        </w:rPr>
        <w:t xml:space="preserve"> the Fund </w:t>
      </w:r>
      <w:r w:rsidRPr="005B5F57">
        <w:rPr>
          <w:rStyle w:val="hps"/>
          <w:rFonts w:cs="Times New Roman"/>
          <w:szCs w:val="24"/>
          <w:lang w:val="en-GB"/>
        </w:rPr>
        <w:t>to</w:t>
      </w:r>
      <w:r w:rsidRPr="005B5F57">
        <w:rPr>
          <w:rFonts w:cs="Times New Roman"/>
          <w:szCs w:val="24"/>
          <w:lang w:val="en-GB"/>
        </w:rPr>
        <w:t xml:space="preserve"> </w:t>
      </w:r>
      <w:r w:rsidRPr="005B5F57">
        <w:rPr>
          <w:rStyle w:val="hps"/>
          <w:rFonts w:cs="Times New Roman"/>
          <w:szCs w:val="24"/>
          <w:lang w:val="en-GB"/>
        </w:rPr>
        <w:t>be</w:t>
      </w:r>
      <w:r w:rsidRPr="005B5F57">
        <w:rPr>
          <w:rFonts w:cs="Times New Roman"/>
          <w:szCs w:val="24"/>
          <w:lang w:val="en-GB"/>
        </w:rPr>
        <w:t xml:space="preserve"> </w:t>
      </w:r>
      <w:r w:rsidRPr="005B5F57">
        <w:rPr>
          <w:rStyle w:val="hps"/>
          <w:rFonts w:cs="Times New Roman"/>
          <w:szCs w:val="24"/>
          <w:lang w:val="en-GB"/>
        </w:rPr>
        <w:t>a transitional</w:t>
      </w:r>
      <w:r w:rsidRPr="005B5F57">
        <w:rPr>
          <w:rFonts w:cs="Times New Roman"/>
          <w:szCs w:val="24"/>
          <w:lang w:val="en-GB"/>
        </w:rPr>
        <w:t xml:space="preserve"> </w:t>
      </w:r>
      <w:r w:rsidRPr="005B5F57">
        <w:rPr>
          <w:rStyle w:val="hps"/>
          <w:rFonts w:cs="Times New Roman"/>
          <w:szCs w:val="24"/>
          <w:lang w:val="en-GB"/>
        </w:rPr>
        <w:t>mechanism that</w:t>
      </w:r>
      <w:r w:rsidRPr="005B5F57">
        <w:rPr>
          <w:rFonts w:cs="Times New Roman"/>
          <w:szCs w:val="24"/>
          <w:lang w:val="en-GB"/>
        </w:rPr>
        <w:t xml:space="preserve"> </w:t>
      </w:r>
      <w:r w:rsidRPr="005B5F57">
        <w:rPr>
          <w:rStyle w:val="hps"/>
          <w:rFonts w:cs="Times New Roman"/>
          <w:szCs w:val="24"/>
          <w:lang w:val="en-GB"/>
        </w:rPr>
        <w:t>will be closed down when the</w:t>
      </w:r>
      <w:r w:rsidRPr="005B5F57">
        <w:rPr>
          <w:rFonts w:cs="Times New Roman"/>
          <w:szCs w:val="24"/>
          <w:lang w:val="en-GB"/>
        </w:rPr>
        <w:t xml:space="preserve"> </w:t>
      </w:r>
      <w:r w:rsidRPr="005B5F57">
        <w:rPr>
          <w:rStyle w:val="hps"/>
          <w:rFonts w:cs="Times New Roman"/>
          <w:szCs w:val="24"/>
          <w:lang w:val="en-GB"/>
        </w:rPr>
        <w:t>need for it</w:t>
      </w:r>
      <w:r w:rsidRPr="005B5F57">
        <w:rPr>
          <w:rFonts w:cs="Times New Roman"/>
          <w:szCs w:val="24"/>
          <w:lang w:val="en-GB"/>
        </w:rPr>
        <w:t xml:space="preserve"> </w:t>
      </w:r>
      <w:r w:rsidRPr="005B5F57">
        <w:rPr>
          <w:rStyle w:val="hps"/>
          <w:rFonts w:cs="Times New Roman"/>
          <w:szCs w:val="24"/>
          <w:lang w:val="en-GB"/>
        </w:rPr>
        <w:t>disappears</w:t>
      </w:r>
      <w:r w:rsidRPr="005B5F57">
        <w:rPr>
          <w:rFonts w:cs="Times New Roman"/>
          <w:szCs w:val="24"/>
          <w:lang w:val="en-GB"/>
        </w:rPr>
        <w:t>.</w:t>
      </w:r>
    </w:p>
    <w:p w:rsidR="00444EA0" w:rsidRPr="005B5F57" w:rsidRDefault="00444EA0" w:rsidP="00444EA0">
      <w:pPr>
        <w:rPr>
          <w:rStyle w:val="hps"/>
          <w:rFonts w:cs="Times New Roman"/>
          <w:szCs w:val="24"/>
          <w:lang w:val="en-GB"/>
        </w:rPr>
      </w:pPr>
      <w:r w:rsidRPr="005B5F57">
        <w:rPr>
          <w:rStyle w:val="hps"/>
          <w:rFonts w:cs="Times New Roman"/>
          <w:szCs w:val="24"/>
          <w:lang w:val="en-GB"/>
        </w:rPr>
        <w:t xml:space="preserve">Key measures that have led to relatively good results in the integration </w:t>
      </w:r>
      <w:r>
        <w:rPr>
          <w:rStyle w:val="hps"/>
          <w:rFonts w:cs="Times New Roman"/>
          <w:szCs w:val="24"/>
          <w:lang w:val="en-GB"/>
        </w:rPr>
        <w:t xml:space="preserve">of </w:t>
      </w:r>
      <w:r w:rsidRPr="005B5F57">
        <w:rPr>
          <w:rStyle w:val="hps"/>
          <w:rFonts w:cs="Times New Roman"/>
          <w:szCs w:val="24"/>
          <w:lang w:val="en-GB"/>
        </w:rPr>
        <w:t>projects in the local social protection systems are smaller budgets (less than EUR 20,000 if the average does not include major projects of transformation of institutions), co-financing with local governments, the funding priorities identified through local planning and verified in local strategies for social protection, gradual reduction of the share of SIF funding in the total co</w:t>
      </w:r>
      <w:r>
        <w:rPr>
          <w:rStyle w:val="hps"/>
          <w:rFonts w:cs="Times New Roman"/>
          <w:szCs w:val="24"/>
          <w:lang w:val="en-GB"/>
        </w:rPr>
        <w:t>st of services in the period of</w:t>
      </w:r>
      <w:r w:rsidRPr="005B5F57">
        <w:rPr>
          <w:rStyle w:val="hps"/>
          <w:rFonts w:cs="Times New Roman"/>
          <w:szCs w:val="24"/>
          <w:lang w:val="en-GB"/>
        </w:rPr>
        <w:t xml:space="preserve"> two to three years. </w:t>
      </w:r>
    </w:p>
    <w:p w:rsidR="00444EA0" w:rsidRPr="005B5F57" w:rsidRDefault="00444EA0" w:rsidP="00444EA0">
      <w:pPr>
        <w:rPr>
          <w:rStyle w:val="hps"/>
          <w:rFonts w:cs="Times New Roman"/>
          <w:szCs w:val="24"/>
          <w:lang w:val="en-GB"/>
        </w:rPr>
      </w:pPr>
      <w:r w:rsidRPr="005B5F57">
        <w:rPr>
          <w:rStyle w:val="hps"/>
          <w:rFonts w:cs="Times New Roman"/>
          <w:szCs w:val="24"/>
          <w:lang w:val="en-GB"/>
        </w:rPr>
        <w:t xml:space="preserve">Evaluation also </w:t>
      </w:r>
      <w:r w:rsidRPr="00325434">
        <w:rPr>
          <w:rStyle w:val="hps"/>
          <w:rFonts w:cs="Times New Roman"/>
          <w:i/>
          <w:szCs w:val="24"/>
          <w:lang w:val="en-GB"/>
        </w:rPr>
        <w:t>emphasises field work as a precondition</w:t>
      </w:r>
      <w:r w:rsidRPr="005B5F57">
        <w:rPr>
          <w:rStyle w:val="hps"/>
          <w:rFonts w:cs="Times New Roman"/>
          <w:szCs w:val="24"/>
          <w:lang w:val="en-GB"/>
        </w:rPr>
        <w:t xml:space="preserve"> for successful development of services. </w:t>
      </w:r>
      <w:r>
        <w:rPr>
          <w:rStyle w:val="hps"/>
          <w:rFonts w:cs="Times New Roman"/>
          <w:szCs w:val="24"/>
          <w:lang w:val="en-GB"/>
        </w:rPr>
        <w:t>The SIF</w:t>
      </w:r>
      <w:r w:rsidRPr="005B5F57">
        <w:rPr>
          <w:rStyle w:val="hps"/>
          <w:rFonts w:cs="Times New Roman"/>
          <w:szCs w:val="24"/>
          <w:lang w:val="en-GB"/>
        </w:rPr>
        <w:t xml:space="preserve"> team extensively worked on the ground in </w:t>
      </w:r>
      <w:r>
        <w:rPr>
          <w:rStyle w:val="hps"/>
          <w:rFonts w:cs="Times New Roman"/>
          <w:szCs w:val="24"/>
          <w:lang w:val="en-GB"/>
        </w:rPr>
        <w:t xml:space="preserve">the </w:t>
      </w:r>
      <w:r w:rsidRPr="005B5F57">
        <w:rPr>
          <w:rStyle w:val="hps"/>
          <w:rFonts w:cs="Times New Roman"/>
          <w:szCs w:val="24"/>
          <w:lang w:val="en-GB"/>
        </w:rPr>
        <w:t>preparation of project proposals, training and consultation</w:t>
      </w:r>
      <w:r>
        <w:rPr>
          <w:rStyle w:val="hps"/>
          <w:rFonts w:cs="Times New Roman"/>
          <w:szCs w:val="24"/>
          <w:lang w:val="en-GB"/>
        </w:rPr>
        <w:t>s</w:t>
      </w:r>
      <w:r w:rsidRPr="005B5F57">
        <w:rPr>
          <w:rStyle w:val="hps"/>
          <w:rFonts w:cs="Times New Roman"/>
          <w:szCs w:val="24"/>
          <w:lang w:val="en-GB"/>
        </w:rPr>
        <w:t>, support in project implementation, monitoring and evaluation.</w:t>
      </w:r>
      <w:r w:rsidR="00EF6050">
        <w:rPr>
          <w:rStyle w:val="hps"/>
          <w:rFonts w:cs="Times New Roman"/>
          <w:szCs w:val="24"/>
          <w:lang w:val="en-GB"/>
        </w:rPr>
        <w:t xml:space="preserve"> </w:t>
      </w:r>
      <w:r w:rsidRPr="005B5F57">
        <w:rPr>
          <w:rStyle w:val="hps"/>
          <w:rFonts w:cs="Times New Roman"/>
          <w:szCs w:val="24"/>
          <w:lang w:val="en-GB"/>
        </w:rPr>
        <w:t xml:space="preserve">Over time, the </w:t>
      </w:r>
      <w:r w:rsidRPr="00325434">
        <w:rPr>
          <w:rStyle w:val="hps"/>
          <w:rFonts w:cs="Times New Roman"/>
          <w:i/>
          <w:szCs w:val="24"/>
          <w:lang w:val="en-GB"/>
        </w:rPr>
        <w:t>administrative and financial control of grants grew more complex</w:t>
      </w:r>
      <w:r w:rsidRPr="005B5F57">
        <w:rPr>
          <w:rStyle w:val="hps"/>
          <w:rFonts w:cs="Times New Roman"/>
          <w:szCs w:val="24"/>
          <w:lang w:val="en-GB"/>
        </w:rPr>
        <w:t xml:space="preserve">. </w:t>
      </w:r>
      <w:r>
        <w:rPr>
          <w:rStyle w:val="hps"/>
          <w:rFonts w:cs="Times New Roman"/>
          <w:szCs w:val="24"/>
          <w:lang w:val="en-GB"/>
        </w:rPr>
        <w:t xml:space="preserve">This </w:t>
      </w:r>
      <w:r w:rsidRPr="005B5F57">
        <w:rPr>
          <w:rStyle w:val="hps"/>
          <w:rFonts w:cs="Times New Roman"/>
          <w:szCs w:val="24"/>
          <w:lang w:val="en-GB"/>
        </w:rPr>
        <w:t xml:space="preserve">was identified as one of the major drawbacks </w:t>
      </w:r>
      <w:r>
        <w:rPr>
          <w:rStyle w:val="hps"/>
          <w:rFonts w:cs="Times New Roman"/>
          <w:szCs w:val="24"/>
          <w:lang w:val="en-GB"/>
        </w:rPr>
        <w:t>i</w:t>
      </w:r>
      <w:r w:rsidRPr="005B5F57">
        <w:rPr>
          <w:rStyle w:val="hps"/>
          <w:rFonts w:cs="Times New Roman"/>
          <w:szCs w:val="24"/>
          <w:lang w:val="en-GB"/>
        </w:rPr>
        <w:t>n the evaluation</w:t>
      </w:r>
      <w:r>
        <w:rPr>
          <w:rStyle w:val="hps"/>
          <w:rFonts w:cs="Times New Roman"/>
          <w:szCs w:val="24"/>
          <w:lang w:val="en-GB"/>
        </w:rPr>
        <w:t xml:space="preserve">, and it is necessary to </w:t>
      </w:r>
      <w:r w:rsidRPr="005B5F57">
        <w:rPr>
          <w:rStyle w:val="hps"/>
          <w:rFonts w:cs="Times New Roman"/>
          <w:szCs w:val="24"/>
          <w:lang w:val="en-GB"/>
        </w:rPr>
        <w:t>keep in mind a number of limitations stemming from the administrative rules of the EU.</w:t>
      </w:r>
    </w:p>
    <w:p w:rsidR="002B06FD" w:rsidRDefault="00444EA0" w:rsidP="00444EA0">
      <w:pPr>
        <w:rPr>
          <w:rStyle w:val="hps"/>
          <w:rFonts w:cs="Times New Roman"/>
          <w:szCs w:val="24"/>
          <w:lang w:val="en-GB"/>
        </w:rPr>
      </w:pPr>
      <w:r>
        <w:rPr>
          <w:rStyle w:val="hps"/>
          <w:rFonts w:cs="Times New Roman"/>
          <w:szCs w:val="24"/>
          <w:lang w:val="en-GB"/>
        </w:rPr>
        <w:t xml:space="preserve">The </w:t>
      </w:r>
      <w:r w:rsidRPr="00325434">
        <w:rPr>
          <w:rStyle w:val="hps"/>
          <w:rFonts w:cs="Times New Roman"/>
          <w:i/>
          <w:szCs w:val="24"/>
          <w:lang w:val="en-GB"/>
        </w:rPr>
        <w:t>integration of best practices</w:t>
      </w:r>
      <w:r w:rsidRPr="005B5F57">
        <w:rPr>
          <w:rStyle w:val="hps"/>
          <w:rFonts w:cs="Times New Roman"/>
          <w:szCs w:val="24"/>
          <w:lang w:val="en-GB"/>
        </w:rPr>
        <w:t xml:space="preserve"> into the system</w:t>
      </w:r>
      <w:r>
        <w:rPr>
          <w:rStyle w:val="hps"/>
          <w:rFonts w:cs="Times New Roman"/>
          <w:szCs w:val="24"/>
          <w:lang w:val="en-GB"/>
        </w:rPr>
        <w:t xml:space="preserve"> is o</w:t>
      </w:r>
      <w:r w:rsidRPr="005B5F57">
        <w:rPr>
          <w:rStyle w:val="hps"/>
          <w:rFonts w:cs="Times New Roman"/>
          <w:szCs w:val="24"/>
          <w:lang w:val="en-GB"/>
        </w:rPr>
        <w:t xml:space="preserve">ne of the strategic objectives of SIF that were not fully realised. Such tasks are complex (as shown by </w:t>
      </w:r>
      <w:r>
        <w:rPr>
          <w:rStyle w:val="hps"/>
          <w:rFonts w:cs="Times New Roman"/>
          <w:szCs w:val="24"/>
          <w:lang w:val="en-GB"/>
        </w:rPr>
        <w:t xml:space="preserve">the </w:t>
      </w:r>
      <w:r w:rsidRPr="005B5F57">
        <w:rPr>
          <w:rStyle w:val="hps"/>
          <w:rFonts w:cs="Times New Roman"/>
          <w:szCs w:val="24"/>
          <w:lang w:val="en-GB"/>
        </w:rPr>
        <w:t xml:space="preserve">evaluation of </w:t>
      </w:r>
      <w:r>
        <w:rPr>
          <w:rStyle w:val="hps"/>
          <w:rFonts w:cs="Times New Roman"/>
          <w:szCs w:val="24"/>
          <w:lang w:val="en-GB"/>
        </w:rPr>
        <w:t xml:space="preserve">the </w:t>
      </w:r>
      <w:r w:rsidRPr="005B5F57">
        <w:rPr>
          <w:rStyle w:val="hps"/>
          <w:rFonts w:cs="Times New Roman"/>
          <w:szCs w:val="24"/>
          <w:lang w:val="en-GB"/>
        </w:rPr>
        <w:t xml:space="preserve">EU </w:t>
      </w:r>
      <w:r>
        <w:rPr>
          <w:rStyle w:val="hps"/>
          <w:rFonts w:cs="Times New Roman"/>
          <w:szCs w:val="24"/>
          <w:lang w:val="en-GB"/>
        </w:rPr>
        <w:t>EQUAL</w:t>
      </w:r>
      <w:r w:rsidRPr="005B5F57">
        <w:rPr>
          <w:rStyle w:val="hps"/>
          <w:rFonts w:cs="Times New Roman"/>
          <w:szCs w:val="24"/>
          <w:lang w:val="en-GB"/>
        </w:rPr>
        <w:t xml:space="preserve"> program</w:t>
      </w:r>
      <w:r w:rsidRPr="005B5F57">
        <w:rPr>
          <w:rStyle w:val="hps"/>
          <w:rFonts w:cs="Times New Roman"/>
          <w:szCs w:val="24"/>
          <w:vertAlign w:val="superscript"/>
          <w:lang w:val="en-GB"/>
        </w:rPr>
        <w:footnoteReference w:id="18"/>
      </w:r>
      <w:r w:rsidRPr="005B5F57">
        <w:rPr>
          <w:rStyle w:val="hps"/>
          <w:rFonts w:cs="Times New Roman"/>
          <w:szCs w:val="24"/>
          <w:lang w:val="en-GB"/>
        </w:rPr>
        <w:t xml:space="preserve">) and </w:t>
      </w:r>
      <w:r>
        <w:rPr>
          <w:rStyle w:val="hps"/>
          <w:rFonts w:cs="Times New Roman"/>
          <w:szCs w:val="24"/>
          <w:lang w:val="en-GB"/>
        </w:rPr>
        <w:t xml:space="preserve">such a function </w:t>
      </w:r>
      <w:r w:rsidRPr="005B5F57">
        <w:rPr>
          <w:rStyle w:val="hps"/>
          <w:rFonts w:cs="Times New Roman"/>
          <w:szCs w:val="24"/>
          <w:lang w:val="en-GB"/>
        </w:rPr>
        <w:t xml:space="preserve">must be pre-planned and </w:t>
      </w:r>
      <w:r>
        <w:rPr>
          <w:rStyle w:val="hps"/>
          <w:rFonts w:cs="Times New Roman"/>
          <w:szCs w:val="24"/>
          <w:lang w:val="en-GB"/>
        </w:rPr>
        <w:t xml:space="preserve">adequately </w:t>
      </w:r>
      <w:r w:rsidRPr="005B5F57">
        <w:rPr>
          <w:rStyle w:val="hps"/>
          <w:rFonts w:cs="Times New Roman"/>
          <w:szCs w:val="24"/>
          <w:lang w:val="en-GB"/>
        </w:rPr>
        <w:t>budgeted.</w:t>
      </w:r>
    </w:p>
    <w:p w:rsidR="00182D71" w:rsidRDefault="00182D71" w:rsidP="00444EA0">
      <w:pPr>
        <w:rPr>
          <w:rStyle w:val="hps"/>
          <w:rFonts w:cs="Times New Roman"/>
          <w:szCs w:val="24"/>
          <w:lang w:val="en-GB"/>
        </w:rPr>
      </w:pPr>
    </w:p>
    <w:tbl>
      <w:tblPr>
        <w:tblStyle w:val="TableGrid"/>
        <w:tblW w:w="0" w:type="auto"/>
        <w:tblLook w:val="04A0" w:firstRow="1" w:lastRow="0" w:firstColumn="1" w:lastColumn="0" w:noHBand="0" w:noVBand="1"/>
      </w:tblPr>
      <w:tblGrid>
        <w:gridCol w:w="9243"/>
      </w:tblGrid>
      <w:tr w:rsidR="00444EA0" w:rsidRPr="005B5F57" w:rsidTr="00444EA0">
        <w:tc>
          <w:tcPr>
            <w:tcW w:w="9243" w:type="dxa"/>
          </w:tcPr>
          <w:p w:rsidR="00444EA0" w:rsidRPr="00534726" w:rsidRDefault="00B04284" w:rsidP="00EF6050">
            <w:pPr>
              <w:spacing w:line="276" w:lineRule="auto"/>
              <w:rPr>
                <w:rStyle w:val="hps"/>
                <w:rFonts w:cs="Times New Roman"/>
                <w:b/>
                <w:szCs w:val="24"/>
                <w:lang w:val="en-GB"/>
              </w:rPr>
            </w:pPr>
            <w:r w:rsidRPr="00534726">
              <w:rPr>
                <w:rStyle w:val="hps"/>
                <w:rFonts w:cs="Times New Roman"/>
                <w:b/>
                <w:szCs w:val="24"/>
                <w:lang w:val="en-GB"/>
              </w:rPr>
              <w:t xml:space="preserve">Box </w:t>
            </w:r>
            <w:r w:rsidR="002B06FD">
              <w:rPr>
                <w:rStyle w:val="hps"/>
                <w:rFonts w:cs="Times New Roman"/>
                <w:b/>
                <w:szCs w:val="24"/>
                <w:lang w:val="en-GB"/>
              </w:rPr>
              <w:t>1</w:t>
            </w:r>
            <w:r w:rsidR="00444EA0" w:rsidRPr="00534726">
              <w:rPr>
                <w:rStyle w:val="hps"/>
                <w:rFonts w:cs="Times New Roman"/>
                <w:b/>
                <w:szCs w:val="24"/>
                <w:lang w:val="en-GB"/>
              </w:rPr>
              <w:t xml:space="preserve">: </w:t>
            </w:r>
            <w:r w:rsidR="00444EA0" w:rsidRPr="00534726">
              <w:rPr>
                <w:rStyle w:val="hps"/>
                <w:rFonts w:cs="Times New Roman"/>
                <w:b/>
                <w:szCs w:val="24"/>
                <w:u w:val="single"/>
                <w:lang w:val="en-GB"/>
              </w:rPr>
              <w:t>Social Innovation Fund in numbers</w:t>
            </w:r>
          </w:p>
          <w:p w:rsidR="00B04284" w:rsidRPr="00534726" w:rsidRDefault="00444EA0" w:rsidP="00EF6050">
            <w:pPr>
              <w:pStyle w:val="NormalWeb"/>
              <w:spacing w:before="0" w:beforeAutospacing="0" w:after="0"/>
              <w:rPr>
                <w:rStyle w:val="hps"/>
                <w:rFonts w:eastAsiaTheme="minorHAnsi"/>
                <w:lang w:val="en-GB"/>
              </w:rPr>
            </w:pPr>
            <w:r w:rsidRPr="00534726">
              <w:rPr>
                <w:rStyle w:val="hps"/>
                <w:rFonts w:eastAsiaTheme="minorHAnsi"/>
                <w:lang w:val="en-GB"/>
              </w:rPr>
              <w:t>The annual amount of funds disbursed by the Social Innovation Fund ranged from 0.7 to 1.7 million EUR in the first five years of its work (2003-2008). Between 19 and 88 grants were awarded each year totalling 23,000 EUR on average. For example, in 2005, as a typical year undisturbed by elections and with straightforward political support, a total of 51 projects were financed totalling 1.5 million EUR. This was managed with 7 staff members of the project management unit and 12 persons engaged on a part-time basis to monitor the projects. As documented by the final evaluation of the Social Innovation Fund, this workload resulted in a huge bureaucracy and demanding financial monitoring, as well as the lack of lobbying support to local projects. The SIF staff reported low administrative, professional and management capacity of grantees (small local NGOs and public sector units) and demanding administrative and management rules related to the EU funds as a key obstacle in their work.</w:t>
            </w:r>
          </w:p>
          <w:p w:rsidR="00444EA0" w:rsidRPr="00325434" w:rsidRDefault="00444EA0" w:rsidP="00EF6050">
            <w:pPr>
              <w:pStyle w:val="NormalWeb"/>
              <w:spacing w:before="0" w:beforeAutospacing="0" w:after="0"/>
              <w:rPr>
                <w:rStyle w:val="hps"/>
                <w:rFonts w:eastAsiaTheme="minorHAnsi"/>
                <w:lang w:val="en-GB"/>
              </w:rPr>
            </w:pPr>
            <w:r>
              <w:rPr>
                <w:rStyle w:val="hps"/>
                <w:rFonts w:eastAsiaTheme="minorHAnsi"/>
                <w:lang w:val="en-GB"/>
              </w:rPr>
              <w:t xml:space="preserve"> </w:t>
            </w:r>
          </w:p>
        </w:tc>
      </w:tr>
    </w:tbl>
    <w:p w:rsidR="00182D71" w:rsidRDefault="00182D71" w:rsidP="00EF6050">
      <w:pPr>
        <w:rPr>
          <w:rFonts w:cs="Times New Roman"/>
          <w:b/>
          <w:szCs w:val="24"/>
          <w:lang w:val="en-GB"/>
        </w:rPr>
      </w:pPr>
    </w:p>
    <w:p w:rsidR="00444EA0" w:rsidRPr="005B5F57" w:rsidRDefault="00444EA0" w:rsidP="00EF6050">
      <w:pPr>
        <w:rPr>
          <w:rFonts w:cs="Times New Roman"/>
          <w:szCs w:val="24"/>
          <w:lang w:val="en-GB"/>
        </w:rPr>
      </w:pPr>
      <w:r>
        <w:rPr>
          <w:rFonts w:cs="Times New Roman"/>
          <w:b/>
          <w:szCs w:val="24"/>
          <w:lang w:val="en-GB"/>
        </w:rPr>
        <w:t xml:space="preserve">The </w:t>
      </w:r>
      <w:r w:rsidRPr="005B5F57">
        <w:rPr>
          <w:rFonts w:cs="Times New Roman"/>
          <w:b/>
          <w:szCs w:val="24"/>
          <w:lang w:val="en-GB"/>
        </w:rPr>
        <w:t xml:space="preserve">“Youth Employment and Migration” (YEM) </w:t>
      </w:r>
      <w:r w:rsidRPr="005B5F57">
        <w:rPr>
          <w:rFonts w:cs="Times New Roman"/>
          <w:szCs w:val="24"/>
          <w:lang w:val="en-GB"/>
        </w:rPr>
        <w:t xml:space="preserve">was a United Nations Joint Programme 2009-2012, funded through the Spanish Millennium Development Goals Achievement Fund. YEM addressed youth employment and migration challenges, through a multi-sector approach - combining employment and social policy objectives. This project contributed to training and employment of over 2,830 disadvantaged young people in Serbia, but also strengthened the capacities of national institutions to reach out to vulnerable young people and employ more youth </w:t>
      </w:r>
      <w:r w:rsidRPr="005B5F57">
        <w:rPr>
          <w:rStyle w:val="Strong"/>
          <w:rFonts w:eastAsia="Times New Roman" w:cs="Times New Roman"/>
          <w:b w:val="0"/>
          <w:szCs w:val="24"/>
          <w:lang w:val="en-GB"/>
        </w:rPr>
        <w:t>(through established Youth Employment Fund within NES structure)</w:t>
      </w:r>
      <w:r w:rsidRPr="005B5F57">
        <w:rPr>
          <w:rFonts w:cs="Times New Roman"/>
          <w:szCs w:val="24"/>
          <w:lang w:val="en-GB"/>
        </w:rPr>
        <w:t xml:space="preserve">. Over 50 municipalities participated in this programme in five </w:t>
      </w:r>
      <w:r>
        <w:rPr>
          <w:rFonts w:cs="Times New Roman"/>
          <w:szCs w:val="24"/>
          <w:lang w:val="en-GB"/>
        </w:rPr>
        <w:t>districts</w:t>
      </w:r>
      <w:r w:rsidRPr="005B5F57">
        <w:rPr>
          <w:rFonts w:cs="Times New Roman"/>
          <w:szCs w:val="24"/>
          <w:lang w:val="en-GB"/>
        </w:rPr>
        <w:t>, including South Backa, Belgrade, Pcinjski, Nisavski and Pomoravski regions.</w:t>
      </w:r>
    </w:p>
    <w:p w:rsidR="00444EA0" w:rsidRPr="005B5F57" w:rsidRDefault="00444EA0" w:rsidP="00444EA0">
      <w:pPr>
        <w:rPr>
          <w:rFonts w:cs="Times New Roman"/>
          <w:szCs w:val="24"/>
          <w:lang w:val="en-GB"/>
        </w:rPr>
      </w:pPr>
      <w:r w:rsidRPr="005B5F57">
        <w:rPr>
          <w:rFonts w:cs="Times New Roman"/>
          <w:szCs w:val="24"/>
          <w:lang w:val="en-GB"/>
        </w:rPr>
        <w:t>An important aspect of YEM was the piloting of integrated service delivery, designed to respond to the real, ‘on the ground’ needs. This required multiple national institutions to deliver enhanced services to disadvantaged people with complex needs.</w:t>
      </w:r>
    </w:p>
    <w:p w:rsidR="00444EA0" w:rsidRPr="005B5F57" w:rsidRDefault="00444EA0" w:rsidP="00444EA0">
      <w:pPr>
        <w:rPr>
          <w:rFonts w:cs="Times New Roman"/>
          <w:szCs w:val="24"/>
          <w:lang w:val="en-GB"/>
        </w:rPr>
      </w:pPr>
      <w:r w:rsidRPr="005B5F57">
        <w:rPr>
          <w:rFonts w:cs="Times New Roman"/>
          <w:szCs w:val="24"/>
          <w:lang w:val="en-GB"/>
        </w:rPr>
        <w:t xml:space="preserve">On the level of direct support to individual institutions, YEM </w:t>
      </w:r>
      <w:r w:rsidR="00B04284">
        <w:rPr>
          <w:rFonts w:cs="Times New Roman"/>
          <w:szCs w:val="24"/>
          <w:lang w:val="en-GB"/>
        </w:rPr>
        <w:t>focused on Social Work Centres</w:t>
      </w:r>
      <w:r w:rsidRPr="005B5F57">
        <w:rPr>
          <w:rFonts w:cs="Times New Roman"/>
          <w:szCs w:val="24"/>
          <w:lang w:val="en-GB"/>
        </w:rPr>
        <w:t xml:space="preserve">, the National Employment Service, the municipal youth offices, and the local employment councils. YEM supported the introduction of case management and annual operational planning in selected </w:t>
      </w:r>
      <w:r w:rsidR="00B04284">
        <w:rPr>
          <w:rFonts w:cs="Times New Roman"/>
          <w:szCs w:val="24"/>
          <w:lang w:val="en-GB"/>
        </w:rPr>
        <w:t>Social Work Centres</w:t>
      </w:r>
      <w:r w:rsidRPr="005B5F57">
        <w:rPr>
          <w:rFonts w:cs="Times New Roman"/>
          <w:szCs w:val="24"/>
          <w:lang w:val="en-GB"/>
        </w:rPr>
        <w:t xml:space="preserve">, supported youth offices to better understand and reach out to disadvantaged youth through info-points (which have already been used by over 5.000 youth), and to deliver employment related projects which will reach at least 700 youth. This Joint Programme also supported employment councils to include youth employment targets into youth employment interventions, and resulted in 22 employment councils completing local action plans. </w:t>
      </w:r>
    </w:p>
    <w:p w:rsidR="002D308D" w:rsidRDefault="00444EA0" w:rsidP="002D308D">
      <w:pPr>
        <w:rPr>
          <w:rFonts w:cs="Times New Roman"/>
          <w:szCs w:val="24"/>
          <w:lang w:val="en-GB"/>
        </w:rPr>
      </w:pPr>
      <w:r w:rsidRPr="005B5F57">
        <w:rPr>
          <w:rFonts w:cs="Times New Roman"/>
          <w:szCs w:val="24"/>
          <w:lang w:val="en-GB"/>
        </w:rPr>
        <w:t xml:space="preserve">In order to enable public institutions to provide better integrated services, YEM coordinated an inter-ministerial working group, with all relevant ministries having to provide technical input, but also piloted this approach through already mentioned integrated service delivery. At the policy level, the integrated service delivery working group has been successful in influencing the new Law on Social Protection with the aim to ensure firm cooperation between </w:t>
      </w:r>
      <w:r w:rsidR="00B04284">
        <w:rPr>
          <w:rFonts w:cs="Times New Roman"/>
          <w:szCs w:val="24"/>
          <w:lang w:val="en-GB"/>
        </w:rPr>
        <w:t>Social Work Centers</w:t>
      </w:r>
      <w:r w:rsidRPr="005B5F57">
        <w:rPr>
          <w:rFonts w:cs="Times New Roman"/>
          <w:szCs w:val="24"/>
          <w:lang w:val="en-GB"/>
        </w:rPr>
        <w:t xml:space="preserve"> and the </w:t>
      </w:r>
      <w:r w:rsidR="00B04284">
        <w:rPr>
          <w:rFonts w:cs="Times New Roman"/>
          <w:szCs w:val="24"/>
          <w:lang w:val="en-GB"/>
        </w:rPr>
        <w:t>National Employment Service</w:t>
      </w:r>
      <w:r w:rsidRPr="005B5F57">
        <w:rPr>
          <w:rFonts w:cs="Times New Roman"/>
          <w:szCs w:val="24"/>
          <w:lang w:val="en-GB"/>
        </w:rPr>
        <w:t>.</w:t>
      </w:r>
      <w:r w:rsidR="00EF6050">
        <w:rPr>
          <w:rFonts w:cs="Times New Roman"/>
          <w:szCs w:val="24"/>
          <w:lang w:val="en-GB"/>
        </w:rPr>
        <w:t xml:space="preserve"> </w:t>
      </w:r>
    </w:p>
    <w:p w:rsidR="001C5C75" w:rsidRPr="005B5F57" w:rsidRDefault="001C5C75" w:rsidP="001C5C75">
      <w:pPr>
        <w:rPr>
          <w:rFonts w:cs="Times New Roman"/>
          <w:szCs w:val="24"/>
          <w:lang w:val="en-GB"/>
        </w:rPr>
      </w:pPr>
      <w:r w:rsidRPr="005B5F57">
        <w:rPr>
          <w:rFonts w:cs="Times New Roman"/>
          <w:szCs w:val="24"/>
          <w:lang w:val="en-GB"/>
        </w:rPr>
        <w:t xml:space="preserve">At present a </w:t>
      </w:r>
      <w:r w:rsidRPr="005B5F57">
        <w:rPr>
          <w:rFonts w:cs="Times New Roman"/>
          <w:b/>
          <w:szCs w:val="24"/>
          <w:lang w:val="en-GB"/>
        </w:rPr>
        <w:t>series of EU funded programs are under implementation</w:t>
      </w:r>
      <w:r w:rsidRPr="005B5F57">
        <w:rPr>
          <w:rFonts w:cs="Times New Roman"/>
          <w:szCs w:val="24"/>
          <w:lang w:val="en-GB"/>
        </w:rPr>
        <w:t xml:space="preserve">. These include but are not limited to: </w:t>
      </w:r>
    </w:p>
    <w:p w:rsidR="001C5C75" w:rsidRDefault="001C5C75" w:rsidP="00351681">
      <w:pPr>
        <w:pStyle w:val="ListParagraph"/>
        <w:numPr>
          <w:ilvl w:val="0"/>
          <w:numId w:val="8"/>
        </w:numPr>
        <w:rPr>
          <w:rFonts w:cs="Times New Roman"/>
          <w:szCs w:val="24"/>
          <w:lang w:val="en-GB"/>
        </w:rPr>
      </w:pPr>
      <w:r w:rsidRPr="00B0057D">
        <w:rPr>
          <w:rFonts w:cs="Times New Roman"/>
          <w:i/>
          <w:szCs w:val="24"/>
          <w:lang w:val="en-GB"/>
        </w:rPr>
        <w:t xml:space="preserve">“Support to Civil Society” </w:t>
      </w:r>
      <w:r w:rsidRPr="005B5F57">
        <w:rPr>
          <w:rFonts w:cs="Times New Roman"/>
          <w:szCs w:val="24"/>
          <w:lang w:val="en-GB"/>
        </w:rPr>
        <w:t xml:space="preserve">is an EU funded program with EUR 4 million for grants to civil society organizations. A total of 48 projects are being implemented in the period 2011-2012. </w:t>
      </w:r>
      <w:r>
        <w:rPr>
          <w:rFonts w:cs="Times New Roman"/>
          <w:szCs w:val="24"/>
          <w:lang w:val="en-GB"/>
        </w:rPr>
        <w:t>A next</w:t>
      </w:r>
      <w:r w:rsidRPr="005B5F57">
        <w:rPr>
          <w:rFonts w:cs="Times New Roman"/>
          <w:szCs w:val="24"/>
          <w:lang w:val="en-GB"/>
        </w:rPr>
        <w:t xml:space="preserve"> round of project</w:t>
      </w:r>
      <w:r>
        <w:rPr>
          <w:rFonts w:cs="Times New Roman"/>
          <w:szCs w:val="24"/>
          <w:lang w:val="en-GB"/>
        </w:rPr>
        <w:t>s</w:t>
      </w:r>
      <w:r w:rsidRPr="005B5F57">
        <w:rPr>
          <w:rFonts w:cs="Times New Roman"/>
          <w:szCs w:val="24"/>
          <w:lang w:val="en-GB"/>
        </w:rPr>
        <w:t xml:space="preserve"> will be selected for financing by the end of 2012. </w:t>
      </w:r>
    </w:p>
    <w:p w:rsidR="001C5C75" w:rsidRDefault="001C5C75" w:rsidP="00351681">
      <w:pPr>
        <w:pStyle w:val="ListParagraph"/>
        <w:numPr>
          <w:ilvl w:val="0"/>
          <w:numId w:val="8"/>
        </w:numPr>
        <w:rPr>
          <w:rFonts w:cs="Times New Roman"/>
          <w:szCs w:val="24"/>
          <w:lang w:val="en-GB"/>
        </w:rPr>
      </w:pPr>
      <w:r w:rsidRPr="00B04284">
        <w:rPr>
          <w:rFonts w:cs="Times New Roman"/>
          <w:i/>
          <w:szCs w:val="24"/>
          <w:lang w:val="en-GB"/>
        </w:rPr>
        <w:t>“Supporting Access to Rights, Employment and Livelihood Enhancement of Refugees and IDPs in Serbia”</w:t>
      </w:r>
      <w:r w:rsidRPr="00B04284">
        <w:rPr>
          <w:rFonts w:cs="Times New Roman"/>
          <w:szCs w:val="24"/>
          <w:lang w:val="en-GB"/>
        </w:rPr>
        <w:t xml:space="preserve"> is and EU funded project implemented by the Ministry of Labour</w:t>
      </w:r>
      <w:r w:rsidR="00982B80">
        <w:rPr>
          <w:rFonts w:cs="Times New Roman"/>
          <w:szCs w:val="24"/>
          <w:lang w:val="en-GB"/>
        </w:rPr>
        <w:t>, Employment</w:t>
      </w:r>
      <w:r w:rsidRPr="00B04284">
        <w:rPr>
          <w:rFonts w:cs="Times New Roman"/>
          <w:szCs w:val="24"/>
          <w:lang w:val="en-GB"/>
        </w:rPr>
        <w:t xml:space="preserve"> and Social Policy. In 2012 a total of EUR 2.6 million was awarded to 25 local self-governments for projects improving social inclusion of refugees and internally displaced persons. </w:t>
      </w:r>
    </w:p>
    <w:p w:rsidR="001C5C75" w:rsidRPr="00F049FE" w:rsidRDefault="001C5C75" w:rsidP="00351681">
      <w:pPr>
        <w:pStyle w:val="ListParagraph"/>
        <w:numPr>
          <w:ilvl w:val="0"/>
          <w:numId w:val="8"/>
        </w:numPr>
        <w:rPr>
          <w:rFonts w:cs="Times New Roman"/>
          <w:szCs w:val="24"/>
          <w:lang w:val="en-GB"/>
        </w:rPr>
      </w:pPr>
      <w:r w:rsidRPr="00B04284">
        <w:rPr>
          <w:rFonts w:cs="Times New Roman"/>
          <w:i/>
          <w:szCs w:val="24"/>
        </w:rPr>
        <w:t xml:space="preserve">“Developing Community-based Services for Children with Disabilities and their </w:t>
      </w:r>
      <w:r w:rsidR="00982B80" w:rsidRPr="00B04284">
        <w:rPr>
          <w:rFonts w:cs="Times New Roman"/>
          <w:i/>
          <w:szCs w:val="24"/>
        </w:rPr>
        <w:t>Families“ is</w:t>
      </w:r>
      <w:r w:rsidRPr="00B04284">
        <w:rPr>
          <w:rFonts w:cs="Times New Roman"/>
          <w:szCs w:val="24"/>
        </w:rPr>
        <w:t xml:space="preserve"> a project implemented by UNICEF and Ministry of Labour</w:t>
      </w:r>
      <w:r w:rsidR="00982B80">
        <w:rPr>
          <w:rFonts w:cs="Times New Roman"/>
          <w:szCs w:val="24"/>
        </w:rPr>
        <w:t>, Employment</w:t>
      </w:r>
      <w:r w:rsidRPr="00B04284">
        <w:rPr>
          <w:rFonts w:cs="Times New Roman"/>
          <w:szCs w:val="24"/>
        </w:rPr>
        <w:t xml:space="preserve"> and Social Policy and financed by the EU. Various local social services are financed in 41 municipalities. </w:t>
      </w:r>
    </w:p>
    <w:p w:rsidR="001C5C75" w:rsidRDefault="001C5C75" w:rsidP="00351681">
      <w:pPr>
        <w:pStyle w:val="ListParagraph"/>
        <w:numPr>
          <w:ilvl w:val="0"/>
          <w:numId w:val="8"/>
        </w:numPr>
        <w:rPr>
          <w:rFonts w:cs="Times New Roman"/>
          <w:szCs w:val="24"/>
          <w:lang w:val="en-GB"/>
        </w:rPr>
      </w:pPr>
      <w:r w:rsidRPr="00F049FE">
        <w:rPr>
          <w:rFonts w:cs="Times New Roman"/>
          <w:i/>
          <w:szCs w:val="24"/>
          <w:lang w:val="en-GB"/>
        </w:rPr>
        <w:t>“Second Chance”</w:t>
      </w:r>
      <w:r w:rsidRPr="001C5C75">
        <w:rPr>
          <w:rFonts w:cs="Times New Roman"/>
          <w:szCs w:val="24"/>
          <w:lang w:val="en-GB"/>
        </w:rPr>
        <w:t xml:space="preserve"> is a EUR 4 million project funded by the EU. It provides adult education programs in 80 elementary schools throughout Serbia. The project will result in training packages and will provide training to a total of 4000 beneficiaries.</w:t>
      </w:r>
    </w:p>
    <w:p w:rsidR="00982B80" w:rsidRPr="00A1564D" w:rsidRDefault="001C5C75" w:rsidP="00982B80">
      <w:pPr>
        <w:tabs>
          <w:tab w:val="left" w:pos="6615"/>
        </w:tabs>
        <w:rPr>
          <w:rFonts w:ascii="Arial" w:hAnsi="Arial" w:cs="Arial"/>
          <w:szCs w:val="24"/>
          <w:lang w:val="en-GB"/>
        </w:rPr>
      </w:pPr>
      <w:r>
        <w:rPr>
          <w:rFonts w:cs="Times New Roman"/>
          <w:szCs w:val="24"/>
          <w:lang w:val="en-GB"/>
        </w:rPr>
        <w:t xml:space="preserve">Finally, it should be underlined that social inclusion measures are financed also through bilateral donors’ funds. For example, </w:t>
      </w:r>
      <w:r w:rsidR="001368A9">
        <w:rPr>
          <w:rFonts w:cs="Times New Roman"/>
          <w:szCs w:val="24"/>
          <w:lang w:val="en-GB"/>
        </w:rPr>
        <w:t xml:space="preserve">Italian Cooperation – Development Department supported the implementation of the following projects: </w:t>
      </w:r>
      <w:r w:rsidR="00982B80" w:rsidRPr="00982B80">
        <w:rPr>
          <w:rFonts w:cs="Times New Roman"/>
          <w:szCs w:val="24"/>
          <w:lang w:val="en-GB"/>
        </w:rPr>
        <w:t>“Support to the de-institutionalization of children, in particular those with disabilities, in the Republic of Serbia”, “Institutional strengthening for the decentralization of social services, protection of the rights of the child and harmonization of the legislation with EU standards” and “Youth Employment Partnership in Serbia”.</w:t>
      </w:r>
      <w:r w:rsidR="00982B80" w:rsidRPr="00A1564D">
        <w:rPr>
          <w:rFonts w:ascii="Arial" w:hAnsi="Arial" w:cs="Arial"/>
          <w:szCs w:val="24"/>
          <w:lang w:val="en-GB"/>
        </w:rPr>
        <w:t xml:space="preserve"> </w:t>
      </w:r>
    </w:p>
    <w:p w:rsidR="001368A9" w:rsidRDefault="001368A9" w:rsidP="001C5C75">
      <w:pPr>
        <w:rPr>
          <w:rFonts w:cs="Times New Roman"/>
          <w:szCs w:val="24"/>
          <w:lang w:val="en-GB"/>
        </w:rPr>
      </w:pPr>
    </w:p>
    <w:p w:rsidR="001368A9" w:rsidRDefault="001368A9">
      <w:pPr>
        <w:spacing w:before="0" w:after="200"/>
        <w:jc w:val="left"/>
        <w:rPr>
          <w:rFonts w:cs="Times New Roman"/>
          <w:szCs w:val="24"/>
          <w:lang w:val="en-GB"/>
        </w:rPr>
      </w:pPr>
      <w:r>
        <w:rPr>
          <w:rFonts w:cs="Times New Roman"/>
          <w:szCs w:val="24"/>
          <w:lang w:val="en-GB"/>
        </w:rPr>
        <w:br w:type="page"/>
      </w:r>
    </w:p>
    <w:p w:rsidR="00DB2113" w:rsidRPr="00182D71" w:rsidRDefault="00F14CA0" w:rsidP="00182D71">
      <w:pPr>
        <w:pStyle w:val="Heading1"/>
      </w:pPr>
      <w:bookmarkStart w:id="15" w:name="_Toc353200762"/>
      <w:r w:rsidRPr="00182D71">
        <w:t>M</w:t>
      </w:r>
      <w:r w:rsidR="00DB2113" w:rsidRPr="00182D71">
        <w:t>anagement of EU Funds and Key Challenges</w:t>
      </w:r>
      <w:bookmarkEnd w:id="15"/>
    </w:p>
    <w:p w:rsidR="00DB2113" w:rsidRPr="00182D71" w:rsidRDefault="001368A9" w:rsidP="00182D71">
      <w:pPr>
        <w:pStyle w:val="Heading2"/>
      </w:pPr>
      <w:bookmarkStart w:id="16" w:name="_Toc353200763"/>
      <w:r w:rsidRPr="00182D71">
        <w:t>3</w:t>
      </w:r>
      <w:r w:rsidR="00DB2113" w:rsidRPr="00182D71">
        <w:t>.1. EU Framework</w:t>
      </w:r>
      <w:bookmarkEnd w:id="16"/>
      <w:r w:rsidR="00DB2113" w:rsidRPr="00182D71">
        <w:t xml:space="preserve"> </w:t>
      </w:r>
    </w:p>
    <w:p w:rsidR="00DB2113" w:rsidRPr="00182D71" w:rsidRDefault="001368A9" w:rsidP="00182D71">
      <w:pPr>
        <w:pStyle w:val="Heading3"/>
      </w:pPr>
      <w:bookmarkStart w:id="17" w:name="_Toc353200764"/>
      <w:r w:rsidRPr="00182D71">
        <w:t>3</w:t>
      </w:r>
      <w:r w:rsidR="00DB2113" w:rsidRPr="00182D71">
        <w:t xml:space="preserve">.1.1. European Social Fund (ESF) and other EU funds and </w:t>
      </w:r>
      <w:r w:rsidR="00182D71" w:rsidRPr="00182D71">
        <w:t>Programmes</w:t>
      </w:r>
      <w:bookmarkEnd w:id="17"/>
    </w:p>
    <w:p w:rsidR="00DB2113" w:rsidRPr="00FA2F9B" w:rsidRDefault="00DB2113" w:rsidP="00DB2113">
      <w:pPr>
        <w:rPr>
          <w:lang w:val="en-GB"/>
        </w:rPr>
      </w:pPr>
      <w:r w:rsidRPr="00FA2F9B">
        <w:rPr>
          <w:lang w:val="en-GB"/>
        </w:rPr>
        <w:t xml:space="preserve">In addition to the identified needs to step up the efforts </w:t>
      </w:r>
      <w:r w:rsidR="00045050">
        <w:rPr>
          <w:lang w:val="en-GB"/>
        </w:rPr>
        <w:t xml:space="preserve">financed from the national budget </w:t>
      </w:r>
      <w:r w:rsidRPr="00FA2F9B">
        <w:rPr>
          <w:lang w:val="en-GB"/>
        </w:rPr>
        <w:t xml:space="preserve">to promote social inclusion and reduce poverty, this Study </w:t>
      </w:r>
      <w:r w:rsidR="00182D71">
        <w:rPr>
          <w:lang w:val="en-GB"/>
        </w:rPr>
        <w:t xml:space="preserve">also </w:t>
      </w:r>
      <w:r w:rsidRPr="00FA2F9B">
        <w:rPr>
          <w:lang w:val="en-GB"/>
        </w:rPr>
        <w:t xml:space="preserve">addresses </w:t>
      </w:r>
      <w:r w:rsidR="00182D71">
        <w:rPr>
          <w:lang w:val="en-GB"/>
        </w:rPr>
        <w:t>the</w:t>
      </w:r>
      <w:r w:rsidRPr="00FA2F9B">
        <w:rPr>
          <w:lang w:val="en-GB"/>
        </w:rPr>
        <w:t xml:space="preserve"> framework for utilisation of EU funds under </w:t>
      </w:r>
      <w:r w:rsidR="00182D71">
        <w:rPr>
          <w:lang w:val="en-GB"/>
        </w:rPr>
        <w:t xml:space="preserve">pre-accession assistance, and </w:t>
      </w:r>
      <w:r w:rsidRPr="00FA2F9B">
        <w:rPr>
          <w:lang w:val="en-GB"/>
        </w:rPr>
        <w:t>for setting the ground for future absorption of structural funds</w:t>
      </w:r>
      <w:r w:rsidRPr="00FA2F9B">
        <w:rPr>
          <w:b/>
          <w:lang w:val="en-GB"/>
        </w:rPr>
        <w:t>.</w:t>
      </w:r>
      <w:r w:rsidRPr="00FA2F9B">
        <w:rPr>
          <w:lang w:val="en-GB"/>
        </w:rPr>
        <w:t xml:space="preserve"> The importance of</w:t>
      </w:r>
      <w:r w:rsidR="00182D71">
        <w:rPr>
          <w:lang w:val="en-GB"/>
        </w:rPr>
        <w:t xml:space="preserve"> a</w:t>
      </w:r>
      <w:r w:rsidRPr="00FA2F9B">
        <w:rPr>
          <w:lang w:val="en-GB"/>
        </w:rPr>
        <w:t xml:space="preserve"> timely </w:t>
      </w:r>
      <w:r w:rsidR="00182D71">
        <w:rPr>
          <w:lang w:val="en-GB"/>
        </w:rPr>
        <w:t>setup</w:t>
      </w:r>
      <w:r w:rsidRPr="00FA2F9B">
        <w:rPr>
          <w:lang w:val="en-GB"/>
        </w:rPr>
        <w:t xml:space="preserve"> of adequate capacities is </w:t>
      </w:r>
      <w:r w:rsidR="00182D71">
        <w:rPr>
          <w:lang w:val="en-GB"/>
        </w:rPr>
        <w:t>evidenced by</w:t>
      </w:r>
      <w:r w:rsidRPr="00FA2F9B">
        <w:rPr>
          <w:lang w:val="en-GB"/>
        </w:rPr>
        <w:t xml:space="preserve"> a number of new Member States </w:t>
      </w:r>
      <w:r w:rsidR="00182D71">
        <w:rPr>
          <w:lang w:val="en-GB"/>
        </w:rPr>
        <w:t>which</w:t>
      </w:r>
      <w:r w:rsidRPr="00FA2F9B">
        <w:rPr>
          <w:lang w:val="en-GB"/>
        </w:rPr>
        <w:t xml:space="preserve"> have failed to absorb available funds due to poorly organised systems and absence of </w:t>
      </w:r>
      <w:r w:rsidR="00182D71">
        <w:rPr>
          <w:lang w:val="en-GB"/>
        </w:rPr>
        <w:t>firm</w:t>
      </w:r>
      <w:r w:rsidRPr="00FA2F9B">
        <w:rPr>
          <w:lang w:val="en-GB"/>
        </w:rPr>
        <w:t xml:space="preserve"> institutional arrangements.</w:t>
      </w:r>
    </w:p>
    <w:p w:rsidR="00DB2113" w:rsidRPr="00B26241" w:rsidRDefault="00DB2113" w:rsidP="00F049FE">
      <w:pPr>
        <w:rPr>
          <w:lang w:val="en-GB" w:eastAsia="en-GB"/>
        </w:rPr>
      </w:pPr>
      <w:r w:rsidRPr="00B26241">
        <w:rPr>
          <w:lang w:val="en-GB"/>
        </w:rPr>
        <w:t xml:space="preserve">Social cohesion is one of the key goals of the EU and a major element in the </w:t>
      </w:r>
      <w:r>
        <w:rPr>
          <w:lang w:val="en-GB"/>
        </w:rPr>
        <w:t xml:space="preserve">set of </w:t>
      </w:r>
      <w:r w:rsidRPr="00B26241">
        <w:rPr>
          <w:lang w:val="en-GB"/>
        </w:rPr>
        <w:t xml:space="preserve">European values. The </w:t>
      </w:r>
      <w:r>
        <w:rPr>
          <w:lang w:val="en-GB"/>
        </w:rPr>
        <w:t>key</w:t>
      </w:r>
      <w:r w:rsidRPr="00B26241">
        <w:rPr>
          <w:lang w:val="en-GB"/>
        </w:rPr>
        <w:t xml:space="preserve"> financial instrument for achieving </w:t>
      </w:r>
      <w:r>
        <w:rPr>
          <w:lang w:val="en-GB"/>
        </w:rPr>
        <w:t xml:space="preserve">the </w:t>
      </w:r>
      <w:r w:rsidRPr="00B26241">
        <w:rPr>
          <w:lang w:val="en-GB"/>
        </w:rPr>
        <w:t xml:space="preserve">objectives </w:t>
      </w:r>
      <w:r>
        <w:rPr>
          <w:lang w:val="en-GB"/>
        </w:rPr>
        <w:t xml:space="preserve">related to </w:t>
      </w:r>
      <w:r w:rsidRPr="00B26241">
        <w:rPr>
          <w:lang w:val="en-GB"/>
        </w:rPr>
        <w:t xml:space="preserve">social cohesion </w:t>
      </w:r>
      <w:r>
        <w:rPr>
          <w:lang w:val="en-GB"/>
        </w:rPr>
        <w:t>at</w:t>
      </w:r>
      <w:r w:rsidRPr="00B26241">
        <w:rPr>
          <w:lang w:val="en-GB"/>
        </w:rPr>
        <w:t xml:space="preserve"> the EU level is the</w:t>
      </w:r>
      <w:r w:rsidRPr="00B26241">
        <w:rPr>
          <w:lang w:val="en-GB" w:eastAsia="en-GB"/>
        </w:rPr>
        <w:t xml:space="preserve"> European Social Fund (ESF)</w:t>
      </w:r>
      <w:r w:rsidRPr="00B26241">
        <w:rPr>
          <w:rStyle w:val="FootnoteReference"/>
          <w:szCs w:val="24"/>
          <w:lang w:val="en-GB" w:eastAsia="en-GB"/>
        </w:rPr>
        <w:footnoteReference w:id="19"/>
      </w:r>
      <w:r w:rsidRPr="00B26241">
        <w:rPr>
          <w:lang w:val="en-GB" w:eastAsia="en-GB"/>
        </w:rPr>
        <w:t xml:space="preserve">. </w:t>
      </w:r>
      <w:r w:rsidRPr="00B26241">
        <w:rPr>
          <w:lang w:val="en-GB"/>
        </w:rPr>
        <w:t>Although the ESF was originally set up to promote employment,</w:t>
      </w:r>
      <w:r w:rsidRPr="00B26241">
        <w:rPr>
          <w:lang w:val="en-GB" w:eastAsia="en-GB"/>
        </w:rPr>
        <w:t xml:space="preserve"> </w:t>
      </w:r>
      <w:r w:rsidRPr="00B26241">
        <w:rPr>
          <w:lang w:val="en-GB"/>
        </w:rPr>
        <w:t xml:space="preserve">it has evolved into a highly effective tool for reducing the risk of poverty and social exclusion. It </w:t>
      </w:r>
      <w:r w:rsidRPr="00B26241">
        <w:rPr>
          <w:lang w:val="en-GB" w:eastAsia="en-GB"/>
        </w:rPr>
        <w:t>supports sustainable integration of the disadvantaged and people with disabilities into the workforce. </w:t>
      </w:r>
    </w:p>
    <w:p w:rsidR="00DB2113" w:rsidRPr="00B26241" w:rsidRDefault="00DB2113" w:rsidP="00DB2113">
      <w:pPr>
        <w:autoSpaceDE w:val="0"/>
        <w:autoSpaceDN w:val="0"/>
        <w:adjustRightInd w:val="0"/>
        <w:spacing w:after="0" w:line="240" w:lineRule="auto"/>
        <w:rPr>
          <w:szCs w:val="24"/>
          <w:lang w:val="en-GB"/>
        </w:rPr>
      </w:pPr>
      <w:r w:rsidRPr="00B26241">
        <w:rPr>
          <w:szCs w:val="24"/>
          <w:lang w:val="en-GB"/>
        </w:rPr>
        <w:t>Some 18% of the ESF’s budget of more than €10 billion a year</w:t>
      </w:r>
      <w:r w:rsidRPr="00B26241">
        <w:rPr>
          <w:rStyle w:val="FootnoteReference"/>
          <w:szCs w:val="24"/>
          <w:lang w:val="en-GB"/>
        </w:rPr>
        <w:footnoteReference w:id="20"/>
      </w:r>
      <w:r w:rsidRPr="00B26241">
        <w:rPr>
          <w:szCs w:val="24"/>
          <w:lang w:val="en-GB"/>
        </w:rPr>
        <w:t xml:space="preserve"> is earmarked for projects that combat social exclusion: helping migrants into the workforce, integrating disadvantaged people and improving equal access to employment.</w:t>
      </w:r>
    </w:p>
    <w:p w:rsidR="00DB2113" w:rsidRPr="00B26241" w:rsidRDefault="00DB2113" w:rsidP="00DB2113">
      <w:pPr>
        <w:autoSpaceDE w:val="0"/>
        <w:autoSpaceDN w:val="0"/>
        <w:adjustRightInd w:val="0"/>
        <w:spacing w:after="0" w:line="240" w:lineRule="auto"/>
        <w:jc w:val="center"/>
        <w:rPr>
          <w:szCs w:val="24"/>
          <w:lang w:val="en-GB"/>
        </w:rPr>
      </w:pPr>
      <w:r>
        <w:rPr>
          <w:noProof/>
          <w:szCs w:val="24"/>
        </w:rPr>
        <w:drawing>
          <wp:inline distT="0" distB="0" distL="0" distR="0" wp14:anchorId="1C6E6A26" wp14:editId="52EAFCC9">
            <wp:extent cx="5136612" cy="3274828"/>
            <wp:effectExtent l="0" t="0" r="698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1144" cy="3277717"/>
                    </a:xfrm>
                    <a:prstGeom prst="rect">
                      <a:avLst/>
                    </a:prstGeom>
                    <a:noFill/>
                    <a:ln>
                      <a:noFill/>
                    </a:ln>
                  </pic:spPr>
                </pic:pic>
              </a:graphicData>
            </a:graphic>
          </wp:inline>
        </w:drawing>
      </w:r>
    </w:p>
    <w:p w:rsidR="00DB2113" w:rsidRPr="00182D71" w:rsidRDefault="00DB2113" w:rsidP="00DB2113">
      <w:pPr>
        <w:autoSpaceDE w:val="0"/>
        <w:autoSpaceDN w:val="0"/>
        <w:adjustRightInd w:val="0"/>
        <w:spacing w:after="0" w:line="240" w:lineRule="auto"/>
        <w:jc w:val="center"/>
        <w:rPr>
          <w:i/>
          <w:sz w:val="22"/>
          <w:lang w:val="en-GB"/>
        </w:rPr>
      </w:pPr>
      <w:r w:rsidRPr="00182D71">
        <w:rPr>
          <w:i/>
          <w:sz w:val="22"/>
          <w:lang w:val="en-GB"/>
        </w:rPr>
        <w:t>Graph 1:</w:t>
      </w:r>
      <w:r w:rsidRPr="00182D71">
        <w:rPr>
          <w:bCs/>
          <w:i/>
          <w:sz w:val="22"/>
          <w:lang w:val="en-GB"/>
        </w:rPr>
        <w:t xml:space="preserve"> Spending on Social Inclusion as a % of total spending of ESF</w:t>
      </w:r>
      <w:r w:rsidRPr="00182D71">
        <w:rPr>
          <w:rStyle w:val="FootnoteReference"/>
          <w:bCs/>
          <w:i/>
          <w:sz w:val="22"/>
          <w:lang w:val="en-GB"/>
        </w:rPr>
        <w:footnoteReference w:id="21"/>
      </w:r>
    </w:p>
    <w:p w:rsidR="00DB2113" w:rsidRPr="00B26241" w:rsidRDefault="00DB2113" w:rsidP="00DB2113">
      <w:pPr>
        <w:autoSpaceDE w:val="0"/>
        <w:autoSpaceDN w:val="0"/>
        <w:adjustRightInd w:val="0"/>
        <w:spacing w:after="0" w:line="240" w:lineRule="auto"/>
        <w:rPr>
          <w:szCs w:val="24"/>
          <w:lang w:val="en-GB"/>
        </w:rPr>
      </w:pPr>
    </w:p>
    <w:p w:rsidR="00DB2113" w:rsidRPr="00B26241" w:rsidRDefault="00DB2113" w:rsidP="00DB2113">
      <w:pPr>
        <w:rPr>
          <w:szCs w:val="24"/>
          <w:lang w:val="en-GB"/>
        </w:rPr>
      </w:pPr>
      <w:r>
        <w:rPr>
          <w:szCs w:val="24"/>
          <w:lang w:val="en-GB"/>
        </w:rPr>
        <w:t>C</w:t>
      </w:r>
      <w:r w:rsidRPr="00B26241">
        <w:rPr>
          <w:szCs w:val="24"/>
          <w:lang w:val="en-GB"/>
        </w:rPr>
        <w:t>andidate countries prepar</w:t>
      </w:r>
      <w:r>
        <w:rPr>
          <w:szCs w:val="24"/>
          <w:lang w:val="en-GB"/>
        </w:rPr>
        <w:t>e</w:t>
      </w:r>
      <w:r w:rsidRPr="00B26241">
        <w:rPr>
          <w:szCs w:val="24"/>
          <w:lang w:val="en-GB"/>
        </w:rPr>
        <w:t xml:space="preserve"> for future programming, management and implementation of the ESF and other EU Structural Funds</w:t>
      </w:r>
      <w:r>
        <w:rPr>
          <w:szCs w:val="24"/>
          <w:lang w:val="en-GB"/>
        </w:rPr>
        <w:t xml:space="preserve"> th</w:t>
      </w:r>
      <w:r w:rsidRPr="00B26241">
        <w:rPr>
          <w:szCs w:val="24"/>
          <w:lang w:val="en-GB"/>
        </w:rPr>
        <w:t>rough pre-accession assistance, namely IPA Component IV (Human Resource Development). I</w:t>
      </w:r>
      <w:r>
        <w:rPr>
          <w:szCs w:val="24"/>
          <w:lang w:val="en-GB"/>
        </w:rPr>
        <w:t>PA Component IV</w:t>
      </w:r>
      <w:r w:rsidRPr="00B26241">
        <w:rPr>
          <w:szCs w:val="24"/>
          <w:lang w:val="en-GB"/>
        </w:rPr>
        <w:t xml:space="preserve"> provides funds to boost the quality of human resources within these countries. Based on the European Employment Strategy, it </w:t>
      </w:r>
      <w:r>
        <w:rPr>
          <w:szCs w:val="24"/>
          <w:lang w:val="en-GB"/>
        </w:rPr>
        <w:t xml:space="preserve">requires that they </w:t>
      </w:r>
      <w:r w:rsidRPr="00B26241">
        <w:rPr>
          <w:szCs w:val="24"/>
          <w:lang w:val="en-GB"/>
        </w:rPr>
        <w:t xml:space="preserve">focus their IPA-financed projects </w:t>
      </w:r>
      <w:r>
        <w:rPr>
          <w:szCs w:val="24"/>
          <w:lang w:val="en-GB"/>
        </w:rPr>
        <w:t>on the</w:t>
      </w:r>
      <w:r w:rsidRPr="00B26241">
        <w:rPr>
          <w:szCs w:val="24"/>
          <w:lang w:val="en-GB"/>
        </w:rPr>
        <w:t xml:space="preserve"> three major priorities:</w:t>
      </w:r>
    </w:p>
    <w:p w:rsidR="00DB2113" w:rsidRPr="00B26241" w:rsidRDefault="00DB2113" w:rsidP="00351681">
      <w:pPr>
        <w:pStyle w:val="ListParagraph"/>
        <w:numPr>
          <w:ilvl w:val="0"/>
          <w:numId w:val="24"/>
        </w:numPr>
        <w:rPr>
          <w:lang w:val="en-GB" w:eastAsia="en-GB"/>
        </w:rPr>
      </w:pPr>
      <w:r w:rsidRPr="00B26241">
        <w:rPr>
          <w:lang w:val="en-GB" w:eastAsia="en-GB"/>
        </w:rPr>
        <w:t xml:space="preserve">Attracting and retaining more people in </w:t>
      </w:r>
      <w:r w:rsidRPr="00B26241">
        <w:rPr>
          <w:bCs/>
          <w:lang w:val="en-GB" w:eastAsia="en-GB"/>
        </w:rPr>
        <w:t>employment</w:t>
      </w:r>
      <w:r w:rsidRPr="00B26241">
        <w:rPr>
          <w:lang w:val="en-GB" w:eastAsia="en-GB"/>
        </w:rPr>
        <w:t>;</w:t>
      </w:r>
    </w:p>
    <w:p w:rsidR="00DB2113" w:rsidRPr="00B26241" w:rsidRDefault="00DB2113" w:rsidP="00351681">
      <w:pPr>
        <w:pStyle w:val="ListParagraph"/>
        <w:numPr>
          <w:ilvl w:val="0"/>
          <w:numId w:val="24"/>
        </w:numPr>
        <w:rPr>
          <w:lang w:val="en-GB" w:eastAsia="en-GB"/>
        </w:rPr>
      </w:pPr>
      <w:r w:rsidRPr="00B26241">
        <w:rPr>
          <w:lang w:val="en-GB" w:eastAsia="en-GB"/>
        </w:rPr>
        <w:t xml:space="preserve">Improving the adaptability and flexibility of workers and enterprises through </w:t>
      </w:r>
      <w:r w:rsidRPr="00B26241">
        <w:rPr>
          <w:bCs/>
          <w:lang w:val="en-GB" w:eastAsia="en-GB"/>
        </w:rPr>
        <w:t>education</w:t>
      </w:r>
      <w:r w:rsidRPr="00B26241">
        <w:rPr>
          <w:lang w:val="en-GB" w:eastAsia="en-GB"/>
        </w:rPr>
        <w:t xml:space="preserve"> and</w:t>
      </w:r>
    </w:p>
    <w:p w:rsidR="00EF6050" w:rsidRDefault="00DB2113" w:rsidP="00351681">
      <w:pPr>
        <w:pStyle w:val="ListParagraph"/>
        <w:numPr>
          <w:ilvl w:val="0"/>
          <w:numId w:val="24"/>
        </w:numPr>
        <w:rPr>
          <w:lang w:val="en-GB" w:eastAsia="en-GB"/>
        </w:rPr>
      </w:pPr>
      <w:r w:rsidRPr="00B26241">
        <w:rPr>
          <w:lang w:val="en-GB" w:eastAsia="en-GB"/>
        </w:rPr>
        <w:t xml:space="preserve">Strengthening </w:t>
      </w:r>
      <w:r w:rsidRPr="00B26241">
        <w:rPr>
          <w:bCs/>
          <w:lang w:val="en-GB" w:eastAsia="en-GB"/>
        </w:rPr>
        <w:t>social inclusion</w:t>
      </w:r>
      <w:r w:rsidRPr="00B26241">
        <w:rPr>
          <w:lang w:val="en-GB" w:eastAsia="en-GB"/>
        </w:rPr>
        <w:t xml:space="preserve"> through the integration of disadvantaged people into the workforce.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2113" w:rsidRPr="00344384" w:rsidTr="00DB2113">
        <w:tc>
          <w:tcPr>
            <w:tcW w:w="9242" w:type="dxa"/>
          </w:tcPr>
          <w:p w:rsidR="00DB2113" w:rsidRPr="00344384" w:rsidRDefault="00DB2113" w:rsidP="00DB2113">
            <w:pPr>
              <w:autoSpaceDE w:val="0"/>
              <w:autoSpaceDN w:val="0"/>
              <w:adjustRightInd w:val="0"/>
              <w:rPr>
                <w:b/>
                <w:szCs w:val="24"/>
                <w:lang w:val="en-GB"/>
              </w:rPr>
            </w:pPr>
            <w:r w:rsidRPr="00344384">
              <w:rPr>
                <w:b/>
                <w:szCs w:val="24"/>
                <w:lang w:val="en-GB"/>
              </w:rPr>
              <w:t xml:space="preserve">Box </w:t>
            </w:r>
            <w:r w:rsidR="00AE1969">
              <w:rPr>
                <w:b/>
                <w:szCs w:val="24"/>
                <w:lang w:val="en-GB"/>
              </w:rPr>
              <w:t>2</w:t>
            </w:r>
            <w:r w:rsidRPr="00344384">
              <w:rPr>
                <w:b/>
                <w:szCs w:val="24"/>
                <w:lang w:val="en-GB"/>
              </w:rPr>
              <w:t xml:space="preserve">: </w:t>
            </w:r>
            <w:r w:rsidRPr="00B04284">
              <w:rPr>
                <w:b/>
                <w:szCs w:val="24"/>
                <w:u w:val="single"/>
                <w:lang w:val="en-GB"/>
              </w:rPr>
              <w:t>ESF under the new financial perspective 2014-2020</w:t>
            </w:r>
          </w:p>
          <w:p w:rsidR="00DB2113" w:rsidRPr="00344384" w:rsidRDefault="00DB2113" w:rsidP="00DB2113">
            <w:pPr>
              <w:rPr>
                <w:lang w:val="en-GB"/>
              </w:rPr>
            </w:pPr>
            <w:r w:rsidRPr="00344384">
              <w:rPr>
                <w:lang w:val="en-GB"/>
              </w:rPr>
              <w:t xml:space="preserve">On 6 October 2011, the Commission proposed the rules </w:t>
            </w:r>
            <w:r>
              <w:rPr>
                <w:lang w:val="en-GB"/>
              </w:rPr>
              <w:t>of functioning of</w:t>
            </w:r>
            <w:r w:rsidRPr="00344384">
              <w:rPr>
                <w:lang w:val="en-GB"/>
              </w:rPr>
              <w:t xml:space="preserve"> ESF in the</w:t>
            </w:r>
            <w:r>
              <w:rPr>
                <w:lang w:val="en-GB"/>
              </w:rPr>
              <w:t xml:space="preserve"> period</w:t>
            </w:r>
            <w:r w:rsidRPr="00344384">
              <w:rPr>
                <w:lang w:val="en-GB"/>
              </w:rPr>
              <w:t xml:space="preserve"> 2014-2020</w:t>
            </w:r>
            <w:r>
              <w:rPr>
                <w:lang w:val="en-GB"/>
              </w:rPr>
              <w:t>.</w:t>
            </w:r>
            <w:r w:rsidRPr="00344384">
              <w:rPr>
                <w:rStyle w:val="FootnoteReference"/>
                <w:bCs/>
                <w:szCs w:val="24"/>
                <w:lang w:val="en-GB"/>
              </w:rPr>
              <w:footnoteReference w:id="22"/>
            </w:r>
            <w:r w:rsidRPr="00344384">
              <w:rPr>
                <w:lang w:val="en-GB"/>
              </w:rPr>
              <w:t xml:space="preserve"> The proposal is part of an overall legislative package for the Union's future cohesion policy. </w:t>
            </w:r>
          </w:p>
          <w:p w:rsidR="00DB2113" w:rsidRPr="00344384" w:rsidRDefault="00DB2113" w:rsidP="00DB2113">
            <w:pPr>
              <w:rPr>
                <w:lang w:val="en-GB"/>
              </w:rPr>
            </w:pPr>
            <w:r w:rsidRPr="00344384">
              <w:rPr>
                <w:lang w:val="en-GB"/>
              </w:rPr>
              <w:t xml:space="preserve">The aim of the European Social Fund is to improve employment opportunities, promote education and life-long learning, enhance social inclusion, contribute to combating poverty and develop institutional capacity of public administration. </w:t>
            </w:r>
            <w:r>
              <w:rPr>
                <w:lang w:val="en-GB"/>
              </w:rPr>
              <w:t>The new proposal reinforces</w:t>
            </w:r>
            <w:r w:rsidRPr="00344384">
              <w:rPr>
                <w:lang w:val="en-GB"/>
              </w:rPr>
              <w:t xml:space="preserve"> the role of the ESF:</w:t>
            </w:r>
          </w:p>
          <w:p w:rsidR="00DB2113" w:rsidRPr="00344384" w:rsidRDefault="00D17F01" w:rsidP="00351681">
            <w:pPr>
              <w:pStyle w:val="ListParagraph"/>
              <w:numPr>
                <w:ilvl w:val="0"/>
                <w:numId w:val="9"/>
              </w:numPr>
              <w:autoSpaceDE w:val="0"/>
              <w:autoSpaceDN w:val="0"/>
              <w:adjustRightInd w:val="0"/>
              <w:rPr>
                <w:bCs/>
                <w:szCs w:val="24"/>
                <w:lang w:val="en-GB"/>
              </w:rPr>
            </w:pPr>
            <w:r>
              <w:rPr>
                <w:bCs/>
                <w:szCs w:val="24"/>
                <w:lang w:val="en-GB"/>
              </w:rPr>
              <w:t xml:space="preserve">Increase of the ESF budget to </w:t>
            </w:r>
            <w:r w:rsidR="00DB2113" w:rsidRPr="00344384">
              <w:rPr>
                <w:bCs/>
                <w:szCs w:val="24"/>
                <w:lang w:val="en-GB"/>
              </w:rPr>
              <w:t>€84 billion, compared to the current €75 billion;</w:t>
            </w:r>
          </w:p>
          <w:p w:rsidR="00DB2113" w:rsidRPr="00344384" w:rsidRDefault="00DB2113" w:rsidP="00351681">
            <w:pPr>
              <w:pStyle w:val="ListParagraph"/>
              <w:numPr>
                <w:ilvl w:val="0"/>
                <w:numId w:val="9"/>
              </w:numPr>
              <w:autoSpaceDE w:val="0"/>
              <w:autoSpaceDN w:val="0"/>
              <w:adjustRightInd w:val="0"/>
              <w:rPr>
                <w:bCs/>
                <w:szCs w:val="24"/>
                <w:lang w:val="en-GB"/>
              </w:rPr>
            </w:pPr>
            <w:r w:rsidRPr="00344384">
              <w:rPr>
                <w:bCs/>
                <w:szCs w:val="24"/>
                <w:lang w:val="en-GB"/>
              </w:rPr>
              <w:t xml:space="preserve">Member States will have to </w:t>
            </w:r>
            <w:r>
              <w:rPr>
                <w:bCs/>
                <w:szCs w:val="24"/>
                <w:lang w:val="en-GB"/>
              </w:rPr>
              <w:t>focus</w:t>
            </w:r>
            <w:r w:rsidRPr="00344384">
              <w:rPr>
                <w:bCs/>
                <w:szCs w:val="24"/>
                <w:lang w:val="en-GB"/>
              </w:rPr>
              <w:t xml:space="preserve"> the ESF on a limited number of objectives and investment priorities in line with the Europe 2020 Strategy, in order to increase impact and reach a critical mass; </w:t>
            </w:r>
          </w:p>
          <w:p w:rsidR="00DB2113" w:rsidRPr="00344384" w:rsidRDefault="00DB2113" w:rsidP="00351681">
            <w:pPr>
              <w:pStyle w:val="ListParagraph"/>
              <w:numPr>
                <w:ilvl w:val="0"/>
                <w:numId w:val="9"/>
              </w:numPr>
              <w:autoSpaceDE w:val="0"/>
              <w:autoSpaceDN w:val="0"/>
              <w:adjustRightInd w:val="0"/>
              <w:rPr>
                <w:bCs/>
                <w:szCs w:val="24"/>
                <w:lang w:val="en-GB"/>
              </w:rPr>
            </w:pPr>
            <w:r>
              <w:rPr>
                <w:bCs/>
                <w:szCs w:val="24"/>
                <w:u w:val="single"/>
                <w:lang w:val="en-GB"/>
              </w:rPr>
              <w:t>A</w:t>
            </w:r>
            <w:r w:rsidRPr="00344384">
              <w:rPr>
                <w:bCs/>
                <w:szCs w:val="24"/>
                <w:u w:val="single"/>
                <w:lang w:val="en-GB"/>
              </w:rPr>
              <w:t xml:space="preserve"> minimum of 20% of the ESF will be dedicated to social inclusion actions</w:t>
            </w:r>
            <w:r w:rsidRPr="00344384">
              <w:rPr>
                <w:bCs/>
                <w:szCs w:val="24"/>
                <w:lang w:val="en-GB"/>
              </w:rPr>
              <w:t>;</w:t>
            </w:r>
          </w:p>
          <w:p w:rsidR="00DB2113" w:rsidRPr="00344384" w:rsidRDefault="00DB2113" w:rsidP="00351681">
            <w:pPr>
              <w:pStyle w:val="ListParagraph"/>
              <w:numPr>
                <w:ilvl w:val="0"/>
                <w:numId w:val="9"/>
              </w:numPr>
              <w:autoSpaceDE w:val="0"/>
              <w:autoSpaceDN w:val="0"/>
              <w:adjustRightInd w:val="0"/>
              <w:rPr>
                <w:bCs/>
                <w:szCs w:val="24"/>
                <w:lang w:val="en-GB"/>
              </w:rPr>
            </w:pPr>
            <w:r>
              <w:rPr>
                <w:bCs/>
                <w:szCs w:val="24"/>
                <w:lang w:val="en-GB"/>
              </w:rPr>
              <w:t>G</w:t>
            </w:r>
            <w:r w:rsidRPr="00344384">
              <w:rPr>
                <w:bCs/>
                <w:szCs w:val="24"/>
                <w:lang w:val="en-GB"/>
              </w:rPr>
              <w:t xml:space="preserve">reater emphasis </w:t>
            </w:r>
            <w:r>
              <w:rPr>
                <w:bCs/>
                <w:szCs w:val="24"/>
                <w:lang w:val="en-GB"/>
              </w:rPr>
              <w:t>will be</w:t>
            </w:r>
            <w:r w:rsidRPr="00344384">
              <w:rPr>
                <w:bCs/>
                <w:szCs w:val="24"/>
                <w:lang w:val="en-GB"/>
              </w:rPr>
              <w:t xml:space="preserve"> placed on combating youth unemployment, promoting active and healthy ageing, and supporting the most disadvantaged groups and marginalised communities such as Roma;</w:t>
            </w:r>
          </w:p>
          <w:p w:rsidR="00DB2113" w:rsidRPr="00344384" w:rsidRDefault="00DB2113" w:rsidP="00351681">
            <w:pPr>
              <w:pStyle w:val="ListParagraph"/>
              <w:numPr>
                <w:ilvl w:val="0"/>
                <w:numId w:val="9"/>
              </w:numPr>
              <w:autoSpaceDE w:val="0"/>
              <w:autoSpaceDN w:val="0"/>
              <w:adjustRightInd w:val="0"/>
              <w:rPr>
                <w:bCs/>
                <w:szCs w:val="24"/>
                <w:lang w:val="en-GB"/>
              </w:rPr>
            </w:pPr>
            <w:r>
              <w:rPr>
                <w:bCs/>
                <w:szCs w:val="24"/>
                <w:lang w:val="en-GB"/>
              </w:rPr>
              <w:t>G</w:t>
            </w:r>
            <w:r w:rsidRPr="00344384">
              <w:rPr>
                <w:bCs/>
                <w:szCs w:val="24"/>
                <w:lang w:val="en-GB"/>
              </w:rPr>
              <w:t xml:space="preserve">reater support will be provided </w:t>
            </w:r>
            <w:r>
              <w:rPr>
                <w:bCs/>
                <w:szCs w:val="24"/>
                <w:lang w:val="en-GB"/>
              </w:rPr>
              <w:t>for</w:t>
            </w:r>
            <w:r w:rsidRPr="00344384">
              <w:rPr>
                <w:bCs/>
                <w:szCs w:val="24"/>
                <w:lang w:val="en-GB"/>
              </w:rPr>
              <w:t xml:space="preserve"> social innovation, i.e. testing and scaling up innovative solutions to address social needs, for instance to support social inclusion</w:t>
            </w:r>
            <w:r w:rsidR="006419FF">
              <w:rPr>
                <w:bCs/>
                <w:szCs w:val="24"/>
                <w:lang w:val="sr-Cyrl-CS"/>
              </w:rPr>
              <w:t>.</w:t>
            </w:r>
          </w:p>
          <w:p w:rsidR="00DB2113" w:rsidRPr="00344384" w:rsidRDefault="00DB2113" w:rsidP="00FB7EFB">
            <w:pPr>
              <w:autoSpaceDE w:val="0"/>
              <w:autoSpaceDN w:val="0"/>
              <w:adjustRightInd w:val="0"/>
              <w:spacing w:after="0"/>
              <w:rPr>
                <w:szCs w:val="24"/>
                <w:lang w:val="en-GB"/>
              </w:rPr>
            </w:pPr>
            <w:r w:rsidRPr="00FA2F9B">
              <w:rPr>
                <w:i/>
                <w:sz w:val="22"/>
                <w:lang w:val="en-GB"/>
              </w:rPr>
              <w:t>Source: European Commission's DG for Employment, Social Affairs &amp; Inclusion: “What are t</w:t>
            </w:r>
            <w:r>
              <w:rPr>
                <w:i/>
                <w:sz w:val="22"/>
                <w:lang w:val="en-GB"/>
              </w:rPr>
              <w:t>he proposed changes for the ESF</w:t>
            </w:r>
            <w:r w:rsidRPr="00FA2F9B">
              <w:rPr>
                <w:i/>
                <w:sz w:val="22"/>
                <w:lang w:val="en-GB"/>
              </w:rPr>
              <w:t>”</w:t>
            </w:r>
            <w:r>
              <w:rPr>
                <w:i/>
                <w:sz w:val="22"/>
                <w:lang w:val="en-GB"/>
              </w:rPr>
              <w:t xml:space="preserve"> </w:t>
            </w:r>
            <w:hyperlink r:id="rId11" w:history="1">
              <w:r w:rsidRPr="00FA2F9B">
                <w:rPr>
                  <w:rStyle w:val="Hyperlink"/>
                  <w:i/>
                  <w:sz w:val="22"/>
                  <w:lang w:val="en-GB"/>
                </w:rPr>
                <w:t>http://ec.europa.eu/esf/main.jsp?catId=62&amp;langId=en</w:t>
              </w:r>
            </w:hyperlink>
            <w:r>
              <w:rPr>
                <w:i/>
                <w:szCs w:val="24"/>
                <w:lang w:val="en-GB"/>
              </w:rPr>
              <w:t xml:space="preserve"> </w:t>
            </w:r>
          </w:p>
        </w:tc>
      </w:tr>
    </w:tbl>
    <w:p w:rsidR="00DB2113" w:rsidRPr="00B26241" w:rsidRDefault="00DB2113" w:rsidP="00DB2113">
      <w:pPr>
        <w:autoSpaceDE w:val="0"/>
        <w:autoSpaceDN w:val="0"/>
        <w:adjustRightInd w:val="0"/>
        <w:spacing w:after="0" w:line="240" w:lineRule="auto"/>
        <w:rPr>
          <w:szCs w:val="24"/>
          <w:lang w:val="en-GB"/>
        </w:rPr>
      </w:pPr>
    </w:p>
    <w:p w:rsidR="00DB2113" w:rsidRPr="00B26241" w:rsidRDefault="00DB2113" w:rsidP="00DB2113">
      <w:pPr>
        <w:rPr>
          <w:lang w:val="en-GB"/>
        </w:rPr>
      </w:pPr>
      <w:r w:rsidRPr="00756719">
        <w:rPr>
          <w:lang w:val="en-GB"/>
        </w:rPr>
        <w:t xml:space="preserve">In addition to the </w:t>
      </w:r>
      <w:r w:rsidRPr="00756719">
        <w:rPr>
          <w:b/>
          <w:lang w:val="en-GB"/>
        </w:rPr>
        <w:t>European Social Fund</w:t>
      </w:r>
      <w:r w:rsidRPr="00756719">
        <w:rPr>
          <w:lang w:val="en-GB"/>
        </w:rPr>
        <w:t xml:space="preserve">, which is expected to make the largest financial contribution to investments in human resources from the EU budget, the EC proposed other instruments which will deliver on HRD objectives under the new </w:t>
      </w:r>
      <w:r>
        <w:t>Multi-annual Financial Framework (</w:t>
      </w:r>
      <w:r w:rsidRPr="00756719">
        <w:rPr>
          <w:lang w:val="en-GB"/>
        </w:rPr>
        <w:t>MFF</w:t>
      </w:r>
      <w:r>
        <w:rPr>
          <w:lang w:val="en-GB"/>
        </w:rPr>
        <w:t>)</w:t>
      </w:r>
      <w:r w:rsidR="00D17F01">
        <w:rPr>
          <w:lang w:val="en-GB"/>
        </w:rPr>
        <w:t xml:space="preserve">, such as </w:t>
      </w:r>
      <w:r w:rsidRPr="00B26241">
        <w:rPr>
          <w:lang w:val="en-GB"/>
        </w:rPr>
        <w:t xml:space="preserve">the new </w:t>
      </w:r>
      <w:r w:rsidRPr="00B26241">
        <w:rPr>
          <w:b/>
          <w:lang w:val="en-GB"/>
        </w:rPr>
        <w:t>EU Programme for Social Change and Innovation (PSCI)</w:t>
      </w:r>
      <w:r w:rsidR="00D17F01">
        <w:rPr>
          <w:b/>
          <w:lang w:val="en-GB"/>
        </w:rPr>
        <w:t>, which</w:t>
      </w:r>
      <w:r w:rsidRPr="00B26241">
        <w:rPr>
          <w:lang w:val="en-GB"/>
        </w:rPr>
        <w:t xml:space="preserve"> will be managed directly by the Commission by combining</w:t>
      </w:r>
      <w:r>
        <w:rPr>
          <w:lang w:val="en-GB"/>
        </w:rPr>
        <w:t xml:space="preserve"> the</w:t>
      </w:r>
      <w:r w:rsidRPr="00B26241">
        <w:rPr>
          <w:lang w:val="en-GB"/>
        </w:rPr>
        <w:t xml:space="preserve"> three existing programmes and extending their coverage: the Programme for Employment and Social Solidarity (Progress); European Employment Services (EURES); and the European Progress Microfinance Facility. The programme will support policy coordination, </w:t>
      </w:r>
      <w:r>
        <w:rPr>
          <w:lang w:val="en-GB"/>
        </w:rPr>
        <w:t xml:space="preserve">exchange </w:t>
      </w:r>
      <w:r w:rsidRPr="00B26241">
        <w:rPr>
          <w:lang w:val="en-GB"/>
        </w:rPr>
        <w:t>of best practices, capacity-building and testin</w:t>
      </w:r>
      <w:r>
        <w:rPr>
          <w:lang w:val="en-GB"/>
        </w:rPr>
        <w:t>g of innovative policies, with a view to up-scaling the</w:t>
      </w:r>
      <w:r w:rsidRPr="00B26241">
        <w:rPr>
          <w:lang w:val="en-GB"/>
        </w:rPr>
        <w:t xml:space="preserve"> most successful measures with </w:t>
      </w:r>
      <w:r>
        <w:rPr>
          <w:lang w:val="en-GB"/>
        </w:rPr>
        <w:t xml:space="preserve">ESF </w:t>
      </w:r>
      <w:r w:rsidRPr="00B26241">
        <w:rPr>
          <w:lang w:val="en-GB"/>
        </w:rPr>
        <w:t>support, thus contributing to the Europe 2020 Strategy. The proposed allocation is €850 million.</w:t>
      </w:r>
    </w:p>
    <w:p w:rsidR="00DB2113" w:rsidRPr="00E10D96" w:rsidRDefault="00DB2113" w:rsidP="00DB2113">
      <w:pPr>
        <w:autoSpaceDE w:val="0"/>
        <w:autoSpaceDN w:val="0"/>
        <w:adjustRightInd w:val="0"/>
        <w:spacing w:after="0"/>
        <w:rPr>
          <w:b/>
          <w:szCs w:val="24"/>
          <w:lang w:val="en-GB"/>
        </w:rPr>
      </w:pPr>
      <w:r w:rsidRPr="00E10D96">
        <w:rPr>
          <w:b/>
          <w:szCs w:val="24"/>
          <w:lang w:val="en-GB"/>
        </w:rPr>
        <w:t xml:space="preserve">Table </w:t>
      </w:r>
      <w:r w:rsidR="001368A9" w:rsidRPr="00E10D96">
        <w:rPr>
          <w:b/>
          <w:szCs w:val="24"/>
          <w:lang w:val="en-GB"/>
        </w:rPr>
        <w:t>2</w:t>
      </w:r>
      <w:r w:rsidRPr="00E10D96">
        <w:rPr>
          <w:b/>
          <w:szCs w:val="24"/>
          <w:lang w:val="en-GB"/>
        </w:rPr>
        <w:t>: Related Funds in the new EU financial Perspective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9"/>
        <w:gridCol w:w="3121"/>
      </w:tblGrid>
      <w:tr w:rsidR="00DB2113" w:rsidRPr="00344384" w:rsidTr="00DB2113">
        <w:trPr>
          <w:trHeight w:val="70"/>
          <w:jc w:val="center"/>
        </w:trPr>
        <w:tc>
          <w:tcPr>
            <w:tcW w:w="6059" w:type="dxa"/>
          </w:tcPr>
          <w:p w:rsidR="00DB2113" w:rsidRPr="009E0ED4" w:rsidRDefault="00DB2113" w:rsidP="00DB2113">
            <w:pPr>
              <w:pStyle w:val="Default"/>
              <w:jc w:val="center"/>
              <w:rPr>
                <w:rFonts w:ascii="Times New Roman" w:hAnsi="Times New Roman" w:cs="Times New Roman"/>
                <w:b/>
                <w:bCs/>
                <w:color w:val="auto"/>
                <w:lang w:val="en-GB"/>
              </w:rPr>
            </w:pPr>
            <w:r w:rsidRPr="00FA2F9B">
              <w:rPr>
                <w:rFonts w:ascii="Times New Roman" w:hAnsi="Times New Roman" w:cs="Times New Roman"/>
                <w:b/>
                <w:color w:val="auto"/>
                <w:lang w:val="en-GB"/>
              </w:rPr>
              <w:t>Instrument (in descending order of budget)</w:t>
            </w:r>
          </w:p>
        </w:tc>
        <w:tc>
          <w:tcPr>
            <w:tcW w:w="3121" w:type="dxa"/>
          </w:tcPr>
          <w:p w:rsidR="00DB2113" w:rsidRPr="009E0ED4" w:rsidRDefault="00DB2113" w:rsidP="00DB2113">
            <w:pPr>
              <w:pStyle w:val="Default"/>
              <w:jc w:val="center"/>
              <w:rPr>
                <w:rFonts w:ascii="Times New Roman" w:hAnsi="Times New Roman" w:cs="Times New Roman"/>
                <w:b/>
                <w:bCs/>
                <w:color w:val="auto"/>
                <w:lang w:val="en-GB"/>
              </w:rPr>
            </w:pPr>
            <w:r w:rsidRPr="00FA2F9B">
              <w:rPr>
                <w:rFonts w:ascii="Times New Roman" w:hAnsi="Times New Roman" w:cs="Times New Roman"/>
                <w:b/>
                <w:color w:val="auto"/>
                <w:lang w:val="en-GB"/>
              </w:rPr>
              <w:t>Proposed budget (constant prices)</w:t>
            </w:r>
          </w:p>
        </w:tc>
      </w:tr>
      <w:tr w:rsidR="00DB2113" w:rsidRPr="00344384" w:rsidTr="00DB2113">
        <w:trPr>
          <w:trHeight w:val="60"/>
          <w:jc w:val="center"/>
        </w:trPr>
        <w:tc>
          <w:tcPr>
            <w:tcW w:w="6059" w:type="dxa"/>
          </w:tcPr>
          <w:p w:rsidR="00DB2113" w:rsidRPr="00FA2F9B" w:rsidRDefault="00DB2113" w:rsidP="0047186A">
            <w:pPr>
              <w:pStyle w:val="Default"/>
              <w:rPr>
                <w:rFonts w:ascii="Times New Roman" w:hAnsi="Times New Roman" w:cs="Times New Roman"/>
                <w:bCs/>
                <w:color w:val="auto"/>
                <w:lang w:val="en-GB"/>
              </w:rPr>
            </w:pPr>
            <w:r w:rsidRPr="00FA2F9B">
              <w:rPr>
                <w:rFonts w:ascii="Times New Roman" w:hAnsi="Times New Roman" w:cs="Times New Roman"/>
                <w:bCs/>
                <w:color w:val="auto"/>
                <w:lang w:val="en-GB"/>
              </w:rPr>
              <w:t>European Social Fund (based on the 25/40/52 formula per category of regions)</w:t>
            </w:r>
          </w:p>
        </w:tc>
        <w:tc>
          <w:tcPr>
            <w:tcW w:w="3121" w:type="dxa"/>
          </w:tcPr>
          <w:p w:rsidR="00DB2113" w:rsidRPr="00344384" w:rsidRDefault="00DB2113" w:rsidP="00DB2113">
            <w:pPr>
              <w:pStyle w:val="Default"/>
              <w:jc w:val="center"/>
              <w:rPr>
                <w:rFonts w:ascii="Times New Roman" w:hAnsi="Times New Roman" w:cs="Times New Roman"/>
                <w:color w:val="auto"/>
                <w:lang w:val="en-GB"/>
              </w:rPr>
            </w:pPr>
            <w:r w:rsidRPr="00344384">
              <w:rPr>
                <w:rFonts w:ascii="Times New Roman" w:hAnsi="Times New Roman" w:cs="Times New Roman"/>
                <w:color w:val="auto"/>
                <w:lang w:val="en-GB"/>
              </w:rPr>
              <w:t xml:space="preserve">€84.0 billion </w:t>
            </w:r>
          </w:p>
        </w:tc>
      </w:tr>
      <w:tr w:rsidR="00DB2113" w:rsidRPr="00344384" w:rsidTr="00DB2113">
        <w:trPr>
          <w:trHeight w:val="60"/>
          <w:jc w:val="center"/>
        </w:trPr>
        <w:tc>
          <w:tcPr>
            <w:tcW w:w="6059" w:type="dxa"/>
          </w:tcPr>
          <w:p w:rsidR="00DB2113" w:rsidRPr="00FA2F9B" w:rsidRDefault="00AE1969" w:rsidP="00DB2113">
            <w:pPr>
              <w:pStyle w:val="Default"/>
              <w:jc w:val="both"/>
              <w:rPr>
                <w:rFonts w:ascii="Times New Roman" w:hAnsi="Times New Roman" w:cs="Times New Roman"/>
                <w:bCs/>
                <w:color w:val="auto"/>
                <w:lang w:val="en-GB"/>
              </w:rPr>
            </w:pPr>
            <w:r>
              <w:rPr>
                <w:rFonts w:ascii="Times New Roman" w:hAnsi="Times New Roman" w:cs="Times New Roman"/>
                <w:bCs/>
                <w:color w:val="auto"/>
                <w:lang w:val="en-GB"/>
              </w:rPr>
              <w:t>Programme for Social Change and Innovation</w:t>
            </w:r>
            <w:r w:rsidR="00DB2113" w:rsidRPr="00FA2F9B">
              <w:rPr>
                <w:rFonts w:ascii="Times New Roman" w:hAnsi="Times New Roman" w:cs="Times New Roman"/>
                <w:bCs/>
                <w:color w:val="auto"/>
                <w:lang w:val="en-GB"/>
              </w:rPr>
              <w:t xml:space="preserve"> </w:t>
            </w:r>
          </w:p>
        </w:tc>
        <w:tc>
          <w:tcPr>
            <w:tcW w:w="3121" w:type="dxa"/>
          </w:tcPr>
          <w:p w:rsidR="00DB2113" w:rsidRPr="00344384" w:rsidRDefault="00DB2113" w:rsidP="00DB2113">
            <w:pPr>
              <w:pStyle w:val="Default"/>
              <w:jc w:val="center"/>
              <w:rPr>
                <w:rFonts w:ascii="Times New Roman" w:hAnsi="Times New Roman" w:cs="Times New Roman"/>
                <w:color w:val="auto"/>
                <w:lang w:val="en-GB"/>
              </w:rPr>
            </w:pPr>
            <w:r w:rsidRPr="00344384">
              <w:rPr>
                <w:rFonts w:ascii="Times New Roman" w:hAnsi="Times New Roman" w:cs="Times New Roman"/>
                <w:color w:val="auto"/>
                <w:lang w:val="en-GB"/>
              </w:rPr>
              <w:t xml:space="preserve">€0.85 billion </w:t>
            </w:r>
          </w:p>
        </w:tc>
      </w:tr>
      <w:tr w:rsidR="00DB2113" w:rsidRPr="00344384" w:rsidTr="00DB2113">
        <w:trPr>
          <w:trHeight w:val="60"/>
          <w:jc w:val="center"/>
        </w:trPr>
        <w:tc>
          <w:tcPr>
            <w:tcW w:w="6059" w:type="dxa"/>
          </w:tcPr>
          <w:p w:rsidR="00DB2113" w:rsidRPr="00FA2F9B" w:rsidRDefault="00DB2113" w:rsidP="00DB2113">
            <w:pPr>
              <w:pStyle w:val="Default"/>
              <w:jc w:val="both"/>
              <w:rPr>
                <w:rFonts w:ascii="Times New Roman" w:hAnsi="Times New Roman" w:cs="Times New Roman"/>
                <w:bCs/>
                <w:color w:val="auto"/>
                <w:lang w:val="en-GB"/>
              </w:rPr>
            </w:pPr>
            <w:r w:rsidRPr="00FA2F9B">
              <w:rPr>
                <w:rFonts w:ascii="Times New Roman" w:hAnsi="Times New Roman" w:cs="Times New Roman"/>
                <w:bCs/>
                <w:color w:val="auto"/>
                <w:lang w:val="en-GB"/>
              </w:rPr>
              <w:t xml:space="preserve">Autonomous budget lines </w:t>
            </w:r>
          </w:p>
        </w:tc>
        <w:tc>
          <w:tcPr>
            <w:tcW w:w="3121" w:type="dxa"/>
          </w:tcPr>
          <w:p w:rsidR="00DB2113" w:rsidRPr="00344384" w:rsidRDefault="00DB2113" w:rsidP="00DB2113">
            <w:pPr>
              <w:pStyle w:val="Default"/>
              <w:jc w:val="center"/>
              <w:rPr>
                <w:rFonts w:ascii="Times New Roman" w:hAnsi="Times New Roman" w:cs="Times New Roman"/>
                <w:color w:val="auto"/>
                <w:lang w:val="en-GB"/>
              </w:rPr>
            </w:pPr>
            <w:r w:rsidRPr="00344384">
              <w:rPr>
                <w:rFonts w:ascii="Times New Roman" w:hAnsi="Times New Roman" w:cs="Times New Roman"/>
                <w:color w:val="auto"/>
                <w:lang w:val="en-GB"/>
              </w:rPr>
              <w:t xml:space="preserve">€0.4 billion </w:t>
            </w:r>
          </w:p>
        </w:tc>
      </w:tr>
    </w:tbl>
    <w:p w:rsidR="00DB2113" w:rsidRPr="00597853" w:rsidRDefault="001368A9" w:rsidP="00DB2113">
      <w:pPr>
        <w:pStyle w:val="Heading3"/>
        <w:rPr>
          <w:lang w:val="en-GB"/>
        </w:rPr>
      </w:pPr>
      <w:bookmarkStart w:id="18" w:name="_Toc353200765"/>
      <w:r>
        <w:rPr>
          <w:lang w:val="en-GB"/>
        </w:rPr>
        <w:t>3</w:t>
      </w:r>
      <w:r w:rsidR="00DB2113">
        <w:rPr>
          <w:lang w:val="en-GB"/>
        </w:rPr>
        <w:t xml:space="preserve">.1.2. </w:t>
      </w:r>
      <w:r w:rsidR="00DB2113" w:rsidRPr="00597853">
        <w:rPr>
          <w:lang w:val="en-GB"/>
        </w:rPr>
        <w:t xml:space="preserve">Instrument </w:t>
      </w:r>
      <w:r w:rsidR="00DB2113" w:rsidRPr="00FA2F9B">
        <w:t>for</w:t>
      </w:r>
      <w:r w:rsidR="00DB2113" w:rsidRPr="00597853">
        <w:rPr>
          <w:lang w:val="en-GB"/>
        </w:rPr>
        <w:t xml:space="preserve"> Pre-Accession Assistance (IPA)</w:t>
      </w:r>
      <w:bookmarkEnd w:id="18"/>
      <w:r w:rsidR="00DB2113" w:rsidRPr="00597853">
        <w:rPr>
          <w:lang w:val="en-GB"/>
        </w:rPr>
        <w:t xml:space="preserve"> </w:t>
      </w:r>
    </w:p>
    <w:p w:rsidR="00DB2113" w:rsidRPr="00FA2F9B" w:rsidRDefault="00DB2113" w:rsidP="00DB2113">
      <w:pPr>
        <w:rPr>
          <w:szCs w:val="24"/>
          <w:lang w:val="en-GB"/>
        </w:rPr>
      </w:pPr>
      <w:r w:rsidRPr="00FA2F9B">
        <w:rPr>
          <w:szCs w:val="24"/>
          <w:lang w:val="en-GB"/>
        </w:rPr>
        <w:t xml:space="preserve">While the EU membership, which will bring access to EU structural funds (including the ESF), is the ultimate objective, </w:t>
      </w:r>
      <w:r>
        <w:rPr>
          <w:szCs w:val="24"/>
          <w:lang w:val="en-GB"/>
        </w:rPr>
        <w:t xml:space="preserve">the Republic of </w:t>
      </w:r>
      <w:r w:rsidRPr="00FA2F9B">
        <w:rPr>
          <w:szCs w:val="24"/>
          <w:lang w:val="en-GB"/>
        </w:rPr>
        <w:t xml:space="preserve">Serbia – as a pre-accession country </w:t>
      </w:r>
      <w:r>
        <w:rPr>
          <w:szCs w:val="24"/>
          <w:lang w:val="en-GB"/>
        </w:rPr>
        <w:t xml:space="preserve">is benefiting </w:t>
      </w:r>
      <w:r w:rsidRPr="00FA2F9B">
        <w:rPr>
          <w:szCs w:val="24"/>
          <w:lang w:val="en-GB"/>
        </w:rPr>
        <w:t xml:space="preserve">from the EU funds under the </w:t>
      </w:r>
      <w:r>
        <w:rPr>
          <w:szCs w:val="24"/>
          <w:lang w:val="en-GB"/>
        </w:rPr>
        <w:t>framework of pre-accession assistance</w:t>
      </w:r>
      <w:r w:rsidRPr="00FA2F9B">
        <w:rPr>
          <w:szCs w:val="24"/>
          <w:lang w:val="en-GB"/>
        </w:rPr>
        <w:t xml:space="preserve">. Therefore, it is important to focus on the implementation of the social inclusion programmes in the context of the Instrument for Pre-accession Assistance (IPA). </w:t>
      </w:r>
    </w:p>
    <w:p w:rsidR="00DB2113" w:rsidRPr="00B26241" w:rsidRDefault="00DB2113" w:rsidP="00DB2113">
      <w:pPr>
        <w:rPr>
          <w:szCs w:val="24"/>
          <w:lang w:val="en-GB"/>
        </w:rPr>
      </w:pPr>
      <w:r w:rsidRPr="00B26241">
        <w:rPr>
          <w:szCs w:val="24"/>
          <w:lang w:val="en-GB"/>
        </w:rPr>
        <w:t>EU has re</w:t>
      </w:r>
      <w:r>
        <w:rPr>
          <w:szCs w:val="24"/>
          <w:lang w:val="en-GB"/>
        </w:rPr>
        <w:t>-</w:t>
      </w:r>
      <w:r w:rsidRPr="00B26241">
        <w:rPr>
          <w:szCs w:val="24"/>
          <w:lang w:val="en-GB"/>
        </w:rPr>
        <w:t>designed financial support to candidate and potential candidate countries, inclu</w:t>
      </w:r>
      <w:r>
        <w:rPr>
          <w:szCs w:val="24"/>
          <w:lang w:val="en-GB"/>
        </w:rPr>
        <w:t>ding Serbia</w:t>
      </w:r>
      <w:r>
        <w:rPr>
          <w:szCs w:val="24"/>
        </w:rPr>
        <w:t>,</w:t>
      </w:r>
      <w:r>
        <w:rPr>
          <w:szCs w:val="24"/>
          <w:lang w:val="en-GB"/>
        </w:rPr>
        <w:t xml:space="preserve"> since 2007, </w:t>
      </w:r>
      <w:r w:rsidRPr="00B26241">
        <w:rPr>
          <w:szCs w:val="24"/>
          <w:lang w:val="en-GB"/>
        </w:rPr>
        <w:t xml:space="preserve">most notably through the establishment of a single instrument replacing </w:t>
      </w:r>
      <w:r>
        <w:rPr>
          <w:szCs w:val="24"/>
          <w:lang w:val="en-GB"/>
        </w:rPr>
        <w:t xml:space="preserve">all the </w:t>
      </w:r>
      <w:r w:rsidRPr="00B26241">
        <w:rPr>
          <w:szCs w:val="24"/>
          <w:lang w:val="en-GB"/>
        </w:rPr>
        <w:t>previous ones</w:t>
      </w:r>
      <w:r>
        <w:rPr>
          <w:szCs w:val="24"/>
          <w:lang w:val="en-GB"/>
        </w:rPr>
        <w:t xml:space="preserve"> -</w:t>
      </w:r>
      <w:r w:rsidRPr="00B26241">
        <w:rPr>
          <w:szCs w:val="24"/>
          <w:lang w:val="en-GB"/>
        </w:rPr>
        <w:t xml:space="preserve"> the Instrument for Pre-Accession Assistance (IPA). T</w:t>
      </w:r>
      <w:r>
        <w:rPr>
          <w:szCs w:val="24"/>
          <w:lang w:val="en-GB"/>
        </w:rPr>
        <w:t xml:space="preserve">wo </w:t>
      </w:r>
      <w:r w:rsidRPr="00B26241">
        <w:rPr>
          <w:szCs w:val="24"/>
          <w:lang w:val="en-GB"/>
        </w:rPr>
        <w:t xml:space="preserve">main legal </w:t>
      </w:r>
      <w:r>
        <w:rPr>
          <w:szCs w:val="24"/>
          <w:lang w:val="en-GB"/>
        </w:rPr>
        <w:t>instruments govern</w:t>
      </w:r>
      <w:r w:rsidRPr="00B26241">
        <w:rPr>
          <w:szCs w:val="24"/>
          <w:lang w:val="en-GB"/>
        </w:rPr>
        <w:t xml:space="preserve"> IPA</w:t>
      </w:r>
      <w:r>
        <w:rPr>
          <w:rStyle w:val="FootnoteReference"/>
          <w:szCs w:val="24"/>
          <w:lang w:val="en-GB"/>
        </w:rPr>
        <w:footnoteReference w:id="23"/>
      </w:r>
      <w:r>
        <w:rPr>
          <w:szCs w:val="24"/>
          <w:lang w:val="en-GB"/>
        </w:rPr>
        <w:t xml:space="preserve"> and b</w:t>
      </w:r>
      <w:r w:rsidRPr="00B26241">
        <w:rPr>
          <w:szCs w:val="24"/>
          <w:lang w:val="en-GB"/>
        </w:rPr>
        <w:t xml:space="preserve">oth regulations </w:t>
      </w:r>
      <w:r>
        <w:rPr>
          <w:szCs w:val="24"/>
          <w:lang w:val="en-GB"/>
        </w:rPr>
        <w:t>have been transposed into</w:t>
      </w:r>
      <w:r w:rsidRPr="00B26241">
        <w:rPr>
          <w:szCs w:val="24"/>
          <w:lang w:val="en-GB"/>
        </w:rPr>
        <w:t xml:space="preserve"> the Serbian national legislati</w:t>
      </w:r>
      <w:r>
        <w:rPr>
          <w:szCs w:val="24"/>
          <w:lang w:val="en-GB"/>
        </w:rPr>
        <w:t>on</w:t>
      </w:r>
      <w:r>
        <w:rPr>
          <w:rStyle w:val="FootnoteReference"/>
          <w:szCs w:val="24"/>
          <w:lang w:val="en-GB"/>
        </w:rPr>
        <w:footnoteReference w:id="24"/>
      </w:r>
      <w:r w:rsidRPr="00B26241">
        <w:rPr>
          <w:szCs w:val="24"/>
          <w:lang w:val="en-GB"/>
        </w:rPr>
        <w:t>.</w:t>
      </w:r>
    </w:p>
    <w:p w:rsidR="00DB2113" w:rsidRPr="00B26241" w:rsidRDefault="00DB2113" w:rsidP="00DB2113">
      <w:pPr>
        <w:rPr>
          <w:szCs w:val="24"/>
          <w:lang w:val="en-GB"/>
        </w:rPr>
      </w:pPr>
      <w:r w:rsidRPr="00B26241">
        <w:rPr>
          <w:szCs w:val="24"/>
          <w:lang w:val="en-GB"/>
        </w:rPr>
        <w:t xml:space="preserve">IPA has </w:t>
      </w:r>
      <w:r w:rsidRPr="00FA2F9B">
        <w:rPr>
          <w:b/>
          <w:szCs w:val="24"/>
          <w:lang w:val="en-GB"/>
        </w:rPr>
        <w:t>five components</w:t>
      </w:r>
      <w:r w:rsidRPr="00B26241">
        <w:rPr>
          <w:szCs w:val="24"/>
          <w:lang w:val="en-GB"/>
        </w:rPr>
        <w:t xml:space="preserve"> providing targeted and effective assistance for each country according to its needs and pace of development</w:t>
      </w:r>
      <w:r>
        <w:rPr>
          <w:szCs w:val="24"/>
          <w:lang w:val="en-GB"/>
        </w:rPr>
        <w:t xml:space="preserve">: </w:t>
      </w:r>
      <w:r w:rsidRPr="00B26241">
        <w:rPr>
          <w:szCs w:val="24"/>
          <w:lang w:val="en-GB"/>
        </w:rPr>
        <w:t>transition assistance and institution building; cross-border cooperation; regional development; human resources development; and rural development.</w:t>
      </w:r>
      <w:r>
        <w:rPr>
          <w:szCs w:val="24"/>
          <w:lang w:val="en-GB"/>
        </w:rPr>
        <w:t xml:space="preserve"> </w:t>
      </w:r>
      <w:r w:rsidRPr="00FA2F9B">
        <w:rPr>
          <w:b/>
          <w:szCs w:val="24"/>
          <w:lang w:val="en-GB"/>
        </w:rPr>
        <w:t xml:space="preserve">The field of Social Inclusion </w:t>
      </w:r>
      <w:r>
        <w:rPr>
          <w:b/>
          <w:szCs w:val="24"/>
          <w:lang w:val="en-GB"/>
        </w:rPr>
        <w:t xml:space="preserve">in the existing IPA regulation (valid until 2013) </w:t>
      </w:r>
      <w:r w:rsidRPr="00FA2F9B">
        <w:rPr>
          <w:b/>
          <w:szCs w:val="24"/>
          <w:lang w:val="en-GB"/>
        </w:rPr>
        <w:t>is covered within the component IV</w:t>
      </w:r>
      <w:r>
        <w:rPr>
          <w:b/>
          <w:szCs w:val="24"/>
        </w:rPr>
        <w:t xml:space="preserve"> </w:t>
      </w:r>
      <w:r>
        <w:rPr>
          <w:b/>
          <w:szCs w:val="24"/>
          <w:lang w:val="en-GB"/>
        </w:rPr>
        <w:t>–</w:t>
      </w:r>
      <w:r>
        <w:rPr>
          <w:b/>
          <w:szCs w:val="24"/>
        </w:rPr>
        <w:t xml:space="preserve"> </w:t>
      </w:r>
      <w:r w:rsidRPr="00FA2F9B">
        <w:rPr>
          <w:b/>
          <w:szCs w:val="24"/>
          <w:lang w:val="en-GB"/>
        </w:rPr>
        <w:t>Human Resources Development</w:t>
      </w:r>
      <w:r w:rsidRPr="00B26241">
        <w:rPr>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DB2113" w:rsidRPr="00344384" w:rsidTr="00DB2113">
        <w:tc>
          <w:tcPr>
            <w:tcW w:w="9243" w:type="dxa"/>
          </w:tcPr>
          <w:p w:rsidR="00DB2113" w:rsidRPr="00344384" w:rsidRDefault="00027216" w:rsidP="00DB2113">
            <w:pPr>
              <w:rPr>
                <w:b/>
                <w:szCs w:val="24"/>
                <w:lang w:val="en-GB"/>
              </w:rPr>
            </w:pPr>
            <w:r>
              <w:rPr>
                <w:b/>
                <w:szCs w:val="24"/>
                <w:lang w:val="en-GB"/>
              </w:rPr>
              <w:t xml:space="preserve">Box </w:t>
            </w:r>
            <w:r w:rsidR="00AE1969">
              <w:rPr>
                <w:b/>
                <w:szCs w:val="24"/>
                <w:lang w:val="en-GB"/>
              </w:rPr>
              <w:t>3</w:t>
            </w:r>
            <w:r w:rsidR="00DB2113" w:rsidRPr="00344384">
              <w:rPr>
                <w:b/>
                <w:szCs w:val="24"/>
                <w:lang w:val="en-GB"/>
              </w:rPr>
              <w:t xml:space="preserve">: </w:t>
            </w:r>
            <w:r w:rsidR="00DB2113" w:rsidRPr="00B04284">
              <w:rPr>
                <w:b/>
                <w:szCs w:val="24"/>
                <w:u w:val="single"/>
                <w:lang w:val="en-GB"/>
              </w:rPr>
              <w:t>Eligible areas and forms of assistance for IPA Component IV</w:t>
            </w:r>
            <w:r w:rsidR="00DB2113" w:rsidRPr="00B04284">
              <w:rPr>
                <w:b/>
                <w:szCs w:val="24"/>
                <w:u w:val="single"/>
              </w:rPr>
              <w:t xml:space="preserve"> </w:t>
            </w:r>
            <w:r w:rsidR="00DB2113" w:rsidRPr="00B04284">
              <w:rPr>
                <w:b/>
                <w:szCs w:val="24"/>
                <w:u w:val="single"/>
                <w:lang w:val="en-GB"/>
              </w:rPr>
              <w:t>–</w:t>
            </w:r>
            <w:r w:rsidR="00DB2113" w:rsidRPr="00B04284">
              <w:rPr>
                <w:b/>
                <w:szCs w:val="24"/>
                <w:u w:val="single"/>
              </w:rPr>
              <w:t xml:space="preserve"> </w:t>
            </w:r>
            <w:r w:rsidR="00DB2113" w:rsidRPr="00B04284">
              <w:rPr>
                <w:b/>
                <w:szCs w:val="24"/>
                <w:u w:val="single"/>
                <w:lang w:val="en-GB"/>
              </w:rPr>
              <w:t>Human Resources Development</w:t>
            </w:r>
            <w:r w:rsidR="00DB2113">
              <w:rPr>
                <w:rStyle w:val="FootnoteReference"/>
                <w:b/>
                <w:szCs w:val="24"/>
                <w:lang w:val="en-GB"/>
              </w:rPr>
              <w:footnoteReference w:id="25"/>
            </w:r>
            <w:r w:rsidR="00DB2113" w:rsidRPr="00344384">
              <w:rPr>
                <w:b/>
                <w:szCs w:val="24"/>
                <w:lang w:val="en-GB"/>
              </w:rPr>
              <w:t xml:space="preserve"> </w:t>
            </w:r>
          </w:p>
          <w:p w:rsidR="00DB2113" w:rsidRPr="00344384" w:rsidRDefault="00DB2113" w:rsidP="00DB2113">
            <w:pPr>
              <w:rPr>
                <w:szCs w:val="24"/>
                <w:lang w:val="en-GB"/>
              </w:rPr>
            </w:pPr>
            <w:r w:rsidRPr="00344384">
              <w:rPr>
                <w:szCs w:val="24"/>
                <w:lang w:val="en-GB"/>
              </w:rPr>
              <w:t>1. The human resources development component shall contribute to strengthening economic and social cohesion as well as to the priorities of the European Employment Strategy in the field of employment, education and training</w:t>
            </w:r>
            <w:r>
              <w:rPr>
                <w:szCs w:val="24"/>
                <w:lang w:val="en-GB"/>
              </w:rPr>
              <w:t>,</w:t>
            </w:r>
            <w:r w:rsidRPr="00344384">
              <w:rPr>
                <w:szCs w:val="24"/>
                <w:lang w:val="en-GB"/>
              </w:rPr>
              <w:t xml:space="preserve"> and social inclusion.</w:t>
            </w:r>
          </w:p>
          <w:p w:rsidR="00DB2113" w:rsidRPr="00344384" w:rsidRDefault="00DB2113" w:rsidP="00DB2113">
            <w:pPr>
              <w:rPr>
                <w:szCs w:val="24"/>
                <w:lang w:val="en-GB"/>
              </w:rPr>
            </w:pPr>
            <w:r w:rsidRPr="00344384">
              <w:rPr>
                <w:szCs w:val="24"/>
                <w:lang w:val="en-GB"/>
              </w:rPr>
              <w:t>2. In particular, the scope of this component shall cover assistance to persons and focus on the following priorities, the precise mix and concentration of which shall depend on the economic and social specificities of each beneficiary country:</w:t>
            </w:r>
          </w:p>
          <w:p w:rsidR="00DB2113" w:rsidRPr="00027216" w:rsidRDefault="00DB2113" w:rsidP="00351681">
            <w:pPr>
              <w:pStyle w:val="ListParagraph"/>
              <w:numPr>
                <w:ilvl w:val="0"/>
                <w:numId w:val="25"/>
              </w:numPr>
              <w:rPr>
                <w:lang w:val="en-GB"/>
              </w:rPr>
            </w:pPr>
            <w:r w:rsidRPr="00027216">
              <w:rPr>
                <w:lang w:val="en-GB"/>
              </w:rPr>
              <w:t>Increase adaptability of workers, enterprises and entrepreneurs, with a view to improving the anticipation and positive management of economic ch</w:t>
            </w:r>
            <w:r w:rsidR="00EF6050" w:rsidRPr="00027216">
              <w:rPr>
                <w:lang w:val="en-GB"/>
              </w:rPr>
              <w:t>a</w:t>
            </w:r>
            <w:r w:rsidR="00825954" w:rsidRPr="00027216">
              <w:rPr>
                <w:lang w:val="en-GB"/>
              </w:rPr>
              <w:t>nge</w:t>
            </w:r>
            <w:r w:rsidR="00027216" w:rsidRPr="00027216">
              <w:rPr>
                <w:lang w:val="en-GB"/>
              </w:rPr>
              <w:t>,</w:t>
            </w:r>
          </w:p>
          <w:p w:rsidR="00DB2113" w:rsidRPr="00027216" w:rsidRDefault="00DB2113" w:rsidP="00351681">
            <w:pPr>
              <w:pStyle w:val="ListParagraph"/>
              <w:numPr>
                <w:ilvl w:val="0"/>
                <w:numId w:val="25"/>
              </w:numPr>
              <w:rPr>
                <w:szCs w:val="24"/>
                <w:lang w:val="en-GB"/>
              </w:rPr>
            </w:pPr>
            <w:r w:rsidRPr="00027216">
              <w:rPr>
                <w:szCs w:val="24"/>
                <w:lang w:val="en-GB"/>
              </w:rPr>
              <w:t xml:space="preserve">Enhance access to employment and sustainable inclusion in the labour market of job seekers and inactive people, prevent unemployment, in particular long term and youth unemployment, encourage active aging and prolong working lives, increase participation in </w:t>
            </w:r>
            <w:r w:rsidR="00825954" w:rsidRPr="00027216">
              <w:rPr>
                <w:szCs w:val="24"/>
                <w:lang w:val="en-GB"/>
              </w:rPr>
              <w:t>the labour market</w:t>
            </w:r>
            <w:r w:rsidR="00027216" w:rsidRPr="00027216">
              <w:rPr>
                <w:szCs w:val="24"/>
                <w:lang w:val="en-GB"/>
              </w:rPr>
              <w:t>,</w:t>
            </w:r>
          </w:p>
          <w:p w:rsidR="00DB2113" w:rsidRPr="00027216" w:rsidRDefault="00DB2113" w:rsidP="00351681">
            <w:pPr>
              <w:pStyle w:val="ListParagraph"/>
              <w:numPr>
                <w:ilvl w:val="0"/>
                <w:numId w:val="25"/>
              </w:numPr>
              <w:rPr>
                <w:szCs w:val="24"/>
                <w:lang w:val="en-GB"/>
              </w:rPr>
            </w:pPr>
            <w:r w:rsidRPr="00027216">
              <w:rPr>
                <w:szCs w:val="24"/>
                <w:lang w:val="en-GB"/>
              </w:rPr>
              <w:t>Reinforce social inclusion and integration of people at a disadvantage, with a view to their sustainable integration in employment, and combat all forms of discrimination in the labour ma</w:t>
            </w:r>
            <w:r w:rsidR="00825954" w:rsidRPr="00027216">
              <w:rPr>
                <w:szCs w:val="24"/>
                <w:lang w:val="en-GB"/>
              </w:rPr>
              <w:t>rket</w:t>
            </w:r>
            <w:r w:rsidR="00027216" w:rsidRPr="00027216">
              <w:rPr>
                <w:szCs w:val="24"/>
                <w:lang w:val="en-GB"/>
              </w:rPr>
              <w:t>,</w:t>
            </w:r>
          </w:p>
          <w:p w:rsidR="00DB2113" w:rsidRPr="00027216" w:rsidRDefault="00DB2113" w:rsidP="00351681">
            <w:pPr>
              <w:pStyle w:val="ListParagraph"/>
              <w:numPr>
                <w:ilvl w:val="0"/>
                <w:numId w:val="25"/>
              </w:numPr>
              <w:rPr>
                <w:szCs w:val="24"/>
                <w:lang w:val="en-GB"/>
              </w:rPr>
            </w:pPr>
            <w:r w:rsidRPr="00027216">
              <w:rPr>
                <w:szCs w:val="24"/>
                <w:lang w:val="en-GB"/>
              </w:rPr>
              <w:t>Promote partnerships, pacts and initiatives through networking of relevant stakeholders, such as social partners and non-governmental organisations, at national, regional, local level, in order to mobilise for reforms in the field of employment and labour market inclusiveness</w:t>
            </w:r>
            <w:r w:rsidR="00027216" w:rsidRPr="00027216">
              <w:rPr>
                <w:szCs w:val="24"/>
                <w:lang w:val="en-GB"/>
              </w:rPr>
              <w:t>,</w:t>
            </w:r>
          </w:p>
          <w:p w:rsidR="00DB2113" w:rsidRPr="00027216" w:rsidRDefault="00DB2113" w:rsidP="00351681">
            <w:pPr>
              <w:pStyle w:val="ListParagraph"/>
              <w:numPr>
                <w:ilvl w:val="0"/>
                <w:numId w:val="25"/>
              </w:numPr>
              <w:rPr>
                <w:lang w:val="en-GB"/>
              </w:rPr>
            </w:pPr>
            <w:r w:rsidRPr="00027216">
              <w:rPr>
                <w:szCs w:val="24"/>
                <w:lang w:val="en-GB"/>
              </w:rPr>
              <w:t>E</w:t>
            </w:r>
            <w:r w:rsidRPr="00027216">
              <w:rPr>
                <w:lang w:val="en-GB"/>
              </w:rPr>
              <w:t>xpand and enhance investment in human cap</w:t>
            </w:r>
            <w:r w:rsidR="00825954" w:rsidRPr="00027216">
              <w:rPr>
                <w:lang w:val="en-GB"/>
              </w:rPr>
              <w:t>ital</w:t>
            </w:r>
            <w:r w:rsidR="00027216" w:rsidRPr="00027216">
              <w:rPr>
                <w:lang w:val="en-GB"/>
              </w:rPr>
              <w:t>,</w:t>
            </w:r>
          </w:p>
          <w:p w:rsidR="00DB2113" w:rsidRPr="00344384" w:rsidRDefault="00DB2113" w:rsidP="00351681">
            <w:pPr>
              <w:pStyle w:val="ListParagraph"/>
              <w:numPr>
                <w:ilvl w:val="0"/>
                <w:numId w:val="25"/>
              </w:numPr>
              <w:rPr>
                <w:szCs w:val="24"/>
                <w:lang w:val="en-GB"/>
              </w:rPr>
            </w:pPr>
            <w:r w:rsidRPr="00027216">
              <w:rPr>
                <w:szCs w:val="24"/>
                <w:lang w:val="en-GB"/>
              </w:rPr>
              <w:t>Strengthen institutional capacity and the efficiency of public administrations and public services at national, regional and local level and, where relevant, the social partners and non-governmental organisations with a view to reforms and good governance in the employment, education and training, as well as social fields.</w:t>
            </w:r>
          </w:p>
        </w:tc>
      </w:tr>
    </w:tbl>
    <w:p w:rsidR="00DB2113" w:rsidRPr="00B26241" w:rsidRDefault="00DB2113" w:rsidP="00EF6050">
      <w:pPr>
        <w:rPr>
          <w:szCs w:val="24"/>
          <w:lang w:val="en-GB"/>
        </w:rPr>
      </w:pPr>
      <w:r>
        <w:rPr>
          <w:szCs w:val="24"/>
          <w:lang w:val="en-GB"/>
        </w:rPr>
        <w:t xml:space="preserve">Thus far, </w:t>
      </w:r>
      <w:r w:rsidRPr="00B26241">
        <w:rPr>
          <w:szCs w:val="24"/>
          <w:lang w:val="en-GB"/>
        </w:rPr>
        <w:t xml:space="preserve">Serbia has had access to IPA </w:t>
      </w:r>
      <w:r>
        <w:rPr>
          <w:szCs w:val="24"/>
          <w:lang w:val="en-GB"/>
        </w:rPr>
        <w:t>C</w:t>
      </w:r>
      <w:r w:rsidRPr="00B26241">
        <w:rPr>
          <w:szCs w:val="24"/>
          <w:lang w:val="en-GB"/>
        </w:rPr>
        <w:t>omponents I and II</w:t>
      </w:r>
      <w:r w:rsidRPr="00D50A2A">
        <w:rPr>
          <w:szCs w:val="24"/>
          <w:lang w:val="en-GB"/>
        </w:rPr>
        <w:t xml:space="preserve"> </w:t>
      </w:r>
      <w:r w:rsidRPr="00B26241">
        <w:rPr>
          <w:szCs w:val="24"/>
          <w:lang w:val="en-GB"/>
        </w:rPr>
        <w:t>only, since the preconditions for accessing all five components include</w:t>
      </w:r>
      <w:r>
        <w:rPr>
          <w:szCs w:val="24"/>
          <w:lang w:val="en-GB"/>
        </w:rPr>
        <w:t>d</w:t>
      </w:r>
      <w:r w:rsidRPr="00B26241">
        <w:rPr>
          <w:szCs w:val="24"/>
          <w:lang w:val="en-GB"/>
        </w:rPr>
        <w:t xml:space="preserve"> both candidate country status and conferral of management powers from EC to national bodies</w:t>
      </w:r>
      <w:r>
        <w:rPr>
          <w:szCs w:val="24"/>
          <w:lang w:val="en-GB"/>
        </w:rPr>
        <w:t>. The latter</w:t>
      </w:r>
      <w:r w:rsidRPr="00B26241">
        <w:rPr>
          <w:szCs w:val="24"/>
          <w:lang w:val="en-GB"/>
        </w:rPr>
        <w:t xml:space="preserve"> implies having </w:t>
      </w:r>
      <w:r>
        <w:rPr>
          <w:szCs w:val="24"/>
          <w:lang w:val="en-GB"/>
        </w:rPr>
        <w:t xml:space="preserve">an </w:t>
      </w:r>
      <w:r w:rsidRPr="00B26241">
        <w:rPr>
          <w:szCs w:val="24"/>
          <w:lang w:val="en-GB"/>
        </w:rPr>
        <w:t xml:space="preserve">accredited decentralised </w:t>
      </w:r>
      <w:r>
        <w:rPr>
          <w:szCs w:val="24"/>
          <w:lang w:val="en-GB"/>
        </w:rPr>
        <w:t xml:space="preserve">management </w:t>
      </w:r>
      <w:r w:rsidRPr="00B26241">
        <w:rPr>
          <w:szCs w:val="24"/>
          <w:lang w:val="en-GB"/>
        </w:rPr>
        <w:t xml:space="preserve">of EU Funds. </w:t>
      </w:r>
    </w:p>
    <w:p w:rsidR="00DB2113" w:rsidRPr="00B26241" w:rsidRDefault="00DB2113" w:rsidP="00DB2113">
      <w:pPr>
        <w:rPr>
          <w:szCs w:val="24"/>
          <w:lang w:val="en-GB"/>
        </w:rPr>
      </w:pPr>
      <w:r w:rsidRPr="00B26241">
        <w:rPr>
          <w:szCs w:val="24"/>
          <w:lang w:val="en-GB"/>
        </w:rPr>
        <w:t xml:space="preserve">In order to respond to its obligations in the process of management of IPA funds, </w:t>
      </w:r>
      <w:r>
        <w:rPr>
          <w:szCs w:val="24"/>
          <w:lang w:val="en-GB"/>
        </w:rPr>
        <w:t xml:space="preserve">the </w:t>
      </w:r>
      <w:r w:rsidRPr="00B26241">
        <w:rPr>
          <w:szCs w:val="24"/>
          <w:lang w:val="en-GB"/>
        </w:rPr>
        <w:t xml:space="preserve">Government of the Republic of Serbia </w:t>
      </w:r>
      <w:r>
        <w:rPr>
          <w:szCs w:val="24"/>
          <w:lang w:val="en-GB"/>
        </w:rPr>
        <w:t>adopted the Action Plan for</w:t>
      </w:r>
      <w:r w:rsidRPr="00B26241">
        <w:rPr>
          <w:szCs w:val="24"/>
          <w:lang w:val="en-GB"/>
        </w:rPr>
        <w:t xml:space="preserve"> Accreditation for Decentralised Implementation System in June 2008. This Action </w:t>
      </w:r>
      <w:r>
        <w:rPr>
          <w:szCs w:val="24"/>
          <w:lang w:val="en-GB"/>
        </w:rPr>
        <w:t>P</w:t>
      </w:r>
      <w:r w:rsidRPr="00B26241">
        <w:rPr>
          <w:szCs w:val="24"/>
          <w:lang w:val="en-GB"/>
        </w:rPr>
        <w:t>lan also foresees the establishment of structu</w:t>
      </w:r>
      <w:r>
        <w:rPr>
          <w:szCs w:val="24"/>
          <w:lang w:val="en-GB"/>
        </w:rPr>
        <w:t>res related to IPA C</w:t>
      </w:r>
      <w:r w:rsidRPr="00B26241">
        <w:rPr>
          <w:szCs w:val="24"/>
          <w:lang w:val="en-GB"/>
        </w:rPr>
        <w:t>omponent IV.</w:t>
      </w:r>
    </w:p>
    <w:p w:rsidR="00DB2113" w:rsidRPr="00B26241" w:rsidRDefault="00DB2113" w:rsidP="00DB2113">
      <w:pPr>
        <w:rPr>
          <w:szCs w:val="24"/>
          <w:lang w:val="en-GB"/>
        </w:rPr>
      </w:pPr>
      <w:r>
        <w:rPr>
          <w:szCs w:val="24"/>
          <w:lang w:val="en-GB"/>
        </w:rPr>
        <w:t>The structures for the IPA C</w:t>
      </w:r>
      <w:r w:rsidRPr="00B26241">
        <w:rPr>
          <w:szCs w:val="24"/>
          <w:lang w:val="en-GB"/>
        </w:rPr>
        <w:t xml:space="preserve">omponent IV have been designed in </w:t>
      </w:r>
      <w:r>
        <w:rPr>
          <w:szCs w:val="24"/>
          <w:lang w:val="en-GB"/>
        </w:rPr>
        <w:t>much the same way</w:t>
      </w:r>
      <w:r w:rsidRPr="00B26241">
        <w:rPr>
          <w:szCs w:val="24"/>
          <w:lang w:val="en-GB"/>
        </w:rPr>
        <w:t xml:space="preserve"> as the structures for management of the Structural/Cohesion funds. While the IPA I</w:t>
      </w:r>
      <w:r>
        <w:rPr>
          <w:szCs w:val="24"/>
          <w:lang w:val="en-GB"/>
        </w:rPr>
        <w:t xml:space="preserve">mplementing </w:t>
      </w:r>
      <w:r w:rsidRPr="00B26241">
        <w:rPr>
          <w:szCs w:val="24"/>
          <w:lang w:val="en-GB"/>
        </w:rPr>
        <w:t>R</w:t>
      </w:r>
      <w:r>
        <w:rPr>
          <w:szCs w:val="24"/>
          <w:lang w:val="en-GB"/>
        </w:rPr>
        <w:t>egulation</w:t>
      </w:r>
      <w:r w:rsidRPr="00B26241">
        <w:rPr>
          <w:szCs w:val="24"/>
          <w:lang w:val="en-GB"/>
        </w:rPr>
        <w:t xml:space="preserve"> uses the generic term “Operating Structure” to mean a body or a collection of bodies responsible for management and implementation, the regulation governing the use of Structural/Cohesion funds refers to these structures as “managing authorities”, “intermediate bodies” and “final beneficiaries”.</w:t>
      </w:r>
    </w:p>
    <w:p w:rsidR="00DB2113" w:rsidRPr="00B26241" w:rsidRDefault="00DB2113" w:rsidP="00DB2113">
      <w:pPr>
        <w:rPr>
          <w:szCs w:val="24"/>
          <w:lang w:val="en-GB"/>
        </w:rPr>
      </w:pPr>
      <w:r w:rsidRPr="00B26241">
        <w:rPr>
          <w:szCs w:val="24"/>
          <w:lang w:val="en-GB"/>
        </w:rPr>
        <w:t xml:space="preserve">In order to </w:t>
      </w:r>
      <w:r>
        <w:rPr>
          <w:szCs w:val="24"/>
          <w:lang w:val="en-GB"/>
        </w:rPr>
        <w:t>accelerate</w:t>
      </w:r>
      <w:r w:rsidRPr="00B26241">
        <w:rPr>
          <w:szCs w:val="24"/>
          <w:lang w:val="en-GB"/>
        </w:rPr>
        <w:t xml:space="preserve"> the preparation for Structural Funds, the implementation mechanisms for IPA </w:t>
      </w:r>
      <w:r>
        <w:rPr>
          <w:szCs w:val="24"/>
          <w:lang w:val="en-GB"/>
        </w:rPr>
        <w:t>C</w:t>
      </w:r>
      <w:r w:rsidRPr="00B26241">
        <w:rPr>
          <w:szCs w:val="24"/>
          <w:lang w:val="en-GB"/>
        </w:rPr>
        <w:t>omponent IV</w:t>
      </w:r>
      <w:r>
        <w:rPr>
          <w:szCs w:val="24"/>
          <w:lang w:val="en-GB"/>
        </w:rPr>
        <w:t xml:space="preserve"> are designed</w:t>
      </w:r>
      <w:r w:rsidRPr="00B26241">
        <w:rPr>
          <w:szCs w:val="24"/>
          <w:lang w:val="en-GB"/>
        </w:rPr>
        <w:t xml:space="preserve"> on the basis of the structures </w:t>
      </w:r>
      <w:r>
        <w:rPr>
          <w:szCs w:val="24"/>
          <w:lang w:val="en-GB"/>
        </w:rPr>
        <w:t>that exist</w:t>
      </w:r>
      <w:r w:rsidRPr="00B26241">
        <w:rPr>
          <w:szCs w:val="24"/>
          <w:lang w:val="en-GB"/>
        </w:rPr>
        <w:t xml:space="preserve"> for EU Structural Funds, but in line with IPA Implementing Regulation</w:t>
      </w:r>
      <w:r>
        <w:rPr>
          <w:szCs w:val="24"/>
        </w:rPr>
        <w:t xml:space="preserve"> (IPA IR)</w:t>
      </w:r>
      <w:r w:rsidRPr="00B26241">
        <w:rPr>
          <w:szCs w:val="24"/>
          <w:lang w:val="en-GB"/>
        </w:rPr>
        <w:t>.</w:t>
      </w:r>
    </w:p>
    <w:p w:rsidR="00DB2113" w:rsidRPr="00B26241" w:rsidRDefault="00DB2113" w:rsidP="00DB2113">
      <w:pPr>
        <w:rPr>
          <w:szCs w:val="24"/>
          <w:lang w:val="en-GB"/>
        </w:rPr>
      </w:pPr>
      <w:r w:rsidRPr="00B26241">
        <w:rPr>
          <w:szCs w:val="24"/>
          <w:lang w:val="en-GB"/>
        </w:rPr>
        <w:t xml:space="preserve">Those structures are in line with Article 21 of IPA IR and include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5643"/>
      </w:tblGrid>
      <w:tr w:rsidR="00DB2113" w:rsidRPr="00344384" w:rsidTr="00F049FE">
        <w:tc>
          <w:tcPr>
            <w:tcW w:w="3600" w:type="dxa"/>
          </w:tcPr>
          <w:p w:rsidR="00DB2113" w:rsidRPr="00FA2F9B" w:rsidRDefault="00DB2113" w:rsidP="00FB7EFB">
            <w:pPr>
              <w:spacing w:after="60" w:line="240" w:lineRule="auto"/>
              <w:jc w:val="center"/>
              <w:rPr>
                <w:b/>
                <w:szCs w:val="24"/>
                <w:lang w:val="en-GB"/>
              </w:rPr>
            </w:pPr>
            <w:r w:rsidRPr="00FA2F9B">
              <w:rPr>
                <w:b/>
                <w:szCs w:val="24"/>
                <w:lang w:val="en-GB"/>
              </w:rPr>
              <w:t>IPA Implementing Regulation</w:t>
            </w:r>
          </w:p>
        </w:tc>
        <w:tc>
          <w:tcPr>
            <w:tcW w:w="5643" w:type="dxa"/>
          </w:tcPr>
          <w:p w:rsidR="00DB2113" w:rsidRPr="00FA2F9B" w:rsidRDefault="00DB2113" w:rsidP="00FB7EFB">
            <w:pPr>
              <w:spacing w:after="60" w:line="240" w:lineRule="auto"/>
              <w:jc w:val="center"/>
              <w:rPr>
                <w:b/>
                <w:szCs w:val="24"/>
                <w:lang w:val="en-GB"/>
              </w:rPr>
            </w:pPr>
            <w:r w:rsidRPr="00FA2F9B">
              <w:rPr>
                <w:b/>
                <w:szCs w:val="24"/>
                <w:lang w:val="en-GB"/>
              </w:rPr>
              <w:t>Position in the Government of Republic of Serbia</w:t>
            </w:r>
          </w:p>
        </w:tc>
      </w:tr>
      <w:tr w:rsidR="00DB2113" w:rsidRPr="00344384" w:rsidTr="00F049FE">
        <w:tc>
          <w:tcPr>
            <w:tcW w:w="3600" w:type="dxa"/>
          </w:tcPr>
          <w:p w:rsidR="00DB2113" w:rsidRPr="00344384" w:rsidRDefault="00DB2113" w:rsidP="00FB7EFB">
            <w:pPr>
              <w:spacing w:after="60" w:line="240" w:lineRule="auto"/>
              <w:jc w:val="center"/>
              <w:rPr>
                <w:szCs w:val="24"/>
                <w:lang w:val="en-GB"/>
              </w:rPr>
            </w:pPr>
            <w:r w:rsidRPr="00344384">
              <w:rPr>
                <w:szCs w:val="24"/>
                <w:lang w:val="en-GB"/>
              </w:rPr>
              <w:t>National IPA coordinator (NIPAC)</w:t>
            </w:r>
          </w:p>
        </w:tc>
        <w:tc>
          <w:tcPr>
            <w:tcW w:w="5643" w:type="dxa"/>
          </w:tcPr>
          <w:p w:rsidR="00DB2113" w:rsidRPr="00344384" w:rsidRDefault="00DB2113" w:rsidP="00FB7EFB">
            <w:pPr>
              <w:spacing w:after="60" w:line="240" w:lineRule="auto"/>
              <w:jc w:val="center"/>
              <w:rPr>
                <w:szCs w:val="24"/>
                <w:lang w:val="en-GB"/>
              </w:rPr>
            </w:pPr>
            <w:r w:rsidRPr="00344384">
              <w:rPr>
                <w:szCs w:val="24"/>
                <w:lang w:val="en-GB"/>
              </w:rPr>
              <w:t>Director of the Serbian European Integration Office</w:t>
            </w:r>
          </w:p>
        </w:tc>
      </w:tr>
      <w:tr w:rsidR="00DB2113" w:rsidRPr="00344384" w:rsidTr="00F049FE">
        <w:trPr>
          <w:trHeight w:val="547"/>
        </w:trPr>
        <w:tc>
          <w:tcPr>
            <w:tcW w:w="3600" w:type="dxa"/>
          </w:tcPr>
          <w:p w:rsidR="00DB2113" w:rsidRPr="00344384" w:rsidRDefault="00DB2113" w:rsidP="00FB7EFB">
            <w:pPr>
              <w:spacing w:after="60" w:line="240" w:lineRule="auto"/>
              <w:jc w:val="center"/>
              <w:rPr>
                <w:szCs w:val="24"/>
                <w:lang w:val="en-GB"/>
              </w:rPr>
            </w:pPr>
            <w:r w:rsidRPr="00344384">
              <w:rPr>
                <w:szCs w:val="24"/>
                <w:lang w:val="en-GB"/>
              </w:rPr>
              <w:t>Strategic coordinator (SC) for the regional development component and</w:t>
            </w:r>
            <w:r w:rsidR="00EF6050">
              <w:rPr>
                <w:szCs w:val="24"/>
                <w:lang w:val="en-GB"/>
              </w:rPr>
              <w:t xml:space="preserve"> </w:t>
            </w:r>
            <w:r w:rsidRPr="00344384">
              <w:rPr>
                <w:szCs w:val="24"/>
                <w:lang w:val="en-GB"/>
              </w:rPr>
              <w:t>the human resources development component</w:t>
            </w:r>
          </w:p>
        </w:tc>
        <w:tc>
          <w:tcPr>
            <w:tcW w:w="5643" w:type="dxa"/>
          </w:tcPr>
          <w:p w:rsidR="00DB2113" w:rsidRPr="00344384" w:rsidRDefault="00DB2113" w:rsidP="00FB7EFB">
            <w:pPr>
              <w:spacing w:after="60" w:line="240" w:lineRule="auto"/>
              <w:jc w:val="center"/>
              <w:rPr>
                <w:szCs w:val="24"/>
                <w:lang w:val="en-GB"/>
              </w:rPr>
            </w:pPr>
          </w:p>
          <w:p w:rsidR="00DB2113" w:rsidRPr="00344384" w:rsidRDefault="00DB2113" w:rsidP="00FB7EFB">
            <w:pPr>
              <w:spacing w:after="60" w:line="240" w:lineRule="auto"/>
              <w:jc w:val="center"/>
              <w:rPr>
                <w:szCs w:val="24"/>
                <w:lang w:val="en-GB"/>
              </w:rPr>
            </w:pPr>
            <w:r w:rsidRPr="00344384">
              <w:rPr>
                <w:szCs w:val="24"/>
                <w:lang w:val="en-GB"/>
              </w:rPr>
              <w:t>Deputy Director of the Serbian European Integration Office</w:t>
            </w:r>
          </w:p>
        </w:tc>
      </w:tr>
      <w:tr w:rsidR="00DB2113" w:rsidRPr="00344384" w:rsidTr="00F049FE">
        <w:tc>
          <w:tcPr>
            <w:tcW w:w="3600" w:type="dxa"/>
          </w:tcPr>
          <w:p w:rsidR="00DB2113" w:rsidRPr="00344384" w:rsidRDefault="00DB2113" w:rsidP="00FB7EFB">
            <w:pPr>
              <w:spacing w:after="60" w:line="240" w:lineRule="auto"/>
              <w:jc w:val="center"/>
              <w:rPr>
                <w:szCs w:val="24"/>
                <w:lang w:val="en-GB"/>
              </w:rPr>
            </w:pPr>
            <w:r w:rsidRPr="00344384">
              <w:rPr>
                <w:szCs w:val="24"/>
                <w:lang w:val="en-GB"/>
              </w:rPr>
              <w:t>Competent accrediting officer (CAO)</w:t>
            </w:r>
          </w:p>
        </w:tc>
        <w:tc>
          <w:tcPr>
            <w:tcW w:w="5643" w:type="dxa"/>
          </w:tcPr>
          <w:p w:rsidR="00DB2113" w:rsidRPr="00344384" w:rsidRDefault="00DB2113" w:rsidP="00FB7EFB">
            <w:pPr>
              <w:spacing w:after="60" w:line="240" w:lineRule="auto"/>
              <w:jc w:val="center"/>
              <w:rPr>
                <w:szCs w:val="24"/>
                <w:lang w:val="en-GB"/>
              </w:rPr>
            </w:pPr>
            <w:r w:rsidRPr="00344384">
              <w:rPr>
                <w:szCs w:val="24"/>
                <w:lang w:val="en-GB"/>
              </w:rPr>
              <w:t>Minister of Finance</w:t>
            </w:r>
            <w:r w:rsidR="00F049FE">
              <w:rPr>
                <w:szCs w:val="24"/>
                <w:lang w:val="en-GB"/>
              </w:rPr>
              <w:t xml:space="preserve"> and Economy</w:t>
            </w:r>
          </w:p>
        </w:tc>
      </w:tr>
      <w:tr w:rsidR="00DB2113" w:rsidRPr="00344384" w:rsidTr="00F049FE">
        <w:tc>
          <w:tcPr>
            <w:tcW w:w="3600" w:type="dxa"/>
          </w:tcPr>
          <w:p w:rsidR="00DB2113" w:rsidRPr="00344384" w:rsidRDefault="00DB2113" w:rsidP="00FB7EFB">
            <w:pPr>
              <w:spacing w:after="60" w:line="240" w:lineRule="auto"/>
              <w:jc w:val="center"/>
              <w:rPr>
                <w:szCs w:val="24"/>
                <w:lang w:val="en-GB"/>
              </w:rPr>
            </w:pPr>
            <w:r w:rsidRPr="00344384">
              <w:rPr>
                <w:szCs w:val="24"/>
                <w:lang w:val="en-GB"/>
              </w:rPr>
              <w:t>National authorising officer (NAO)</w:t>
            </w:r>
          </w:p>
        </w:tc>
        <w:tc>
          <w:tcPr>
            <w:tcW w:w="5643" w:type="dxa"/>
          </w:tcPr>
          <w:p w:rsidR="00DB2113" w:rsidRPr="00344384" w:rsidRDefault="00DB2113" w:rsidP="00FB7EFB">
            <w:pPr>
              <w:spacing w:after="60" w:line="240" w:lineRule="auto"/>
              <w:jc w:val="center"/>
              <w:rPr>
                <w:szCs w:val="24"/>
                <w:lang w:val="en-GB"/>
              </w:rPr>
            </w:pPr>
            <w:r w:rsidRPr="00344384">
              <w:rPr>
                <w:szCs w:val="24"/>
                <w:lang w:val="en-GB"/>
              </w:rPr>
              <w:t>State Secretary of Finance</w:t>
            </w:r>
            <w:r w:rsidR="00F049FE">
              <w:rPr>
                <w:szCs w:val="24"/>
                <w:lang w:val="en-GB"/>
              </w:rPr>
              <w:t xml:space="preserve"> and Economy</w:t>
            </w:r>
          </w:p>
        </w:tc>
      </w:tr>
      <w:tr w:rsidR="00DB2113" w:rsidRPr="00344384" w:rsidTr="00F049FE">
        <w:tc>
          <w:tcPr>
            <w:tcW w:w="3600" w:type="dxa"/>
          </w:tcPr>
          <w:p w:rsidR="00DB2113" w:rsidRPr="00344384" w:rsidRDefault="00DB2113" w:rsidP="00FB7EFB">
            <w:pPr>
              <w:spacing w:after="60" w:line="240" w:lineRule="auto"/>
              <w:jc w:val="center"/>
              <w:rPr>
                <w:szCs w:val="24"/>
                <w:lang w:val="en-GB"/>
              </w:rPr>
            </w:pPr>
            <w:r w:rsidRPr="00344384">
              <w:rPr>
                <w:szCs w:val="24"/>
                <w:lang w:val="en-GB"/>
              </w:rPr>
              <w:t>National fund (NF)</w:t>
            </w:r>
          </w:p>
        </w:tc>
        <w:tc>
          <w:tcPr>
            <w:tcW w:w="5643" w:type="dxa"/>
          </w:tcPr>
          <w:p w:rsidR="00DB2113" w:rsidRPr="00344384" w:rsidRDefault="00DB2113" w:rsidP="00F049FE">
            <w:pPr>
              <w:spacing w:after="60" w:line="240" w:lineRule="auto"/>
              <w:jc w:val="center"/>
              <w:rPr>
                <w:szCs w:val="24"/>
                <w:lang w:val="en-GB"/>
              </w:rPr>
            </w:pPr>
            <w:r w:rsidRPr="00344384">
              <w:rPr>
                <w:szCs w:val="24"/>
                <w:lang w:val="en-GB"/>
              </w:rPr>
              <w:t xml:space="preserve">Department </w:t>
            </w:r>
            <w:r w:rsidR="00F049FE">
              <w:rPr>
                <w:szCs w:val="24"/>
                <w:lang w:val="en-GB"/>
              </w:rPr>
              <w:t xml:space="preserve">for the National Fund for management of EU funds </w:t>
            </w:r>
            <w:r w:rsidRPr="00344384">
              <w:rPr>
                <w:szCs w:val="24"/>
                <w:lang w:val="en-GB"/>
              </w:rPr>
              <w:t>within the Ministry of Finance</w:t>
            </w:r>
            <w:r w:rsidR="00F049FE">
              <w:rPr>
                <w:szCs w:val="24"/>
                <w:lang w:val="en-GB"/>
              </w:rPr>
              <w:t xml:space="preserve"> and Economy</w:t>
            </w:r>
          </w:p>
        </w:tc>
      </w:tr>
      <w:tr w:rsidR="00DB2113" w:rsidRPr="00344384" w:rsidTr="00F049FE">
        <w:tc>
          <w:tcPr>
            <w:tcW w:w="3600" w:type="dxa"/>
          </w:tcPr>
          <w:p w:rsidR="00DB2113" w:rsidRPr="00344384" w:rsidRDefault="00DB2113" w:rsidP="00FB7EFB">
            <w:pPr>
              <w:spacing w:after="60" w:line="240" w:lineRule="auto"/>
              <w:jc w:val="center"/>
              <w:rPr>
                <w:szCs w:val="24"/>
                <w:lang w:val="en-GB"/>
              </w:rPr>
            </w:pPr>
            <w:r w:rsidRPr="00344384">
              <w:rPr>
                <w:szCs w:val="24"/>
                <w:lang w:val="en-GB"/>
              </w:rPr>
              <w:t>Operating structure by IPA component or programme</w:t>
            </w:r>
          </w:p>
        </w:tc>
        <w:tc>
          <w:tcPr>
            <w:tcW w:w="5643" w:type="dxa"/>
          </w:tcPr>
          <w:p w:rsidR="00DB2113" w:rsidRDefault="00F049FE" w:rsidP="00FB7EFB">
            <w:pPr>
              <w:spacing w:after="60" w:line="240" w:lineRule="auto"/>
              <w:jc w:val="center"/>
              <w:rPr>
                <w:szCs w:val="24"/>
                <w:lang w:val="en-GB"/>
              </w:rPr>
            </w:pPr>
            <w:r>
              <w:rPr>
                <w:szCs w:val="24"/>
                <w:lang w:val="en-GB"/>
              </w:rPr>
              <w:t xml:space="preserve">Human Resource Development: </w:t>
            </w:r>
            <w:r w:rsidRPr="00344384">
              <w:rPr>
                <w:szCs w:val="24"/>
                <w:lang w:val="en-GB"/>
              </w:rPr>
              <w:t>Head of the Operating structure</w:t>
            </w:r>
            <w:r>
              <w:rPr>
                <w:szCs w:val="24"/>
              </w:rPr>
              <w:t xml:space="preserve"> </w:t>
            </w:r>
            <w:r>
              <w:rPr>
                <w:szCs w:val="24"/>
                <w:lang w:val="en-GB"/>
              </w:rPr>
              <w:t>–</w:t>
            </w:r>
            <w:r>
              <w:rPr>
                <w:szCs w:val="24"/>
              </w:rPr>
              <w:t xml:space="preserve"> </w:t>
            </w:r>
            <w:r w:rsidRPr="00344384">
              <w:rPr>
                <w:szCs w:val="24"/>
                <w:lang w:val="en-GB"/>
              </w:rPr>
              <w:t>Assistant Minister</w:t>
            </w:r>
            <w:r>
              <w:rPr>
                <w:szCs w:val="24"/>
                <w:lang w:val="en-GB"/>
              </w:rPr>
              <w:t xml:space="preserve"> of Labour, Employment and Social Policy</w:t>
            </w:r>
          </w:p>
          <w:p w:rsidR="00DB2113" w:rsidRPr="00344384" w:rsidRDefault="00F049FE" w:rsidP="00F049FE">
            <w:pPr>
              <w:spacing w:after="60" w:line="240" w:lineRule="auto"/>
              <w:jc w:val="center"/>
              <w:rPr>
                <w:szCs w:val="24"/>
                <w:lang w:val="en-GB"/>
              </w:rPr>
            </w:pPr>
            <w:r>
              <w:rPr>
                <w:szCs w:val="24"/>
                <w:lang w:val="en-GB"/>
              </w:rPr>
              <w:t xml:space="preserve">Economic Development: </w:t>
            </w:r>
            <w:r w:rsidRPr="00344384">
              <w:rPr>
                <w:szCs w:val="24"/>
                <w:lang w:val="en-GB"/>
              </w:rPr>
              <w:t>Head of the Operating structure</w:t>
            </w:r>
            <w:r>
              <w:rPr>
                <w:szCs w:val="24"/>
              </w:rPr>
              <w:t xml:space="preserve"> </w:t>
            </w:r>
            <w:r>
              <w:rPr>
                <w:szCs w:val="24"/>
                <w:lang w:val="en-GB"/>
              </w:rPr>
              <w:t>–</w:t>
            </w:r>
            <w:r>
              <w:rPr>
                <w:szCs w:val="24"/>
              </w:rPr>
              <w:t xml:space="preserve"> </w:t>
            </w:r>
            <w:r w:rsidRPr="00344384">
              <w:rPr>
                <w:szCs w:val="24"/>
                <w:lang w:val="en-GB"/>
              </w:rPr>
              <w:t>Assistant Minister of Finance</w:t>
            </w:r>
            <w:r>
              <w:rPr>
                <w:szCs w:val="24"/>
                <w:lang w:val="en-GB"/>
              </w:rPr>
              <w:t xml:space="preserve"> and Economy</w:t>
            </w:r>
          </w:p>
        </w:tc>
      </w:tr>
      <w:tr w:rsidR="00DB2113" w:rsidRPr="00344384" w:rsidTr="00F049FE">
        <w:tc>
          <w:tcPr>
            <w:tcW w:w="3600" w:type="dxa"/>
          </w:tcPr>
          <w:p w:rsidR="00DB2113" w:rsidRPr="00344384" w:rsidRDefault="00DB2113" w:rsidP="00FB7EFB">
            <w:pPr>
              <w:spacing w:after="60" w:line="240" w:lineRule="auto"/>
              <w:jc w:val="center"/>
              <w:rPr>
                <w:szCs w:val="24"/>
                <w:lang w:val="en-GB"/>
              </w:rPr>
            </w:pPr>
            <w:r w:rsidRPr="00344384">
              <w:rPr>
                <w:szCs w:val="24"/>
                <w:lang w:val="en-GB"/>
              </w:rPr>
              <w:t>Audit authority (AA)</w:t>
            </w:r>
          </w:p>
        </w:tc>
        <w:tc>
          <w:tcPr>
            <w:tcW w:w="5643" w:type="dxa"/>
          </w:tcPr>
          <w:p w:rsidR="00DB2113" w:rsidRPr="00344384" w:rsidRDefault="00DB2113" w:rsidP="00FB7EFB">
            <w:pPr>
              <w:spacing w:after="60" w:line="240" w:lineRule="auto"/>
              <w:jc w:val="center"/>
              <w:rPr>
                <w:szCs w:val="24"/>
                <w:lang w:val="en-GB"/>
              </w:rPr>
            </w:pPr>
            <w:r w:rsidRPr="00344384">
              <w:rPr>
                <w:szCs w:val="24"/>
                <w:lang w:val="en-GB"/>
              </w:rPr>
              <w:t>Audit office of system of management of EU funds</w:t>
            </w:r>
          </w:p>
        </w:tc>
      </w:tr>
    </w:tbl>
    <w:p w:rsidR="00DB2113" w:rsidRPr="00B26241" w:rsidRDefault="00DB2113" w:rsidP="00DB2113">
      <w:pPr>
        <w:rPr>
          <w:szCs w:val="24"/>
          <w:lang w:val="en-GB"/>
        </w:rPr>
      </w:pPr>
      <w:r w:rsidRPr="00B26241">
        <w:rPr>
          <w:szCs w:val="24"/>
          <w:lang w:val="en-GB"/>
        </w:rPr>
        <w:t>In order to fully prepare for the process of</w:t>
      </w:r>
      <w:r>
        <w:rPr>
          <w:szCs w:val="24"/>
          <w:lang w:val="en-GB"/>
        </w:rPr>
        <w:t xml:space="preserve"> absorption of</w:t>
      </w:r>
      <w:r w:rsidRPr="00B26241">
        <w:rPr>
          <w:szCs w:val="24"/>
          <w:lang w:val="en-GB"/>
        </w:rPr>
        <w:t xml:space="preserve"> EU funds under </w:t>
      </w:r>
      <w:r>
        <w:rPr>
          <w:szCs w:val="24"/>
          <w:lang w:val="en-GB"/>
        </w:rPr>
        <w:t>the C</w:t>
      </w:r>
      <w:r w:rsidRPr="00B26241">
        <w:rPr>
          <w:szCs w:val="24"/>
          <w:lang w:val="en-GB"/>
        </w:rPr>
        <w:t xml:space="preserve">omponents III and IV, Serbia </w:t>
      </w:r>
      <w:r>
        <w:rPr>
          <w:szCs w:val="24"/>
          <w:lang w:val="en-GB"/>
        </w:rPr>
        <w:t>developed a</w:t>
      </w:r>
      <w:r w:rsidRPr="00B26241">
        <w:rPr>
          <w:szCs w:val="24"/>
          <w:lang w:val="en-GB"/>
        </w:rPr>
        <w:t xml:space="preserve"> Strategic Coherence Framework (SCF) and </w:t>
      </w:r>
      <w:r>
        <w:rPr>
          <w:szCs w:val="24"/>
          <w:lang w:val="en-GB"/>
        </w:rPr>
        <w:t xml:space="preserve">the </w:t>
      </w:r>
      <w:r w:rsidRPr="00B26241">
        <w:rPr>
          <w:szCs w:val="24"/>
          <w:lang w:val="en-GB"/>
        </w:rPr>
        <w:t>corresponding Operational Programmes (OPs).</w:t>
      </w:r>
      <w:r>
        <w:rPr>
          <w:szCs w:val="24"/>
          <w:lang w:val="en-GB"/>
        </w:rPr>
        <w:t xml:space="preserve"> T</w:t>
      </w:r>
      <w:r w:rsidRPr="00B26241">
        <w:rPr>
          <w:szCs w:val="24"/>
          <w:lang w:val="en-GB"/>
        </w:rPr>
        <w:t>his process was initiated by IPA S</w:t>
      </w:r>
      <w:r>
        <w:rPr>
          <w:szCs w:val="24"/>
        </w:rPr>
        <w:t xml:space="preserve">teering Committee </w:t>
      </w:r>
      <w:r>
        <w:rPr>
          <w:szCs w:val="24"/>
          <w:lang w:val="en-GB"/>
        </w:rPr>
        <w:t>i</w:t>
      </w:r>
      <w:r w:rsidRPr="00B26241">
        <w:rPr>
          <w:szCs w:val="24"/>
          <w:lang w:val="en-GB"/>
        </w:rPr>
        <w:t xml:space="preserve">n accordance with IPA Regulation. In order to ensure alignment with </w:t>
      </w:r>
      <w:r>
        <w:rPr>
          <w:szCs w:val="24"/>
          <w:lang w:val="en-GB"/>
        </w:rPr>
        <w:t xml:space="preserve">the </w:t>
      </w:r>
      <w:r w:rsidRPr="00B26241">
        <w:rPr>
          <w:szCs w:val="24"/>
          <w:lang w:val="en-GB"/>
        </w:rPr>
        <w:t>national policy goals and full ownership o</w:t>
      </w:r>
      <w:r>
        <w:rPr>
          <w:szCs w:val="24"/>
          <w:lang w:val="en-GB"/>
        </w:rPr>
        <w:t>f</w:t>
      </w:r>
      <w:r w:rsidRPr="00B26241">
        <w:rPr>
          <w:szCs w:val="24"/>
          <w:lang w:val="en-GB"/>
        </w:rPr>
        <w:t xml:space="preserve"> IPA </w:t>
      </w:r>
      <w:r>
        <w:rPr>
          <w:szCs w:val="24"/>
          <w:lang w:val="en-GB"/>
        </w:rPr>
        <w:t>C</w:t>
      </w:r>
      <w:r w:rsidRPr="00B26241">
        <w:rPr>
          <w:szCs w:val="24"/>
          <w:lang w:val="en-GB"/>
        </w:rPr>
        <w:t>omponents III and IV by the responsible line ministries, the Strategic Coordinator has been supported in this process by the SCF Joint Body (SCFJB)</w:t>
      </w:r>
      <w:r>
        <w:rPr>
          <w:szCs w:val="24"/>
          <w:lang w:val="en-GB"/>
        </w:rPr>
        <w:t>. The SCFBJ</w:t>
      </w:r>
      <w:r w:rsidRPr="00B26241">
        <w:rPr>
          <w:szCs w:val="24"/>
          <w:lang w:val="en-GB"/>
        </w:rPr>
        <w:t xml:space="preserve"> </w:t>
      </w:r>
      <w:r>
        <w:rPr>
          <w:szCs w:val="24"/>
          <w:lang w:val="en-GB"/>
        </w:rPr>
        <w:t xml:space="preserve">was </w:t>
      </w:r>
      <w:r w:rsidRPr="00B26241">
        <w:rPr>
          <w:szCs w:val="24"/>
          <w:lang w:val="en-GB"/>
        </w:rPr>
        <w:t xml:space="preserve">formally created through the inter-ministerial agreement adopted on 28 August 2009. The SCFJB facilitated inter-ministerial coordination and operated as a forum for discussing inputs to the SCF and reviewing draft documents, in line with agreed protocols, as well as </w:t>
      </w:r>
      <w:r>
        <w:rPr>
          <w:szCs w:val="24"/>
          <w:lang w:val="en-GB"/>
        </w:rPr>
        <w:t xml:space="preserve">for ensuring </w:t>
      </w:r>
      <w:r w:rsidRPr="00B26241">
        <w:rPr>
          <w:szCs w:val="24"/>
          <w:lang w:val="en-GB"/>
        </w:rPr>
        <w:t xml:space="preserve">coordination, </w:t>
      </w:r>
      <w:r w:rsidRPr="00EB64E7">
        <w:rPr>
          <w:szCs w:val="24"/>
          <w:lang w:val="en-GB"/>
        </w:rPr>
        <w:t>complementar</w:t>
      </w:r>
      <w:r>
        <w:rPr>
          <w:szCs w:val="24"/>
          <w:lang w:val="en-GB"/>
        </w:rPr>
        <w:t>ity</w:t>
      </w:r>
      <w:r w:rsidRPr="00B26241">
        <w:rPr>
          <w:szCs w:val="24"/>
          <w:lang w:val="en-GB"/>
        </w:rPr>
        <w:t xml:space="preserve"> and synergy between OPs.</w:t>
      </w:r>
    </w:p>
    <w:p w:rsidR="00DB2113" w:rsidRPr="00B26241" w:rsidRDefault="00DB2113" w:rsidP="00DB2113">
      <w:pPr>
        <w:rPr>
          <w:szCs w:val="24"/>
          <w:lang w:val="en-GB"/>
        </w:rPr>
      </w:pPr>
      <w:r w:rsidRPr="00B26241">
        <w:rPr>
          <w:szCs w:val="24"/>
          <w:lang w:val="en-GB"/>
        </w:rPr>
        <w:t xml:space="preserve">However, these documents </w:t>
      </w:r>
      <w:r>
        <w:rPr>
          <w:szCs w:val="24"/>
          <w:lang w:val="en-GB"/>
        </w:rPr>
        <w:t>were not</w:t>
      </w:r>
      <w:r w:rsidRPr="00B26241">
        <w:rPr>
          <w:szCs w:val="24"/>
          <w:lang w:val="en-GB"/>
        </w:rPr>
        <w:t xml:space="preserve"> officially adopt</w:t>
      </w:r>
      <w:r>
        <w:rPr>
          <w:szCs w:val="24"/>
          <w:lang w:val="en-GB"/>
        </w:rPr>
        <w:t>ed by the G</w:t>
      </w:r>
      <w:r w:rsidRPr="00B26241">
        <w:rPr>
          <w:szCs w:val="24"/>
          <w:lang w:val="en-GB"/>
        </w:rPr>
        <w:t xml:space="preserve">overnment due to the fact that </w:t>
      </w:r>
      <w:r>
        <w:rPr>
          <w:szCs w:val="24"/>
          <w:lang w:val="en-GB"/>
        </w:rPr>
        <w:t xml:space="preserve">the </w:t>
      </w:r>
      <w:r w:rsidRPr="00B26241">
        <w:rPr>
          <w:szCs w:val="24"/>
          <w:lang w:val="en-GB"/>
        </w:rPr>
        <w:t>candidate country status was given at a</w:t>
      </w:r>
      <w:r>
        <w:rPr>
          <w:szCs w:val="24"/>
          <w:lang w:val="en-GB"/>
        </w:rPr>
        <w:t xml:space="preserve"> late stage of the existing EU F</w:t>
      </w:r>
      <w:r w:rsidRPr="00B26241">
        <w:rPr>
          <w:szCs w:val="24"/>
          <w:lang w:val="en-GB"/>
        </w:rPr>
        <w:t>inancial Perspective (2007-2013). Nevertheless, most projects programmed within this process will be implemented under the procedures and rules designated for IPA Component I for 2012 and 2013.</w:t>
      </w:r>
    </w:p>
    <w:p w:rsidR="00DB2113" w:rsidRPr="00B26241" w:rsidRDefault="00A07B29" w:rsidP="00DB2113">
      <w:pPr>
        <w:rPr>
          <w:szCs w:val="24"/>
          <w:lang w:val="en-GB"/>
        </w:rPr>
      </w:pPr>
      <w:r>
        <w:rPr>
          <w:noProof/>
        </w:rPr>
        <mc:AlternateContent>
          <mc:Choice Requires="wps">
            <w:drawing>
              <wp:anchor distT="0" distB="0" distL="114300" distR="114300" simplePos="0" relativeHeight="251708416" behindDoc="0" locked="0" layoutInCell="1" allowOverlap="1" wp14:anchorId="68156E81" wp14:editId="193D405B">
                <wp:simplePos x="0" y="0"/>
                <wp:positionH relativeFrom="column">
                  <wp:posOffset>-10160</wp:posOffset>
                </wp:positionH>
                <wp:positionV relativeFrom="paragraph">
                  <wp:posOffset>12700</wp:posOffset>
                </wp:positionV>
                <wp:extent cx="5835650" cy="1243965"/>
                <wp:effectExtent l="0" t="0" r="12700" b="13335"/>
                <wp:wrapNone/>
                <wp:docPr id="10"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1243965"/>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227A2" w:rsidRPr="005A5809" w:rsidRDefault="008227A2" w:rsidP="00DB2113">
                            <w:r w:rsidRPr="005A5809">
                              <w:rPr>
                                <w:b/>
                              </w:rPr>
                              <w:t>Serbia</w:t>
                            </w:r>
                            <w:r>
                              <w:rPr>
                                <w:b/>
                              </w:rPr>
                              <w:t>n Government</w:t>
                            </w:r>
                            <w:r w:rsidRPr="005A5809">
                              <w:rPr>
                                <w:b/>
                              </w:rPr>
                              <w:t xml:space="preserve"> has drafted the Strategic Coherence Framework and Operational Programme for Human Resources Development and designed Operating Structures. </w:t>
                            </w:r>
                            <w:r>
                              <w:rPr>
                                <w:b/>
                              </w:rPr>
                              <w:t xml:space="preserve">The preparations for the establishment of decentralized management of EU funds have been initiated – the accreditation package has been submitted and the conferral of management is planned by mid-2013.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ounded Rectangle 27" o:spid="_x0000_s1028" style="position:absolute;left:0;text-align:left;margin-left:-.8pt;margin-top:1pt;width:459.5pt;height:9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" fillcolor="#d8d8d8 [2732]" strokecolor="black [3213]" strokeweight="1pt">
                <v:shadow color="black" opacity="24903f" origin=",.5" offset="0,.55556mm"/>
                <v:path arrowok="t"/>
                <v:textbox>
                  <w:txbxContent>
                    <w:p w:rsidR="008227A2" w:rsidRPr="005A5809" w:rsidRDefault="008227A2" w:rsidP="00DB2113">
                      <w:r w:rsidRPr="005A5809">
                        <w:rPr>
                          <w:b/>
                        </w:rPr>
                        <w:t>Serbia</w:t>
                      </w:r>
                      <w:r>
                        <w:rPr>
                          <w:b/>
                        </w:rPr>
                        <w:t>n Government</w:t>
                      </w:r>
                      <w:r w:rsidRPr="005A5809">
                        <w:rPr>
                          <w:b/>
                        </w:rPr>
                        <w:t xml:space="preserve"> has drafted the Strategic Coherence Framework and Operational Programme for Human Resources Development and designed Operating Structures. </w:t>
                      </w:r>
                      <w:r>
                        <w:rPr>
                          <w:b/>
                        </w:rPr>
                        <w:t xml:space="preserve">The preparations for the establishment of decentralized management of EU funds have been initiated – the accreditation package has been submitted and the conferral of management is planned by mid-2013.  </w:t>
                      </w:r>
                    </w:p>
                  </w:txbxContent>
                </v:textbox>
              </v:rect>
            </w:pict>
          </mc:Fallback>
        </mc:AlternateContent>
      </w:r>
    </w:p>
    <w:p w:rsidR="00DB2113" w:rsidRPr="00B26241" w:rsidRDefault="00DB2113" w:rsidP="00DB2113">
      <w:pPr>
        <w:rPr>
          <w:szCs w:val="24"/>
          <w:lang w:val="en-GB"/>
        </w:rPr>
      </w:pPr>
    </w:p>
    <w:p w:rsidR="00DB2113" w:rsidRPr="00B26241" w:rsidRDefault="00DB2113" w:rsidP="00DB2113">
      <w:pPr>
        <w:rPr>
          <w:b/>
          <w:szCs w:val="24"/>
          <w:lang w:val="en-GB"/>
        </w:rPr>
      </w:pPr>
    </w:p>
    <w:p w:rsidR="00DB2113" w:rsidRPr="00B26241" w:rsidRDefault="00DB2113" w:rsidP="00DB2113">
      <w:pPr>
        <w:rPr>
          <w:b/>
          <w:szCs w:val="24"/>
          <w:lang w:val="en-GB"/>
        </w:rPr>
      </w:pPr>
    </w:p>
    <w:p w:rsidR="00534726" w:rsidRDefault="00534726" w:rsidP="00DB2113">
      <w:pPr>
        <w:rPr>
          <w:b/>
          <w:szCs w:val="24"/>
          <w:lang w:val="en-GB"/>
        </w:rPr>
      </w:pPr>
    </w:p>
    <w:p w:rsidR="00DB2113" w:rsidRPr="00B26241" w:rsidRDefault="00DB2113" w:rsidP="00DB2113">
      <w:pPr>
        <w:rPr>
          <w:szCs w:val="24"/>
          <w:lang w:val="en-GB"/>
        </w:rPr>
      </w:pPr>
      <w:r>
        <w:rPr>
          <w:b/>
          <w:szCs w:val="24"/>
          <w:lang w:val="en-GB"/>
        </w:rPr>
        <w:t xml:space="preserve">The </w:t>
      </w:r>
      <w:r w:rsidRPr="00B26241">
        <w:rPr>
          <w:b/>
          <w:szCs w:val="24"/>
          <w:lang w:val="en-GB"/>
        </w:rPr>
        <w:t>Draft Operational Programme for Human Resources Development 2012 – 2013</w:t>
      </w:r>
      <w:r w:rsidRPr="00B26241">
        <w:rPr>
          <w:szCs w:val="24"/>
          <w:lang w:val="en-GB"/>
        </w:rPr>
        <w:t xml:space="preserve"> envisage</w:t>
      </w:r>
      <w:r>
        <w:rPr>
          <w:szCs w:val="24"/>
          <w:lang w:val="en-GB"/>
        </w:rPr>
        <w:t>s</w:t>
      </w:r>
      <w:r w:rsidRPr="00B26241">
        <w:rPr>
          <w:szCs w:val="24"/>
          <w:lang w:val="en-GB"/>
        </w:rPr>
        <w:t xml:space="preserve"> two measures </w:t>
      </w:r>
      <w:r>
        <w:rPr>
          <w:szCs w:val="24"/>
          <w:lang w:val="en-GB"/>
        </w:rPr>
        <w:t xml:space="preserve">directly </w:t>
      </w:r>
      <w:r w:rsidRPr="00B26241">
        <w:rPr>
          <w:szCs w:val="24"/>
          <w:lang w:val="en-GB"/>
        </w:rPr>
        <w:t>targeting social inclusion</w:t>
      </w:r>
      <w:r>
        <w:rPr>
          <w:szCs w:val="24"/>
          <w:lang w:val="en-GB"/>
        </w:rPr>
        <w:t xml:space="preserve"> (although other measures are targeting social inclusion indirectly)</w:t>
      </w:r>
      <w:r w:rsidRPr="00B26241">
        <w:rPr>
          <w:szCs w:val="24"/>
          <w:lang w:val="en-GB"/>
        </w:rPr>
        <w:t>:</w:t>
      </w:r>
    </w:p>
    <w:p w:rsidR="00DB2113" w:rsidRPr="00FB7EFB" w:rsidRDefault="00DB2113" w:rsidP="00351681">
      <w:pPr>
        <w:pStyle w:val="ListParagraph"/>
        <w:numPr>
          <w:ilvl w:val="0"/>
          <w:numId w:val="28"/>
        </w:numPr>
        <w:rPr>
          <w:szCs w:val="24"/>
          <w:lang w:val="en-GB"/>
        </w:rPr>
      </w:pPr>
      <w:r w:rsidRPr="00FB7EFB">
        <w:rPr>
          <w:szCs w:val="24"/>
          <w:lang w:val="en-GB"/>
        </w:rPr>
        <w:t>Support to social inclusion through more diversified community-based social services aimed at strengthening the capacity of local self-governments in leading partnership-based social inclusion policies, and improving the range and the quality of community-based social services providing cross-sectoral solutions to vulnerable and disadvantaged groups.</w:t>
      </w:r>
    </w:p>
    <w:p w:rsidR="00DB2113" w:rsidRDefault="00DB2113" w:rsidP="00351681">
      <w:pPr>
        <w:pStyle w:val="ListParagraph"/>
        <w:numPr>
          <w:ilvl w:val="0"/>
          <w:numId w:val="28"/>
        </w:numPr>
        <w:rPr>
          <w:szCs w:val="24"/>
        </w:rPr>
      </w:pPr>
      <w:r w:rsidRPr="00B26241">
        <w:rPr>
          <w:szCs w:val="24"/>
          <w:lang w:val="en-GB"/>
        </w:rPr>
        <w:t xml:space="preserve">Supporting the transition from welfare to work through active inclusion aimed </w:t>
      </w:r>
      <w:r>
        <w:rPr>
          <w:szCs w:val="24"/>
          <w:lang w:val="en-GB"/>
        </w:rPr>
        <w:t>at</w:t>
      </w:r>
      <w:r w:rsidRPr="00B26241">
        <w:rPr>
          <w:szCs w:val="24"/>
          <w:lang w:val="en-GB"/>
        </w:rPr>
        <w:t xml:space="preserve"> increas</w:t>
      </w:r>
      <w:r>
        <w:rPr>
          <w:szCs w:val="24"/>
          <w:lang w:val="en-GB"/>
        </w:rPr>
        <w:t>ing</w:t>
      </w:r>
      <w:r w:rsidRPr="00B26241">
        <w:rPr>
          <w:szCs w:val="24"/>
          <w:lang w:val="en-GB"/>
        </w:rPr>
        <w:t xml:space="preserve"> the coverage of </w:t>
      </w:r>
      <w:r>
        <w:rPr>
          <w:szCs w:val="24"/>
          <w:lang w:val="en-GB"/>
        </w:rPr>
        <w:t xml:space="preserve">the </w:t>
      </w:r>
      <w:r w:rsidRPr="00B26241">
        <w:rPr>
          <w:szCs w:val="24"/>
          <w:lang w:val="en-GB"/>
        </w:rPr>
        <w:t xml:space="preserve">guaranteed minimum income among </w:t>
      </w:r>
      <w:r>
        <w:rPr>
          <w:szCs w:val="24"/>
          <w:lang w:val="en-GB"/>
        </w:rPr>
        <w:t xml:space="preserve">the </w:t>
      </w:r>
      <w:r w:rsidRPr="00B26241">
        <w:rPr>
          <w:szCs w:val="24"/>
          <w:lang w:val="en-GB"/>
        </w:rPr>
        <w:t>socially excluded groups, and promot</w:t>
      </w:r>
      <w:r>
        <w:rPr>
          <w:szCs w:val="24"/>
          <w:lang w:val="en-GB"/>
        </w:rPr>
        <w:t>ing the</w:t>
      </w:r>
      <w:r w:rsidRPr="00B26241">
        <w:rPr>
          <w:szCs w:val="24"/>
          <w:lang w:val="en-GB"/>
        </w:rPr>
        <w:t xml:space="preserve"> transition from welfare to work through active inclusion and better integrated social and employment services. </w:t>
      </w:r>
    </w:p>
    <w:p w:rsidR="00DB2113" w:rsidRPr="00B26241" w:rsidRDefault="00DB2113" w:rsidP="00DB2113">
      <w:pPr>
        <w:rPr>
          <w:szCs w:val="24"/>
          <w:lang w:val="en-GB"/>
        </w:rPr>
      </w:pPr>
      <w:r w:rsidRPr="00B26241">
        <w:rPr>
          <w:szCs w:val="24"/>
          <w:lang w:val="en-GB"/>
        </w:rPr>
        <w:t xml:space="preserve">Other priority axes and measures under IPA </w:t>
      </w:r>
      <w:r>
        <w:rPr>
          <w:szCs w:val="24"/>
          <w:lang w:val="en-GB"/>
        </w:rPr>
        <w:t>C</w:t>
      </w:r>
      <w:r w:rsidRPr="00B26241">
        <w:rPr>
          <w:szCs w:val="24"/>
          <w:lang w:val="en-GB"/>
        </w:rPr>
        <w:t xml:space="preserve">omponent IV are presented in Annex </w:t>
      </w:r>
      <w:r w:rsidR="00AE1969">
        <w:rPr>
          <w:szCs w:val="24"/>
          <w:lang w:val="en-GB"/>
        </w:rPr>
        <w:t>4</w:t>
      </w:r>
      <w:r w:rsidRPr="00B26241">
        <w:rPr>
          <w:szCs w:val="24"/>
          <w:lang w:val="en-GB"/>
        </w:rPr>
        <w:t>.</w:t>
      </w:r>
      <w:r>
        <w:rPr>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DB2113" w:rsidRPr="00344384" w:rsidTr="00534726">
        <w:trPr>
          <w:trHeight w:val="8567"/>
        </w:trPr>
        <w:tc>
          <w:tcPr>
            <w:tcW w:w="9243" w:type="dxa"/>
          </w:tcPr>
          <w:p w:rsidR="00DB2113" w:rsidRPr="00344384" w:rsidRDefault="00DB2113" w:rsidP="00DB2113">
            <w:pPr>
              <w:autoSpaceDE w:val="0"/>
              <w:autoSpaceDN w:val="0"/>
              <w:adjustRightInd w:val="0"/>
              <w:rPr>
                <w:b/>
                <w:szCs w:val="24"/>
                <w:lang w:val="en-GB"/>
              </w:rPr>
            </w:pPr>
            <w:r w:rsidRPr="00344384">
              <w:rPr>
                <w:b/>
                <w:szCs w:val="24"/>
                <w:lang w:val="en-GB"/>
              </w:rPr>
              <w:t xml:space="preserve">Box </w:t>
            </w:r>
            <w:r w:rsidR="00AE1969">
              <w:rPr>
                <w:b/>
                <w:szCs w:val="24"/>
                <w:lang w:val="en-GB"/>
              </w:rPr>
              <w:t>4</w:t>
            </w:r>
            <w:r w:rsidRPr="00344384">
              <w:rPr>
                <w:b/>
                <w:szCs w:val="24"/>
                <w:lang w:val="en-GB"/>
              </w:rPr>
              <w:t xml:space="preserve">: </w:t>
            </w:r>
            <w:r w:rsidRPr="00E10D96">
              <w:rPr>
                <w:b/>
                <w:szCs w:val="24"/>
                <w:u w:val="single"/>
                <w:lang w:val="en-GB"/>
              </w:rPr>
              <w:t>IPA under the new financial perspective 2014-2020</w:t>
            </w:r>
          </w:p>
          <w:p w:rsidR="00DB2113" w:rsidRPr="00344384" w:rsidRDefault="00DB2113" w:rsidP="00DB2113">
            <w:pPr>
              <w:autoSpaceDE w:val="0"/>
              <w:autoSpaceDN w:val="0"/>
              <w:adjustRightInd w:val="0"/>
              <w:rPr>
                <w:b/>
                <w:szCs w:val="24"/>
                <w:lang w:val="en-GB"/>
              </w:rPr>
            </w:pPr>
            <w:r w:rsidRPr="00344384">
              <w:rPr>
                <w:szCs w:val="24"/>
                <w:lang w:val="en-GB"/>
              </w:rPr>
              <w:t xml:space="preserve">The Proposal for a Regulation on the Instrument for Pre-accession Assistance (IPA II) of the European Parliament and of the Council (7.12.2011) (hereinafter “the Proposal”) </w:t>
            </w:r>
            <w:r>
              <w:rPr>
                <w:szCs w:val="24"/>
                <w:lang w:val="en-GB"/>
              </w:rPr>
              <w:t>is</w:t>
            </w:r>
            <w:r w:rsidRPr="00344384">
              <w:rPr>
                <w:szCs w:val="24"/>
                <w:lang w:val="en-GB"/>
              </w:rPr>
              <w:t xml:space="preserve"> a </w:t>
            </w:r>
            <w:r>
              <w:rPr>
                <w:szCs w:val="24"/>
                <w:lang w:val="en-GB"/>
              </w:rPr>
              <w:t xml:space="preserve">strong </w:t>
            </w:r>
            <w:r w:rsidRPr="00344384">
              <w:rPr>
                <w:szCs w:val="24"/>
                <w:lang w:val="en-GB"/>
              </w:rPr>
              <w:t xml:space="preserve">indication that the European Union will continue to offer technical and financial assistance </w:t>
            </w:r>
            <w:r>
              <w:rPr>
                <w:szCs w:val="24"/>
                <w:lang w:val="en-GB"/>
              </w:rPr>
              <w:t xml:space="preserve">to the </w:t>
            </w:r>
            <w:r w:rsidRPr="00344384">
              <w:rPr>
                <w:szCs w:val="24"/>
                <w:lang w:val="en-GB"/>
              </w:rPr>
              <w:t xml:space="preserve">candidate countries and potential candidates to align their institutions and economies with the standards and policies of the EU under the new </w:t>
            </w:r>
            <w:r>
              <w:rPr>
                <w:szCs w:val="24"/>
                <w:lang w:val="en-GB"/>
              </w:rPr>
              <w:t>F</w:t>
            </w:r>
            <w:r w:rsidRPr="00344384">
              <w:rPr>
                <w:szCs w:val="24"/>
                <w:lang w:val="en-GB"/>
              </w:rPr>
              <w:t xml:space="preserve">inancial </w:t>
            </w:r>
            <w:r>
              <w:rPr>
                <w:szCs w:val="24"/>
                <w:lang w:val="en-GB"/>
              </w:rPr>
              <w:t>P</w:t>
            </w:r>
            <w:r w:rsidRPr="00344384">
              <w:rPr>
                <w:szCs w:val="24"/>
                <w:lang w:val="en-GB"/>
              </w:rPr>
              <w:t>erspective 2014-2020.</w:t>
            </w:r>
          </w:p>
          <w:p w:rsidR="00DB2113" w:rsidRPr="00344384" w:rsidRDefault="00DB2113" w:rsidP="00DB2113">
            <w:pPr>
              <w:autoSpaceDE w:val="0"/>
              <w:autoSpaceDN w:val="0"/>
              <w:adjustRightInd w:val="0"/>
              <w:rPr>
                <w:b/>
                <w:szCs w:val="24"/>
                <w:lang w:val="en-GB"/>
              </w:rPr>
            </w:pPr>
            <w:r w:rsidRPr="00344384">
              <w:rPr>
                <w:szCs w:val="24"/>
                <w:lang w:val="en-GB"/>
              </w:rPr>
              <w:t xml:space="preserve">While the objective of the new IPA will remain the same: delivering on the Enlargement Policy by supporting candidate countries and potential candidates in their preparations for EU membership, it is still unclear what form the new IPA will </w:t>
            </w:r>
            <w:r>
              <w:rPr>
                <w:szCs w:val="24"/>
                <w:lang w:val="en-GB"/>
              </w:rPr>
              <w:t>take</w:t>
            </w:r>
            <w:r w:rsidRPr="00344384">
              <w:rPr>
                <w:szCs w:val="24"/>
                <w:lang w:val="en-GB"/>
              </w:rPr>
              <w:t>. Nevertheless, it is</w:t>
            </w:r>
            <w:r>
              <w:rPr>
                <w:szCs w:val="24"/>
                <w:lang w:val="en-GB"/>
              </w:rPr>
              <w:t xml:space="preserve"> already apparent that certain </w:t>
            </w:r>
            <w:r w:rsidRPr="00344384">
              <w:rPr>
                <w:szCs w:val="24"/>
                <w:lang w:val="en-GB"/>
              </w:rPr>
              <w:t xml:space="preserve">changes will take place. Some of the key new trends that emerge from the Proposal </w:t>
            </w:r>
            <w:r>
              <w:rPr>
                <w:szCs w:val="24"/>
                <w:lang w:val="en-GB"/>
              </w:rPr>
              <w:t>may</w:t>
            </w:r>
            <w:r w:rsidRPr="00344384">
              <w:rPr>
                <w:szCs w:val="24"/>
                <w:lang w:val="en-GB"/>
              </w:rPr>
              <w:t xml:space="preserve"> be summed up as follows:</w:t>
            </w:r>
          </w:p>
          <w:p w:rsidR="00DB2113" w:rsidRPr="00983B1D" w:rsidRDefault="00DB2113" w:rsidP="00351681">
            <w:pPr>
              <w:pStyle w:val="ListParagraph"/>
              <w:numPr>
                <w:ilvl w:val="0"/>
                <w:numId w:val="10"/>
              </w:numPr>
              <w:autoSpaceDE w:val="0"/>
              <w:autoSpaceDN w:val="0"/>
              <w:adjustRightInd w:val="0"/>
              <w:rPr>
                <w:b/>
                <w:szCs w:val="24"/>
                <w:lang w:val="en-GB"/>
              </w:rPr>
            </w:pPr>
            <w:r w:rsidRPr="00983B1D">
              <w:rPr>
                <w:b/>
                <w:szCs w:val="24"/>
                <w:lang w:val="en-GB"/>
              </w:rPr>
              <w:t>Strengthening the sector(-wide) approach (SWAp)</w:t>
            </w:r>
            <w:r w:rsidR="00027216" w:rsidRPr="00983B1D">
              <w:rPr>
                <w:b/>
                <w:szCs w:val="24"/>
                <w:lang w:val="en-GB"/>
              </w:rPr>
              <w:t>,</w:t>
            </w:r>
          </w:p>
          <w:p w:rsidR="00DB2113" w:rsidRPr="00983B1D" w:rsidRDefault="00DB2113" w:rsidP="00351681">
            <w:pPr>
              <w:pStyle w:val="ListParagraph"/>
              <w:numPr>
                <w:ilvl w:val="0"/>
                <w:numId w:val="10"/>
              </w:numPr>
              <w:autoSpaceDE w:val="0"/>
              <w:autoSpaceDN w:val="0"/>
              <w:adjustRightInd w:val="0"/>
              <w:rPr>
                <w:b/>
                <w:szCs w:val="24"/>
                <w:lang w:val="en-GB"/>
              </w:rPr>
            </w:pPr>
            <w:r w:rsidRPr="00983B1D">
              <w:rPr>
                <w:b/>
                <w:szCs w:val="24"/>
                <w:lang w:val="en-GB"/>
              </w:rPr>
              <w:t>Focusing on innovative financing instruments</w:t>
            </w:r>
            <w:r w:rsidR="00027216" w:rsidRPr="00983B1D">
              <w:rPr>
                <w:b/>
                <w:szCs w:val="24"/>
                <w:lang w:val="en-GB"/>
              </w:rPr>
              <w:t>,</w:t>
            </w:r>
            <w:r w:rsidRPr="00983B1D">
              <w:rPr>
                <w:b/>
                <w:szCs w:val="24"/>
                <w:lang w:val="en-GB"/>
              </w:rPr>
              <w:t xml:space="preserve"> </w:t>
            </w:r>
          </w:p>
          <w:p w:rsidR="00DB2113" w:rsidRPr="00983B1D" w:rsidRDefault="00DB2113" w:rsidP="00351681">
            <w:pPr>
              <w:pStyle w:val="ListParagraph"/>
              <w:numPr>
                <w:ilvl w:val="0"/>
                <w:numId w:val="10"/>
              </w:numPr>
              <w:autoSpaceDE w:val="0"/>
              <w:autoSpaceDN w:val="0"/>
              <w:adjustRightInd w:val="0"/>
              <w:rPr>
                <w:b/>
                <w:szCs w:val="24"/>
                <w:lang w:val="en-GB"/>
              </w:rPr>
            </w:pPr>
            <w:r w:rsidRPr="00983B1D">
              <w:rPr>
                <w:b/>
                <w:szCs w:val="24"/>
                <w:lang w:val="en-GB"/>
              </w:rPr>
              <w:t>Accessing various types of assistance no longer subject to candidate/potential candidate status</w:t>
            </w:r>
            <w:r w:rsidR="00027216" w:rsidRPr="00983B1D">
              <w:rPr>
                <w:b/>
                <w:szCs w:val="24"/>
                <w:lang w:val="en-GB"/>
              </w:rPr>
              <w:t>,</w:t>
            </w:r>
          </w:p>
          <w:p w:rsidR="00DB2113" w:rsidRPr="00983B1D" w:rsidRDefault="00DB2113" w:rsidP="00351681">
            <w:pPr>
              <w:pStyle w:val="ListParagraph"/>
              <w:numPr>
                <w:ilvl w:val="0"/>
                <w:numId w:val="10"/>
              </w:numPr>
              <w:autoSpaceDE w:val="0"/>
              <w:autoSpaceDN w:val="0"/>
              <w:adjustRightInd w:val="0"/>
              <w:rPr>
                <w:b/>
                <w:szCs w:val="24"/>
                <w:lang w:val="en-GB"/>
              </w:rPr>
            </w:pPr>
            <w:r w:rsidRPr="00983B1D">
              <w:rPr>
                <w:b/>
                <w:szCs w:val="24"/>
                <w:lang w:val="en-GB"/>
              </w:rPr>
              <w:t>Introducing multi-annual planning to cover the duration of the next multi-annual financial framework</w:t>
            </w:r>
            <w:r w:rsidR="00027216" w:rsidRPr="00983B1D">
              <w:rPr>
                <w:b/>
                <w:szCs w:val="24"/>
                <w:lang w:val="en-GB"/>
              </w:rPr>
              <w:t>.</w:t>
            </w:r>
          </w:p>
          <w:p w:rsidR="00DB2113" w:rsidRPr="00344384" w:rsidRDefault="00DB2113" w:rsidP="00DB2113">
            <w:pPr>
              <w:rPr>
                <w:szCs w:val="24"/>
                <w:lang w:val="en-GB"/>
              </w:rPr>
            </w:pPr>
            <w:r w:rsidRPr="00344384">
              <w:rPr>
                <w:szCs w:val="24"/>
                <w:lang w:val="en-GB"/>
              </w:rPr>
              <w:t>Possible implications for social inclusion:</w:t>
            </w:r>
          </w:p>
          <w:p w:rsidR="00DB2113" w:rsidRPr="00344384" w:rsidRDefault="00DB2113" w:rsidP="00351681">
            <w:pPr>
              <w:pStyle w:val="ListParagraph"/>
              <w:numPr>
                <w:ilvl w:val="0"/>
                <w:numId w:val="11"/>
              </w:numPr>
              <w:rPr>
                <w:szCs w:val="24"/>
                <w:lang w:val="en-GB"/>
              </w:rPr>
            </w:pPr>
            <w:r>
              <w:rPr>
                <w:szCs w:val="24"/>
                <w:lang w:val="en-GB"/>
              </w:rPr>
              <w:t>S</w:t>
            </w:r>
            <w:r w:rsidRPr="00344384">
              <w:rPr>
                <w:szCs w:val="24"/>
                <w:lang w:val="en-GB"/>
              </w:rPr>
              <w:t xml:space="preserve">ocial inclusion will </w:t>
            </w:r>
            <w:r>
              <w:rPr>
                <w:szCs w:val="24"/>
                <w:lang w:val="en-GB"/>
              </w:rPr>
              <w:t>likely</w:t>
            </w:r>
            <w:r w:rsidRPr="00344384">
              <w:rPr>
                <w:szCs w:val="24"/>
                <w:lang w:val="en-GB"/>
              </w:rPr>
              <w:t xml:space="preserve"> </w:t>
            </w:r>
            <w:r w:rsidR="00AE1969">
              <w:rPr>
                <w:szCs w:val="24"/>
                <w:lang w:val="en-GB"/>
              </w:rPr>
              <w:t xml:space="preserve">be covered as a sector within the IPA area Employment, Social Policies and </w:t>
            </w:r>
            <w:r w:rsidRPr="00344384">
              <w:rPr>
                <w:szCs w:val="24"/>
                <w:lang w:val="en-GB"/>
              </w:rPr>
              <w:t>Human Resource Development – within the SWAp</w:t>
            </w:r>
            <w:r w:rsidR="00FB7EFB">
              <w:rPr>
                <w:szCs w:val="24"/>
                <w:lang w:val="en-GB"/>
              </w:rPr>
              <w:t>;</w:t>
            </w:r>
          </w:p>
          <w:p w:rsidR="00DB2113" w:rsidRPr="00344384" w:rsidRDefault="00DB2113" w:rsidP="00351681">
            <w:pPr>
              <w:pStyle w:val="ListParagraph"/>
              <w:numPr>
                <w:ilvl w:val="0"/>
                <w:numId w:val="11"/>
              </w:numPr>
              <w:rPr>
                <w:szCs w:val="24"/>
                <w:lang w:val="en-GB"/>
              </w:rPr>
            </w:pPr>
            <w:r w:rsidRPr="00344384">
              <w:rPr>
                <w:szCs w:val="24"/>
                <w:lang w:val="en-GB"/>
              </w:rPr>
              <w:t>Policy coordination/programming and implementation of social inclusion polic</w:t>
            </w:r>
            <w:r>
              <w:rPr>
                <w:szCs w:val="24"/>
              </w:rPr>
              <w:t>ies</w:t>
            </w:r>
            <w:r w:rsidRPr="00344384">
              <w:rPr>
                <w:szCs w:val="24"/>
                <w:lang w:val="en-GB"/>
              </w:rPr>
              <w:t xml:space="preserve"> will have to be strengthened due to longer programming intervals (from 3 to 7 years – covering the entire EU budget cycle), emphasis on SWAp and the proposed increase in mergers of different sources of funding</w:t>
            </w:r>
            <w:r w:rsidR="00FB7EFB">
              <w:rPr>
                <w:szCs w:val="24"/>
                <w:lang w:val="en-GB"/>
              </w:rPr>
              <w:t>.</w:t>
            </w:r>
          </w:p>
        </w:tc>
      </w:tr>
    </w:tbl>
    <w:p w:rsidR="00DB2113" w:rsidRPr="00B26241" w:rsidRDefault="00DB2113" w:rsidP="00DB2113">
      <w:pPr>
        <w:rPr>
          <w:szCs w:val="24"/>
          <w:lang w:val="en-GB"/>
        </w:rPr>
      </w:pPr>
      <w:bookmarkStart w:id="19" w:name="_Toc323810575"/>
    </w:p>
    <w:p w:rsidR="00DB2113" w:rsidRPr="00182D71" w:rsidRDefault="001368A9" w:rsidP="00182D71">
      <w:pPr>
        <w:pStyle w:val="Heading3"/>
      </w:pPr>
      <w:bookmarkStart w:id="20" w:name="_Toc353200766"/>
      <w:r w:rsidRPr="00182D71">
        <w:t>3</w:t>
      </w:r>
      <w:r w:rsidR="00DB2113" w:rsidRPr="00182D71">
        <w:t xml:space="preserve">.1.3. Decentralised </w:t>
      </w:r>
      <w:r w:rsidRPr="00182D71">
        <w:t>M</w:t>
      </w:r>
      <w:r w:rsidR="00DB2113" w:rsidRPr="00182D71">
        <w:t xml:space="preserve">anagement of EU </w:t>
      </w:r>
      <w:r w:rsidRPr="00182D71">
        <w:t>F</w:t>
      </w:r>
      <w:r w:rsidR="00DB2113" w:rsidRPr="00182D71">
        <w:t>unds</w:t>
      </w:r>
      <w:bookmarkEnd w:id="20"/>
    </w:p>
    <w:p w:rsidR="00DB2113" w:rsidRPr="00B26241" w:rsidRDefault="00DB2113" w:rsidP="00DB2113">
      <w:pPr>
        <w:rPr>
          <w:szCs w:val="24"/>
          <w:lang w:val="en-GB"/>
        </w:rPr>
      </w:pPr>
      <w:r>
        <w:rPr>
          <w:szCs w:val="24"/>
          <w:lang w:val="en-GB"/>
        </w:rPr>
        <w:t>C</w:t>
      </w:r>
      <w:r w:rsidRPr="00B26241">
        <w:rPr>
          <w:szCs w:val="24"/>
          <w:lang w:val="en-GB"/>
        </w:rPr>
        <w:t>onferral of management powers from the EU to national structures require</w:t>
      </w:r>
      <w:r>
        <w:rPr>
          <w:szCs w:val="24"/>
          <w:lang w:val="en-GB"/>
        </w:rPr>
        <w:t>d</w:t>
      </w:r>
      <w:r w:rsidRPr="00B26241">
        <w:rPr>
          <w:szCs w:val="24"/>
          <w:lang w:val="en-GB"/>
        </w:rPr>
        <w:t xml:space="preserve"> </w:t>
      </w:r>
      <w:bookmarkStart w:id="21" w:name="_Toc277787336"/>
      <w:r>
        <w:rPr>
          <w:szCs w:val="24"/>
          <w:lang w:val="en-GB"/>
        </w:rPr>
        <w:t xml:space="preserve">setting </w:t>
      </w:r>
      <w:r w:rsidRPr="00B26241">
        <w:rPr>
          <w:szCs w:val="24"/>
          <w:lang w:val="en-GB"/>
        </w:rPr>
        <w:t xml:space="preserve">up and resourcing the Serbian institutions for IPA Components III and IV, outlining systems and control plans; conducting consultations on the proposed system design, setup and risk management, inter-institutional agreements and written procedures. </w:t>
      </w:r>
    </w:p>
    <w:p w:rsidR="00DB2113" w:rsidRPr="00B26241" w:rsidRDefault="00DB2113" w:rsidP="00DB2113">
      <w:pPr>
        <w:rPr>
          <w:szCs w:val="24"/>
          <w:lang w:val="en-GB"/>
        </w:rPr>
      </w:pPr>
      <w:r w:rsidRPr="00B26241">
        <w:rPr>
          <w:szCs w:val="24"/>
          <w:lang w:val="en-GB"/>
        </w:rPr>
        <w:t xml:space="preserve">In the </w:t>
      </w:r>
      <w:r w:rsidR="00AE1969">
        <w:rPr>
          <w:szCs w:val="24"/>
          <w:lang w:val="en-GB"/>
        </w:rPr>
        <w:t>planned</w:t>
      </w:r>
      <w:r w:rsidRPr="00B26241">
        <w:rPr>
          <w:szCs w:val="24"/>
          <w:lang w:val="en-GB"/>
        </w:rPr>
        <w:t xml:space="preserve"> institutional setup related to IPA </w:t>
      </w:r>
      <w:r>
        <w:rPr>
          <w:szCs w:val="24"/>
          <w:lang w:val="en-GB"/>
        </w:rPr>
        <w:t>C</w:t>
      </w:r>
      <w:r w:rsidRPr="00B26241">
        <w:rPr>
          <w:szCs w:val="24"/>
          <w:lang w:val="en-GB"/>
        </w:rPr>
        <w:t xml:space="preserve">omponent IV, all </w:t>
      </w:r>
      <w:r>
        <w:rPr>
          <w:szCs w:val="24"/>
          <w:lang w:val="en-GB"/>
        </w:rPr>
        <w:t xml:space="preserve">the social inclusion </w:t>
      </w:r>
      <w:r w:rsidRPr="00B26241">
        <w:rPr>
          <w:szCs w:val="24"/>
          <w:lang w:val="en-GB"/>
        </w:rPr>
        <w:t xml:space="preserve">measures are to be implemented by </w:t>
      </w:r>
      <w:r>
        <w:rPr>
          <w:szCs w:val="24"/>
          <w:lang w:val="en-GB"/>
        </w:rPr>
        <w:t xml:space="preserve">the </w:t>
      </w:r>
      <w:r w:rsidRPr="00B26241">
        <w:rPr>
          <w:szCs w:val="24"/>
          <w:lang w:val="en-GB"/>
        </w:rPr>
        <w:t>es</w:t>
      </w:r>
      <w:r>
        <w:rPr>
          <w:szCs w:val="24"/>
          <w:lang w:val="en-GB"/>
        </w:rPr>
        <w:t>tablished Operati</w:t>
      </w:r>
      <w:r w:rsidRPr="00B26241">
        <w:rPr>
          <w:szCs w:val="24"/>
          <w:lang w:val="en-GB"/>
        </w:rPr>
        <w:t xml:space="preserve">ng Structure (OS) </w:t>
      </w:r>
      <w:r>
        <w:rPr>
          <w:szCs w:val="24"/>
          <w:lang w:val="en-GB"/>
        </w:rPr>
        <w:t xml:space="preserve">consisting </w:t>
      </w:r>
      <w:r w:rsidRPr="00B26241">
        <w:rPr>
          <w:szCs w:val="24"/>
          <w:lang w:val="en-GB"/>
        </w:rPr>
        <w:t>of:</w:t>
      </w:r>
    </w:p>
    <w:p w:rsidR="00DB2113" w:rsidRDefault="00DB2113" w:rsidP="00351681">
      <w:pPr>
        <w:pStyle w:val="ListParagraph"/>
        <w:numPr>
          <w:ilvl w:val="0"/>
          <w:numId w:val="28"/>
        </w:numPr>
        <w:rPr>
          <w:szCs w:val="24"/>
          <w:lang w:val="en-GB"/>
        </w:rPr>
      </w:pPr>
      <w:r w:rsidRPr="00FB7EFB">
        <w:rPr>
          <w:szCs w:val="24"/>
          <w:lang w:val="en-GB"/>
        </w:rPr>
        <w:t>Ministry of Labour</w:t>
      </w:r>
      <w:r w:rsidR="00F049FE">
        <w:rPr>
          <w:szCs w:val="24"/>
          <w:lang w:val="en-GB"/>
        </w:rPr>
        <w:t>, Employment</w:t>
      </w:r>
      <w:r w:rsidRPr="00FB7EFB">
        <w:rPr>
          <w:szCs w:val="24"/>
          <w:lang w:val="en-GB"/>
        </w:rPr>
        <w:t xml:space="preserve"> and Social Policy</w:t>
      </w:r>
    </w:p>
    <w:p w:rsidR="00F049FE" w:rsidRPr="00FB7EFB" w:rsidRDefault="00F049FE" w:rsidP="00351681">
      <w:pPr>
        <w:pStyle w:val="ListParagraph"/>
        <w:numPr>
          <w:ilvl w:val="0"/>
          <w:numId w:val="28"/>
        </w:numPr>
        <w:rPr>
          <w:szCs w:val="24"/>
          <w:lang w:val="en-GB"/>
        </w:rPr>
      </w:pPr>
      <w:r>
        <w:rPr>
          <w:szCs w:val="24"/>
          <w:lang w:val="en-GB"/>
        </w:rPr>
        <w:t xml:space="preserve">Ministry of Education, </w:t>
      </w:r>
      <w:r w:rsidRPr="00FB7EFB">
        <w:rPr>
          <w:szCs w:val="24"/>
          <w:lang w:val="en-GB"/>
        </w:rPr>
        <w:t>Science</w:t>
      </w:r>
      <w:r>
        <w:rPr>
          <w:szCs w:val="24"/>
          <w:lang w:val="en-GB"/>
        </w:rPr>
        <w:t xml:space="preserve"> and Technological Development</w:t>
      </w:r>
    </w:p>
    <w:p w:rsidR="00DB2113" w:rsidRPr="00B26241" w:rsidRDefault="00DB2113" w:rsidP="00351681">
      <w:pPr>
        <w:pStyle w:val="ListParagraph"/>
        <w:numPr>
          <w:ilvl w:val="0"/>
          <w:numId w:val="28"/>
        </w:numPr>
        <w:rPr>
          <w:lang w:val="en-GB"/>
        </w:rPr>
      </w:pPr>
      <w:r w:rsidRPr="00FB7EFB">
        <w:rPr>
          <w:szCs w:val="24"/>
          <w:lang w:val="en-GB"/>
        </w:rPr>
        <w:t>Ministry of Finance</w:t>
      </w:r>
      <w:r w:rsidR="00F049FE">
        <w:rPr>
          <w:szCs w:val="24"/>
          <w:lang w:val="en-GB"/>
        </w:rPr>
        <w:t xml:space="preserve"> and Economy</w:t>
      </w:r>
      <w:r w:rsidRPr="00FB7EFB">
        <w:rPr>
          <w:szCs w:val="24"/>
          <w:lang w:val="en-GB"/>
        </w:rPr>
        <w:t xml:space="preserve"> – Department for Contracting and Financing of EU Funded Projects</w:t>
      </w:r>
    </w:p>
    <w:p w:rsidR="00DB2113" w:rsidRPr="00B26241" w:rsidRDefault="00DB2113" w:rsidP="00DB2113">
      <w:pPr>
        <w:rPr>
          <w:szCs w:val="24"/>
          <w:lang w:val="en-GB"/>
        </w:rPr>
      </w:pPr>
      <w:r>
        <w:rPr>
          <w:szCs w:val="24"/>
          <w:lang w:val="en-GB"/>
        </w:rPr>
        <w:t xml:space="preserve">The below organogram </w:t>
      </w:r>
      <w:r w:rsidRPr="00B26241">
        <w:rPr>
          <w:szCs w:val="24"/>
          <w:lang w:val="en-GB"/>
        </w:rPr>
        <w:t xml:space="preserve">of the </w:t>
      </w:r>
      <w:r>
        <w:rPr>
          <w:szCs w:val="24"/>
          <w:lang w:val="en-GB"/>
        </w:rPr>
        <w:t>Operating Structure</w:t>
      </w:r>
      <w:r w:rsidRPr="00B26241">
        <w:rPr>
          <w:szCs w:val="24"/>
          <w:lang w:val="en-GB"/>
        </w:rPr>
        <w:t xml:space="preserve"> </w:t>
      </w:r>
      <w:r>
        <w:rPr>
          <w:szCs w:val="24"/>
          <w:lang w:val="en-GB"/>
        </w:rPr>
        <w:t xml:space="preserve">presents the </w:t>
      </w:r>
      <w:r w:rsidR="00AE1969">
        <w:rPr>
          <w:szCs w:val="24"/>
          <w:lang w:val="en-GB"/>
        </w:rPr>
        <w:t xml:space="preserve">former </w:t>
      </w:r>
      <w:r>
        <w:rPr>
          <w:szCs w:val="24"/>
          <w:lang w:val="en-GB"/>
        </w:rPr>
        <w:t>division of</w:t>
      </w:r>
      <w:r w:rsidRPr="00B26241">
        <w:rPr>
          <w:szCs w:val="24"/>
          <w:lang w:val="en-GB"/>
        </w:rPr>
        <w:t xml:space="preserve"> responsibilities for O</w:t>
      </w:r>
      <w:r>
        <w:rPr>
          <w:szCs w:val="24"/>
          <w:lang w:val="en-GB"/>
        </w:rPr>
        <w:t xml:space="preserve">perating </w:t>
      </w:r>
      <w:r w:rsidRPr="00B26241">
        <w:rPr>
          <w:szCs w:val="24"/>
          <w:lang w:val="en-GB"/>
        </w:rPr>
        <w:t>P</w:t>
      </w:r>
      <w:r>
        <w:rPr>
          <w:szCs w:val="24"/>
          <w:lang w:val="en-GB"/>
        </w:rPr>
        <w:t>rogramme</w:t>
      </w:r>
      <w:r w:rsidRPr="00B26241">
        <w:rPr>
          <w:szCs w:val="24"/>
          <w:lang w:val="en-GB"/>
        </w:rPr>
        <w:t xml:space="preserve">, Priority Axes, Measures, and Contracting and Implementation. Each body also contains an internal audit unit which </w:t>
      </w:r>
      <w:r w:rsidR="00AE1969">
        <w:rPr>
          <w:szCs w:val="24"/>
          <w:lang w:val="en-GB"/>
        </w:rPr>
        <w:t>would</w:t>
      </w:r>
      <w:r w:rsidRPr="00B26241">
        <w:rPr>
          <w:szCs w:val="24"/>
          <w:lang w:val="en-GB"/>
        </w:rPr>
        <w:t xml:space="preserve"> be responsible for regular independent reviews of the functioning of the IPA IV management and control systems within the ministries, in accordance with Article 28</w:t>
      </w:r>
      <w:r>
        <w:rPr>
          <w:szCs w:val="24"/>
          <w:lang w:val="en-GB"/>
        </w:rPr>
        <w:t xml:space="preserve"> </w:t>
      </w:r>
      <w:r w:rsidRPr="00B26241">
        <w:rPr>
          <w:szCs w:val="24"/>
          <w:lang w:val="en-GB"/>
        </w:rPr>
        <w:t>(IPA Implementing Regulation, and Accreditation Criteria</w:t>
      </w:r>
      <w:r>
        <w:rPr>
          <w:szCs w:val="24"/>
          <w:lang w:val="en-GB"/>
        </w:rPr>
        <w:t>)</w:t>
      </w:r>
      <w:r w:rsidRPr="00B26241">
        <w:rPr>
          <w:szCs w:val="24"/>
          <w:lang w:val="en-GB"/>
        </w:rPr>
        <w:t>.</w:t>
      </w:r>
    </w:p>
    <w:p w:rsidR="00DB2113" w:rsidRPr="00B26241" w:rsidRDefault="00FB7EFB" w:rsidP="00DB2113">
      <w:pPr>
        <w:jc w:val="center"/>
        <w:rPr>
          <w:szCs w:val="24"/>
          <w:lang w:val="en-GB"/>
        </w:rPr>
      </w:pPr>
      <w:r w:rsidRPr="00B26241">
        <w:rPr>
          <w:szCs w:val="24"/>
          <w:lang w:val="en-GB"/>
        </w:rPr>
        <w:object w:dxaOrig="15511" w:dyaOrig="10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344.95pt" o:ole="">
            <v:imagedata r:id="rId12" o:title=""/>
          </v:shape>
          <o:OLEObject Type="Embed" ProgID="Visio.Drawing.11" ShapeID="_x0000_i1025" DrawAspect="Content" ObjectID="_1427888883" r:id="rId13"/>
        </w:object>
      </w:r>
      <w:r w:rsidR="009F36AF" w:rsidRPr="00E10D96">
        <w:rPr>
          <w:i/>
          <w:szCs w:val="24"/>
          <w:lang w:val="en-GB"/>
        </w:rPr>
        <w:t>Figure</w:t>
      </w:r>
      <w:r w:rsidR="00DB2113" w:rsidRPr="00E10D96">
        <w:rPr>
          <w:i/>
          <w:szCs w:val="24"/>
          <w:lang w:val="en-GB"/>
        </w:rPr>
        <w:t xml:space="preserve"> </w:t>
      </w:r>
      <w:r w:rsidR="00862F14" w:rsidRPr="00E10D96">
        <w:rPr>
          <w:i/>
          <w:szCs w:val="24"/>
          <w:lang w:val="en-GB"/>
        </w:rPr>
        <w:t>1</w:t>
      </w:r>
      <w:r w:rsidR="00DB2113" w:rsidRPr="00E10D96">
        <w:rPr>
          <w:i/>
          <w:szCs w:val="24"/>
          <w:lang w:val="en-GB"/>
        </w:rPr>
        <w:t>: Organisational responsibility in the Draft Operational Programme Human Resources Development</w:t>
      </w:r>
    </w:p>
    <w:p w:rsidR="00DB2113" w:rsidRPr="00B26241" w:rsidRDefault="00DB2113" w:rsidP="00DB2113">
      <w:pPr>
        <w:rPr>
          <w:szCs w:val="24"/>
          <w:lang w:val="en-GB"/>
        </w:rPr>
      </w:pPr>
      <w:r w:rsidRPr="00B26241">
        <w:rPr>
          <w:szCs w:val="24"/>
          <w:lang w:val="en-GB"/>
        </w:rPr>
        <w:t>Conferral of management powers has</w:t>
      </w:r>
      <w:r>
        <w:rPr>
          <w:szCs w:val="24"/>
          <w:lang w:val="en-GB"/>
        </w:rPr>
        <w:t xml:space="preserve"> not yet </w:t>
      </w:r>
      <w:r w:rsidRPr="00B26241">
        <w:rPr>
          <w:szCs w:val="24"/>
          <w:lang w:val="en-GB"/>
        </w:rPr>
        <w:t>taken place</w:t>
      </w:r>
      <w:r>
        <w:rPr>
          <w:szCs w:val="24"/>
          <w:lang w:val="en-GB"/>
        </w:rPr>
        <w:t xml:space="preserve">, but it is planned for mid-2013, since the </w:t>
      </w:r>
      <w:r w:rsidRPr="00B26241">
        <w:rPr>
          <w:szCs w:val="24"/>
          <w:lang w:val="en-GB"/>
        </w:rPr>
        <w:t>accreditation package</w:t>
      </w:r>
      <w:r>
        <w:rPr>
          <w:szCs w:val="24"/>
          <w:lang w:val="en-GB"/>
        </w:rPr>
        <w:t xml:space="preserve"> has been submitted to the EC</w:t>
      </w:r>
      <w:r w:rsidRPr="00B26241">
        <w:rPr>
          <w:szCs w:val="24"/>
          <w:lang w:val="en-GB"/>
        </w:rPr>
        <w:t xml:space="preserve">. </w:t>
      </w:r>
    </w:p>
    <w:p w:rsidR="00DB2113" w:rsidRPr="00182D71" w:rsidRDefault="001368A9" w:rsidP="00182D71">
      <w:pPr>
        <w:pStyle w:val="Heading2"/>
      </w:pPr>
      <w:bookmarkStart w:id="22" w:name="_Toc353200767"/>
      <w:bookmarkEnd w:id="21"/>
      <w:r w:rsidRPr="00182D71">
        <w:t>3</w:t>
      </w:r>
      <w:r w:rsidR="00DB2113" w:rsidRPr="00182D71">
        <w:t>.2. Key Challenges</w:t>
      </w:r>
      <w:bookmarkEnd w:id="22"/>
    </w:p>
    <w:p w:rsidR="00DB2113" w:rsidRPr="00182D71" w:rsidRDefault="001368A9" w:rsidP="00182D71">
      <w:pPr>
        <w:pStyle w:val="Heading3"/>
      </w:pPr>
      <w:bookmarkStart w:id="23" w:name="_Toc353200768"/>
      <w:r w:rsidRPr="00182D71">
        <w:t>3</w:t>
      </w:r>
      <w:r w:rsidR="00DB2113" w:rsidRPr="00182D71">
        <w:t>.2.1. Administrative Capacity</w:t>
      </w:r>
      <w:bookmarkEnd w:id="19"/>
      <w:r w:rsidR="00DB2113" w:rsidRPr="00182D71">
        <w:t xml:space="preserve"> for EU Funds Management</w:t>
      </w:r>
      <w:bookmarkEnd w:id="23"/>
    </w:p>
    <w:p w:rsidR="00DB2113" w:rsidRPr="00B26241" w:rsidRDefault="00DB2113" w:rsidP="00DB2113">
      <w:pPr>
        <w:rPr>
          <w:szCs w:val="24"/>
          <w:lang w:val="en-GB"/>
        </w:rPr>
      </w:pPr>
      <w:r w:rsidRPr="00B26241">
        <w:rPr>
          <w:szCs w:val="24"/>
          <w:lang w:val="en-GB"/>
        </w:rPr>
        <w:t xml:space="preserve">Experiences of other countries which </w:t>
      </w:r>
      <w:r>
        <w:rPr>
          <w:szCs w:val="24"/>
          <w:lang w:val="en-GB"/>
        </w:rPr>
        <w:t>underw</w:t>
      </w:r>
      <w:r w:rsidRPr="00B26241">
        <w:rPr>
          <w:szCs w:val="24"/>
          <w:lang w:val="en-GB"/>
        </w:rPr>
        <w:t>ent th</w:t>
      </w:r>
      <w:r>
        <w:rPr>
          <w:szCs w:val="24"/>
          <w:lang w:val="en-GB"/>
        </w:rPr>
        <w:t xml:space="preserve">e process of </w:t>
      </w:r>
      <w:r w:rsidRPr="00B26241">
        <w:rPr>
          <w:szCs w:val="24"/>
          <w:lang w:val="en-GB"/>
        </w:rPr>
        <w:t xml:space="preserve">establishment of </w:t>
      </w:r>
      <w:r>
        <w:rPr>
          <w:szCs w:val="24"/>
          <w:lang w:val="en-GB"/>
        </w:rPr>
        <w:t>decentralised management of EU funds</w:t>
      </w:r>
      <w:r w:rsidRPr="00B26241">
        <w:rPr>
          <w:szCs w:val="24"/>
          <w:lang w:val="en-GB"/>
        </w:rPr>
        <w:t xml:space="preserve"> and </w:t>
      </w:r>
      <w:r>
        <w:rPr>
          <w:szCs w:val="24"/>
          <w:lang w:val="en-GB"/>
        </w:rPr>
        <w:t>were</w:t>
      </w:r>
      <w:r w:rsidRPr="00B26241">
        <w:rPr>
          <w:szCs w:val="24"/>
          <w:lang w:val="en-GB"/>
        </w:rPr>
        <w:t xml:space="preserve"> conferr</w:t>
      </w:r>
      <w:r>
        <w:rPr>
          <w:szCs w:val="24"/>
          <w:lang w:val="en-GB"/>
        </w:rPr>
        <w:t>ed</w:t>
      </w:r>
      <w:r w:rsidRPr="00B26241">
        <w:rPr>
          <w:szCs w:val="24"/>
          <w:lang w:val="en-GB"/>
        </w:rPr>
        <w:t xml:space="preserve"> management powers show they had difficulties in adopting new rules and procedures. This led to lower levels of funds absorption compared to the period in which these tasks were “centralised” under the EU Delegations.</w:t>
      </w:r>
      <w:r w:rsidRPr="00B26241">
        <w:rPr>
          <w:rStyle w:val="FootnoteReference"/>
          <w:szCs w:val="24"/>
          <w:lang w:val="en-GB"/>
        </w:rPr>
        <w:footnoteReference w:id="26"/>
      </w:r>
      <w:r w:rsidRPr="00B26241">
        <w:rPr>
          <w:szCs w:val="24"/>
          <w:lang w:val="en-GB"/>
        </w:rPr>
        <w:t xml:space="preserve"> Furthermore, lower levels of spending have continued once former candidate countries became full</w:t>
      </w:r>
      <w:r>
        <w:rPr>
          <w:szCs w:val="24"/>
          <w:lang w:val="en-GB"/>
        </w:rPr>
        <w:t>-</w:t>
      </w:r>
      <w:r w:rsidRPr="00B26241">
        <w:rPr>
          <w:szCs w:val="24"/>
          <w:lang w:val="en-GB"/>
        </w:rPr>
        <w:t>fledged members of the EU. This situation is primarily caused by</w:t>
      </w:r>
      <w:r>
        <w:rPr>
          <w:szCs w:val="24"/>
          <w:lang w:val="en-GB"/>
        </w:rPr>
        <w:t xml:space="preserve"> the</w:t>
      </w:r>
      <w:r w:rsidRPr="00B26241">
        <w:rPr>
          <w:szCs w:val="24"/>
          <w:lang w:val="en-GB"/>
        </w:rPr>
        <w:t xml:space="preserve"> inadequate administrative absorption capacity under the new spending regime. </w:t>
      </w:r>
    </w:p>
    <w:p w:rsidR="00DB2113" w:rsidRPr="00B26241" w:rsidRDefault="00DB2113" w:rsidP="00DB2113">
      <w:pPr>
        <w:rPr>
          <w:szCs w:val="24"/>
          <w:lang w:val="en-GB"/>
        </w:rPr>
      </w:pPr>
      <w:r w:rsidRPr="00B26241">
        <w:rPr>
          <w:szCs w:val="24"/>
          <w:lang w:val="en-GB"/>
        </w:rPr>
        <w:t>In relation to the funds absorption, issues can be summarised around three specific definitions of absorption capacity</w:t>
      </w:r>
      <w:r w:rsidRPr="00B26241">
        <w:rPr>
          <w:rStyle w:val="FootnoteReference"/>
          <w:szCs w:val="24"/>
          <w:lang w:val="en-GB"/>
        </w:rPr>
        <w:footnoteReference w:id="27"/>
      </w:r>
      <w:r w:rsidRPr="00B26241">
        <w:rPr>
          <w:szCs w:val="24"/>
          <w:lang w:val="en-GB"/>
        </w:rPr>
        <w:t>:</w:t>
      </w:r>
    </w:p>
    <w:p w:rsidR="00DB2113" w:rsidRPr="00B26241" w:rsidRDefault="00DB2113" w:rsidP="00351681">
      <w:pPr>
        <w:pStyle w:val="ListParagraph"/>
        <w:numPr>
          <w:ilvl w:val="0"/>
          <w:numId w:val="27"/>
        </w:numPr>
        <w:rPr>
          <w:lang w:val="en-GB"/>
        </w:rPr>
      </w:pPr>
      <w:r w:rsidRPr="00B26241">
        <w:rPr>
          <w:lang w:val="en-GB"/>
        </w:rPr>
        <w:t xml:space="preserve">Macroeconomic absorption capacity, which can be defined and measured in terms of GDP levels to Structural Funds allocated. </w:t>
      </w:r>
    </w:p>
    <w:p w:rsidR="00DB2113" w:rsidRPr="00B26241" w:rsidRDefault="00DB2113" w:rsidP="00351681">
      <w:pPr>
        <w:pStyle w:val="ListParagraph"/>
        <w:numPr>
          <w:ilvl w:val="0"/>
          <w:numId w:val="27"/>
        </w:numPr>
        <w:rPr>
          <w:lang w:val="en-GB"/>
        </w:rPr>
      </w:pPr>
      <w:r w:rsidRPr="00B26241">
        <w:rPr>
          <w:lang w:val="en-GB"/>
        </w:rPr>
        <w:t xml:space="preserve">Administrative absorption capacity, which can be defined as the ability and skills of central, regional and local authorities to </w:t>
      </w:r>
      <w:r>
        <w:rPr>
          <w:lang w:val="en-GB"/>
        </w:rPr>
        <w:t>develop</w:t>
      </w:r>
      <w:r w:rsidRPr="00B26241">
        <w:rPr>
          <w:lang w:val="en-GB"/>
        </w:rPr>
        <w:t xml:space="preserve"> acceptable plans, programmes, and projects in due time, to decide on programmes and projects, to </w:t>
      </w:r>
      <w:r>
        <w:rPr>
          <w:lang w:val="en-GB"/>
        </w:rPr>
        <w:t>organise</w:t>
      </w:r>
      <w:r w:rsidRPr="00B26241">
        <w:rPr>
          <w:lang w:val="en-GB"/>
        </w:rPr>
        <w:t xml:space="preserve"> coordination among the principal partners, to cope with the vast amount of administrative and reporting work required by the Commission, and to finance and supervise implementation properly, avoiding fraud</w:t>
      </w:r>
      <w:r>
        <w:rPr>
          <w:lang w:val="en-GB"/>
        </w:rPr>
        <w:t xml:space="preserve"> in as much as</w:t>
      </w:r>
      <w:r w:rsidRPr="00B26241">
        <w:rPr>
          <w:lang w:val="en-GB"/>
        </w:rPr>
        <w:t xml:space="preserve"> possible. </w:t>
      </w:r>
    </w:p>
    <w:p w:rsidR="00DB2113" w:rsidRPr="00F049FE" w:rsidRDefault="00DB2113" w:rsidP="00351681">
      <w:pPr>
        <w:pStyle w:val="ListParagraph"/>
        <w:numPr>
          <w:ilvl w:val="0"/>
          <w:numId w:val="27"/>
        </w:numPr>
        <w:rPr>
          <w:lang w:val="en-GB"/>
        </w:rPr>
      </w:pPr>
      <w:r w:rsidRPr="00B26241">
        <w:rPr>
          <w:lang w:val="en-GB"/>
        </w:rPr>
        <w:t xml:space="preserve">Financial absorption capacity, which means the ability to co-finance </w:t>
      </w:r>
      <w:r>
        <w:rPr>
          <w:lang w:val="en-GB"/>
        </w:rPr>
        <w:t xml:space="preserve">the </w:t>
      </w:r>
      <w:r w:rsidRPr="00B26241">
        <w:rPr>
          <w:lang w:val="en-GB"/>
        </w:rPr>
        <w:t xml:space="preserve">EU-supported programmes and projects, to plan and guarantee these national contributions in multi-annual budgets, and to collect these contributions from several partners (public </w:t>
      </w:r>
      <w:r w:rsidRPr="00F049FE">
        <w:rPr>
          <w:lang w:val="en-GB"/>
        </w:rPr>
        <w:t xml:space="preserve">and private), interested in a programme or project. </w:t>
      </w:r>
    </w:p>
    <w:p w:rsidR="00DB2113" w:rsidRPr="00B26241" w:rsidRDefault="00DB2113" w:rsidP="00DB2113">
      <w:pPr>
        <w:rPr>
          <w:lang w:val="en-GB"/>
        </w:rPr>
      </w:pPr>
      <w:r w:rsidRPr="00F049FE">
        <w:rPr>
          <w:lang w:val="en-GB"/>
        </w:rPr>
        <w:t>Currently, the most critical element is the administrative absorption capacity, which in practice means that Serbia needs highly experienced, skilled and motivated civil servants</w:t>
      </w:r>
      <w:r w:rsidR="00F049FE" w:rsidRPr="00F049FE">
        <w:rPr>
          <w:lang w:val="en-GB"/>
        </w:rPr>
        <w:t xml:space="preserve"> (the needed skills range from internationally acknowledged certificates on mastering financial audit systems, to advanced knowledge of the English language)</w:t>
      </w:r>
      <w:r w:rsidRPr="00F049FE">
        <w:rPr>
          <w:lang w:val="en-GB"/>
        </w:rPr>
        <w:t xml:space="preserve">. So far, significant efforts were invested in producing these resources, but in the social inclusion </w:t>
      </w:r>
      <w:r w:rsidRPr="00F049FE">
        <w:t>policies</w:t>
      </w:r>
      <w:r w:rsidRPr="00F049FE">
        <w:rPr>
          <w:lang w:val="en-GB"/>
        </w:rPr>
        <w:t xml:space="preserve"> these efforts were scattered on a vast number of donor projects, which led to loss of institutional memory and basically unsatisfactory return on investment. This situation calls for a more systematic and coordinated</w:t>
      </w:r>
      <w:r w:rsidRPr="00B26241">
        <w:rPr>
          <w:lang w:val="en-GB"/>
        </w:rPr>
        <w:t xml:space="preserve"> approach to the development of human resources in EU funds management, especially having in mind the introduction of </w:t>
      </w:r>
      <w:r>
        <w:rPr>
          <w:lang w:val="en-GB"/>
        </w:rPr>
        <w:t>decentralised management</w:t>
      </w:r>
      <w:r w:rsidRPr="00B26241">
        <w:rPr>
          <w:lang w:val="en-GB"/>
        </w:rPr>
        <w:t xml:space="preserve">. </w:t>
      </w:r>
      <w:r>
        <w:rPr>
          <w:lang w:val="en-GB"/>
        </w:rPr>
        <w:t xml:space="preserve">In addition, </w:t>
      </w:r>
      <w:r w:rsidRPr="00B26241">
        <w:rPr>
          <w:lang w:val="en-GB"/>
        </w:rPr>
        <w:t xml:space="preserve">it is </w:t>
      </w:r>
      <w:r>
        <w:rPr>
          <w:lang w:val="en-GB"/>
        </w:rPr>
        <w:t>worth noting</w:t>
      </w:r>
      <w:r w:rsidRPr="00B26241">
        <w:rPr>
          <w:lang w:val="en-GB"/>
        </w:rPr>
        <w:t xml:space="preserve"> that the administrative capacity requirements vary </w:t>
      </w:r>
      <w:r>
        <w:rPr>
          <w:lang w:val="en-GB"/>
        </w:rPr>
        <w:t>depending on</w:t>
      </w:r>
      <w:r w:rsidRPr="00B26241">
        <w:rPr>
          <w:lang w:val="en-GB"/>
        </w:rPr>
        <w:t xml:space="preserve"> the stage of the policy life cycle.</w:t>
      </w:r>
    </w:p>
    <w:p w:rsidR="00DB2113" w:rsidRPr="00B26241" w:rsidRDefault="00F049FE" w:rsidP="00DB2113">
      <w:pPr>
        <w:rPr>
          <w:lang w:val="en-GB"/>
        </w:rPr>
      </w:pPr>
      <w:r>
        <w:t>T</w:t>
      </w:r>
      <w:r w:rsidRPr="00FA2F9B">
        <w:t>he policy life cycle</w:t>
      </w:r>
      <w:r>
        <w:t xml:space="preserve"> includes all the relevant processes </w:t>
      </w:r>
      <w:r w:rsidR="00862F14">
        <w:t>–</w:t>
      </w:r>
      <w:r>
        <w:t xml:space="preserve"> m</w:t>
      </w:r>
      <w:r w:rsidR="00DB2113" w:rsidRPr="00FA2F9B">
        <w:t>anagement, programming, implementation, monitoring and evaluation, financial management and control. In Serbia, social inclusion policies are developed by various institutions, line ministries, departments within these ministries, working groups, permanent and provisional bodies and external stakeholders, depending on their respective mandates. Having in mind the diversity, mandate and the number of institutions involved, the policy coordination mechanisms are insufficiently developed in Serbia, the consequence being lack of coordination. More importantly, monitoring and evaluation are inherent weaknesses of the policy cycle in Serbia. These statements are frequently reiterated both in the national and the external (primary EU) assessments of public administration in Serbia</w:t>
      </w:r>
      <w:r w:rsidR="00DB2113" w:rsidRPr="00FA2F9B">
        <w:rPr>
          <w:vertAlign w:val="superscript"/>
        </w:rPr>
        <w:footnoteReference w:id="28"/>
      </w:r>
      <w:r w:rsidR="00DB2113" w:rsidRPr="00FA2F9B">
        <w:t>.</w:t>
      </w:r>
      <w:r w:rsidR="006B6081">
        <w:t xml:space="preserve"> </w:t>
      </w:r>
      <w:r w:rsidR="00DB2113" w:rsidRPr="00B26241">
        <w:rPr>
          <w:lang w:val="en-GB"/>
        </w:rPr>
        <w:t xml:space="preserve">One of the strategic options for strengthening the implementation side of the EU funds management is to introduce a body which </w:t>
      </w:r>
      <w:r w:rsidR="00DB2113">
        <w:rPr>
          <w:lang w:val="en-GB"/>
        </w:rPr>
        <w:t>would</w:t>
      </w:r>
      <w:r w:rsidR="00DB2113" w:rsidRPr="00B26241">
        <w:rPr>
          <w:lang w:val="en-GB"/>
        </w:rPr>
        <w:t xml:space="preserve"> solely focus on the implementation aspect of the policy cycle in line with the option offered under IPA IR, defined in Article 31. </w:t>
      </w:r>
    </w:p>
    <w:p w:rsidR="00DB2113" w:rsidRPr="00B26241" w:rsidRDefault="00A07B29" w:rsidP="00DB2113">
      <w:pPr>
        <w:rPr>
          <w:lang w:val="en-GB"/>
        </w:rPr>
      </w:pPr>
      <w:r>
        <w:rPr>
          <w:noProof/>
        </w:rPr>
        <mc:AlternateContent>
          <mc:Choice Requires="wps">
            <w:drawing>
              <wp:anchor distT="0" distB="0" distL="114300" distR="114300" simplePos="0" relativeHeight="251709440" behindDoc="0" locked="0" layoutInCell="1" allowOverlap="1" wp14:anchorId="24A9A676" wp14:editId="1B63C7CC">
                <wp:simplePos x="0" y="0"/>
                <wp:positionH relativeFrom="column">
                  <wp:posOffset>-9525</wp:posOffset>
                </wp:positionH>
                <wp:positionV relativeFrom="paragraph">
                  <wp:posOffset>937260</wp:posOffset>
                </wp:positionV>
                <wp:extent cx="5835650" cy="571500"/>
                <wp:effectExtent l="0" t="0" r="12700" b="19050"/>
                <wp:wrapSquare wrapText="bothSides"/>
                <wp:docPr id="7"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571500"/>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227A2" w:rsidRPr="00556243" w:rsidRDefault="008227A2" w:rsidP="00FB7EFB">
                            <w:pPr>
                              <w:spacing w:after="0"/>
                              <w:rPr>
                                <w:b/>
                                <w:i/>
                              </w:rPr>
                            </w:pPr>
                            <w:r w:rsidRPr="00556243">
                              <w:rPr>
                                <w:b/>
                                <w:i/>
                              </w:rPr>
                              <w:t xml:space="preserve">IPA Implementing </w:t>
                            </w:r>
                            <w:r>
                              <w:rPr>
                                <w:b/>
                                <w:i/>
                              </w:rPr>
                              <w:t>R</w:t>
                            </w:r>
                            <w:r w:rsidRPr="00556243">
                              <w:rPr>
                                <w:b/>
                                <w:i/>
                              </w:rPr>
                              <w:t>egulation allows for function</w:t>
                            </w:r>
                            <w:r>
                              <w:rPr>
                                <w:b/>
                                <w:i/>
                              </w:rPr>
                              <w:t>s</w:t>
                            </w:r>
                            <w:r w:rsidRPr="00556243">
                              <w:rPr>
                                <w:b/>
                                <w:i/>
                              </w:rPr>
                              <w:t xml:space="preserve"> of the Operating </w:t>
                            </w:r>
                            <w:r>
                              <w:rPr>
                                <w:b/>
                                <w:i/>
                              </w:rPr>
                              <w:t>S</w:t>
                            </w:r>
                            <w:r w:rsidRPr="00556243">
                              <w:rPr>
                                <w:b/>
                                <w:i/>
                              </w:rPr>
                              <w:t xml:space="preserve">tructure to be grouped and assigned to </w:t>
                            </w:r>
                            <w:r w:rsidRPr="00556243">
                              <w:rPr>
                                <w:b/>
                                <w:i/>
                                <w:lang w:val="en-GB"/>
                              </w:rPr>
                              <w:t>designated bodies</w:t>
                            </w:r>
                            <w:r>
                              <w:rPr>
                                <w:b/>
                                <w:i/>
                                <w:lang w:val="en-GB"/>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ounded Rectangle 22" o:spid="_x0000_s1029" style="position:absolute;left:0;text-align:left;margin-left:-.75pt;margin-top:73.8pt;width:459.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" fillcolor="#d8d8d8 [2732]" strokecolor="black [3213]" strokeweight="1pt">
                <v:shadow color="black" opacity="24903f" origin=",.5" offset="0,.55556mm"/>
                <v:path arrowok="t"/>
                <v:textbox>
                  <w:txbxContent>
                    <w:p w:rsidR="008227A2" w:rsidRPr="00556243" w:rsidRDefault="008227A2" w:rsidP="00FB7EFB">
                      <w:pPr>
                        <w:spacing w:after="0"/>
                        <w:rPr>
                          <w:b/>
                          <w:i/>
                        </w:rPr>
                      </w:pPr>
                      <w:r w:rsidRPr="00556243">
                        <w:rPr>
                          <w:b/>
                          <w:i/>
                        </w:rPr>
                        <w:t xml:space="preserve">IPA Implementing </w:t>
                      </w:r>
                      <w:r>
                        <w:rPr>
                          <w:b/>
                          <w:i/>
                        </w:rPr>
                        <w:t>R</w:t>
                      </w:r>
                      <w:r w:rsidRPr="00556243">
                        <w:rPr>
                          <w:b/>
                          <w:i/>
                        </w:rPr>
                        <w:t>egulation allows for function</w:t>
                      </w:r>
                      <w:r>
                        <w:rPr>
                          <w:b/>
                          <w:i/>
                        </w:rPr>
                        <w:t>s</w:t>
                      </w:r>
                      <w:r w:rsidRPr="00556243">
                        <w:rPr>
                          <w:b/>
                          <w:i/>
                        </w:rPr>
                        <w:t xml:space="preserve"> of the Operating </w:t>
                      </w:r>
                      <w:r>
                        <w:rPr>
                          <w:b/>
                          <w:i/>
                        </w:rPr>
                        <w:t>S</w:t>
                      </w:r>
                      <w:r w:rsidRPr="00556243">
                        <w:rPr>
                          <w:b/>
                          <w:i/>
                        </w:rPr>
                        <w:t xml:space="preserve">tructure to be grouped and assigned to </w:t>
                      </w:r>
                      <w:r w:rsidRPr="00556243">
                        <w:rPr>
                          <w:b/>
                          <w:i/>
                          <w:lang w:val="en-GB"/>
                        </w:rPr>
                        <w:t>designated bodies</w:t>
                      </w:r>
                      <w:r>
                        <w:rPr>
                          <w:b/>
                          <w:i/>
                          <w:lang w:val="en-GB"/>
                        </w:rPr>
                        <w:t>.</w:t>
                      </w:r>
                    </w:p>
                  </w:txbxContent>
                </v:textbox>
                <w10:wrap type="square"/>
              </v:rect>
            </w:pict>
          </mc:Fallback>
        </mc:AlternateContent>
      </w:r>
      <w:r w:rsidR="00DB2113">
        <w:rPr>
          <w:noProof/>
          <w:lang w:eastAsia="ko-KR"/>
        </w:rPr>
        <w:t>This</w:t>
      </w:r>
      <w:r w:rsidR="00DB2113" w:rsidRPr="00B26241">
        <w:rPr>
          <w:lang w:val="en-GB"/>
        </w:rPr>
        <w:t xml:space="preserve"> </w:t>
      </w:r>
      <w:r w:rsidR="00DB2113">
        <w:rPr>
          <w:lang w:val="en-GB"/>
        </w:rPr>
        <w:t>A</w:t>
      </w:r>
      <w:r w:rsidR="00DB2113" w:rsidRPr="00B26241">
        <w:rPr>
          <w:lang w:val="en-GB"/>
        </w:rPr>
        <w:t>rticle allow</w:t>
      </w:r>
      <w:r w:rsidR="00DB2113">
        <w:rPr>
          <w:lang w:val="en-GB"/>
        </w:rPr>
        <w:t>s</w:t>
      </w:r>
      <w:r w:rsidR="00DB2113" w:rsidRPr="00B26241">
        <w:rPr>
          <w:lang w:val="en-GB"/>
        </w:rPr>
        <w:t xml:space="preserve"> for functions to be grouped and assigned to specific bodies within or outside the designated Operating Structures. This needs to fully respect the appropriate segregation of duties imposed by Regulation (EC, Euratom) No 1605/2002 and ensure that the final responsibility for the functions described remain</w:t>
      </w:r>
      <w:r w:rsidR="00DB2113">
        <w:rPr>
          <w:lang w:val="en-GB"/>
        </w:rPr>
        <w:t>s</w:t>
      </w:r>
      <w:r w:rsidR="00DB2113" w:rsidRPr="00B26241">
        <w:rPr>
          <w:lang w:val="en-GB"/>
        </w:rPr>
        <w:t xml:space="preserve"> with designated OS. </w:t>
      </w:r>
    </w:p>
    <w:p w:rsidR="00DB2113" w:rsidRPr="00B26241" w:rsidRDefault="00DB2113" w:rsidP="00FB7EFB">
      <w:pPr>
        <w:rPr>
          <w:lang w:val="en-GB"/>
        </w:rPr>
      </w:pPr>
      <w:r>
        <w:rPr>
          <w:lang w:val="en-GB"/>
        </w:rPr>
        <w:t>The r</w:t>
      </w:r>
      <w:r w:rsidRPr="00B26241">
        <w:rPr>
          <w:lang w:val="en-GB"/>
        </w:rPr>
        <w:t>elationship between these specific bodies and the OS</w:t>
      </w:r>
      <w:r>
        <w:rPr>
          <w:lang w:val="en-GB"/>
        </w:rPr>
        <w:t xml:space="preserve"> is</w:t>
      </w:r>
      <w:r w:rsidRPr="00B26241">
        <w:rPr>
          <w:lang w:val="en-GB"/>
        </w:rPr>
        <w:t xml:space="preserve"> formalised </w:t>
      </w:r>
      <w:r>
        <w:rPr>
          <w:lang w:val="en-GB"/>
        </w:rPr>
        <w:t>by</w:t>
      </w:r>
      <w:r w:rsidRPr="00B26241">
        <w:rPr>
          <w:lang w:val="en-GB"/>
        </w:rPr>
        <w:t xml:space="preserve"> written agreements. It is then subject to accreditation by the National Authorising Officer and “conferral of management” is approved by the Commission. Under IPA terminology, these bodies</w:t>
      </w:r>
      <w:r>
        <w:rPr>
          <w:lang w:val="en-GB"/>
        </w:rPr>
        <w:t xml:space="preserve"> are called “Designated Bodies”. U</w:t>
      </w:r>
      <w:r w:rsidRPr="00B26241">
        <w:rPr>
          <w:lang w:val="en-GB"/>
        </w:rPr>
        <w:t>nder the structural funds terminology, this is</w:t>
      </w:r>
      <w:r>
        <w:rPr>
          <w:lang w:val="en-GB"/>
        </w:rPr>
        <w:t xml:space="preserve"> a </w:t>
      </w:r>
      <w:r w:rsidRPr="00B26241">
        <w:rPr>
          <w:lang w:val="en-GB"/>
        </w:rPr>
        <w:t>general term for “Intermediate Bodies”.</w:t>
      </w:r>
    </w:p>
    <w:p w:rsidR="00DB2113" w:rsidRPr="00182D71" w:rsidRDefault="001368A9" w:rsidP="00182D71">
      <w:pPr>
        <w:pStyle w:val="Heading3"/>
      </w:pPr>
      <w:bookmarkStart w:id="24" w:name="_Toc353200769"/>
      <w:r w:rsidRPr="00182D71">
        <w:t>3</w:t>
      </w:r>
      <w:r w:rsidR="00DB2113" w:rsidRPr="00182D71">
        <w:t>.2.2. Timely Management of EU Funds</w:t>
      </w:r>
      <w:bookmarkEnd w:id="24"/>
      <w:r w:rsidR="00DB2113" w:rsidRPr="00182D71">
        <w:t xml:space="preserve"> </w:t>
      </w:r>
    </w:p>
    <w:p w:rsidR="00DB2113" w:rsidRPr="00B26241" w:rsidRDefault="00DB2113" w:rsidP="00DB2113">
      <w:pPr>
        <w:rPr>
          <w:szCs w:val="24"/>
          <w:lang w:val="en-GB"/>
        </w:rPr>
      </w:pPr>
      <w:r>
        <w:rPr>
          <w:szCs w:val="24"/>
          <w:lang w:val="en-GB"/>
        </w:rPr>
        <w:t>The i</w:t>
      </w:r>
      <w:r w:rsidRPr="00B26241">
        <w:rPr>
          <w:szCs w:val="24"/>
          <w:lang w:val="en-GB"/>
        </w:rPr>
        <w:t>mplementing arrangements for the</w:t>
      </w:r>
      <w:r>
        <w:rPr>
          <w:szCs w:val="24"/>
          <w:lang w:val="en-GB"/>
        </w:rPr>
        <w:t xml:space="preserve"> EU funds</w:t>
      </w:r>
      <w:r w:rsidRPr="00B26241">
        <w:rPr>
          <w:szCs w:val="24"/>
          <w:lang w:val="en-GB"/>
        </w:rPr>
        <w:t xml:space="preserve"> management </w:t>
      </w:r>
      <w:r>
        <w:rPr>
          <w:szCs w:val="24"/>
          <w:lang w:val="en-GB"/>
        </w:rPr>
        <w:t>gain in complexity</w:t>
      </w:r>
      <w:r w:rsidRPr="00B26241">
        <w:rPr>
          <w:szCs w:val="24"/>
          <w:lang w:val="en-GB"/>
        </w:rPr>
        <w:t xml:space="preserve"> when different aspects such as time constraints imposed by IPA Implementing Regulation and co-financing requirements</w:t>
      </w:r>
      <w:r w:rsidRPr="00AE6AA6">
        <w:rPr>
          <w:szCs w:val="24"/>
          <w:lang w:val="en-GB"/>
        </w:rPr>
        <w:t xml:space="preserve"> </w:t>
      </w:r>
      <w:r w:rsidRPr="00B26241">
        <w:rPr>
          <w:szCs w:val="24"/>
          <w:lang w:val="en-GB"/>
        </w:rPr>
        <w:t>are taken into consideration. These aspects are even more critical when authorities have to manage larger portfolio</w:t>
      </w:r>
      <w:r>
        <w:rPr>
          <w:szCs w:val="24"/>
          <w:lang w:val="en-GB"/>
        </w:rPr>
        <w:t>s</w:t>
      </w:r>
      <w:r w:rsidRPr="00B26241">
        <w:rPr>
          <w:szCs w:val="24"/>
          <w:lang w:val="en-GB"/>
        </w:rPr>
        <w:t xml:space="preserve"> of smaller projects in a limited time. </w:t>
      </w:r>
    </w:p>
    <w:p w:rsidR="00DB2113" w:rsidRPr="00B26241" w:rsidRDefault="00DB2113" w:rsidP="00DB2113">
      <w:pPr>
        <w:rPr>
          <w:szCs w:val="24"/>
          <w:lang w:val="en-GB"/>
        </w:rPr>
      </w:pPr>
      <w:r w:rsidRPr="00772BC1">
        <w:rPr>
          <w:szCs w:val="24"/>
          <w:lang w:val="en-GB"/>
        </w:rPr>
        <w:t xml:space="preserve">In order to highlight the importance of coordinated programming and implementation of programmes for IPA - under </w:t>
      </w:r>
      <w:r>
        <w:rPr>
          <w:szCs w:val="24"/>
          <w:lang w:val="en-GB"/>
        </w:rPr>
        <w:t>decentralised management</w:t>
      </w:r>
      <w:r w:rsidRPr="00772BC1">
        <w:rPr>
          <w:szCs w:val="24"/>
          <w:lang w:val="en-GB"/>
        </w:rPr>
        <w:t>, it is important to understand the imposed time constraints for the implementation of those programmes under IPA rules.</w:t>
      </w:r>
      <w:r w:rsidRPr="00B26241">
        <w:rPr>
          <w:szCs w:val="24"/>
          <w:lang w:val="en-GB"/>
        </w:rPr>
        <w:t xml:space="preserve"> </w:t>
      </w:r>
    </w:p>
    <w:p w:rsidR="00DB2113" w:rsidRPr="00B26241" w:rsidRDefault="00DB2113" w:rsidP="00DB2113">
      <w:pPr>
        <w:spacing w:after="0"/>
        <w:rPr>
          <w:szCs w:val="24"/>
          <w:lang w:val="en-GB"/>
        </w:rPr>
      </w:pPr>
      <w:r w:rsidRPr="00B26241">
        <w:rPr>
          <w:szCs w:val="24"/>
          <w:lang w:val="en-GB"/>
        </w:rPr>
        <w:t xml:space="preserve">According to the current set of IPA regulations, the ‘N+3 rule’ is defined in key documents </w:t>
      </w:r>
      <w:r>
        <w:rPr>
          <w:szCs w:val="24"/>
          <w:lang w:val="en-GB"/>
        </w:rPr>
        <w:t>setting down the</w:t>
      </w:r>
      <w:r w:rsidRPr="00B26241">
        <w:rPr>
          <w:szCs w:val="24"/>
          <w:lang w:val="en-GB"/>
        </w:rPr>
        <w:t xml:space="preserve"> basic rules </w:t>
      </w:r>
      <w:r>
        <w:rPr>
          <w:szCs w:val="24"/>
          <w:lang w:val="en-GB"/>
        </w:rPr>
        <w:t>of</w:t>
      </w:r>
      <w:r w:rsidRPr="00B26241">
        <w:rPr>
          <w:szCs w:val="24"/>
          <w:lang w:val="en-GB"/>
        </w:rPr>
        <w:t xml:space="preserve"> EU and IPA b</w:t>
      </w:r>
      <w:r w:rsidR="00FB7EFB">
        <w:rPr>
          <w:szCs w:val="24"/>
          <w:lang w:val="en-GB"/>
        </w:rPr>
        <w:t>udget planning and expenditure:</w:t>
      </w:r>
    </w:p>
    <w:p w:rsidR="00DB2113" w:rsidRPr="00B26241" w:rsidRDefault="00DB2113" w:rsidP="00351681">
      <w:pPr>
        <w:pStyle w:val="ListParagraph"/>
        <w:numPr>
          <w:ilvl w:val="0"/>
          <w:numId w:val="28"/>
        </w:numPr>
        <w:rPr>
          <w:lang w:val="en-GB"/>
        </w:rPr>
      </w:pPr>
      <w:r w:rsidRPr="00B26241">
        <w:rPr>
          <w:lang w:val="en-GB"/>
        </w:rPr>
        <w:t>Council Regulation (EC, Euratom) No 1605/2002 of 25 June 2002 on the Financial Regulation applicable to the general budget of the European Communities</w:t>
      </w:r>
      <w:r w:rsidRPr="00B26241">
        <w:rPr>
          <w:rStyle w:val="FootnoteReference"/>
          <w:szCs w:val="24"/>
          <w:lang w:val="en-GB"/>
        </w:rPr>
        <w:footnoteReference w:id="29"/>
      </w:r>
      <w:r w:rsidRPr="00B26241">
        <w:rPr>
          <w:lang w:val="en-GB"/>
        </w:rPr>
        <w:t xml:space="preserve"> - (hereinafter, the Financial Regulation)</w:t>
      </w:r>
      <w:r>
        <w:rPr>
          <w:lang w:val="en-GB"/>
        </w:rPr>
        <w:t>,</w:t>
      </w:r>
    </w:p>
    <w:p w:rsidR="00DB2113" w:rsidRPr="00B26241" w:rsidRDefault="00DB2113" w:rsidP="00351681">
      <w:pPr>
        <w:pStyle w:val="ListParagraph"/>
        <w:numPr>
          <w:ilvl w:val="0"/>
          <w:numId w:val="28"/>
        </w:numPr>
        <w:rPr>
          <w:lang w:val="en-GB"/>
        </w:rPr>
      </w:pPr>
      <w:r w:rsidRPr="00B26241">
        <w:rPr>
          <w:lang w:val="en-GB"/>
        </w:rPr>
        <w:t>Commission Regulation (EC, Euratom) No 2342/2002 of 23 December 2002 laying down detailed rules for the implementation of Council Regulation (EC, Euratom) No 1605/2002 on the Financial Regulation applicable to the general budget of the European Communities-</w:t>
      </w:r>
      <w:r w:rsidRPr="00B26241">
        <w:rPr>
          <w:i/>
          <w:lang w:val="en-GB"/>
        </w:rPr>
        <w:t>and corresponding amendments and corrections</w:t>
      </w:r>
      <w:r w:rsidRPr="00B26241">
        <w:rPr>
          <w:lang w:val="en-GB"/>
        </w:rPr>
        <w:t xml:space="preserve"> (hereinafter Financial Implementing Regulation)</w:t>
      </w:r>
      <w:r>
        <w:rPr>
          <w:lang w:val="en-GB"/>
        </w:rPr>
        <w:t>,</w:t>
      </w:r>
    </w:p>
    <w:p w:rsidR="00DB2113" w:rsidRPr="00B26241" w:rsidRDefault="00DB2113" w:rsidP="00351681">
      <w:pPr>
        <w:pStyle w:val="ListParagraph"/>
        <w:numPr>
          <w:ilvl w:val="0"/>
          <w:numId w:val="28"/>
        </w:numPr>
        <w:rPr>
          <w:lang w:val="en-GB"/>
        </w:rPr>
      </w:pPr>
      <w:r w:rsidRPr="00B26241">
        <w:rPr>
          <w:lang w:val="en-GB"/>
        </w:rPr>
        <w:t>IPA Implementing Regulation</w:t>
      </w:r>
      <w:r>
        <w:rPr>
          <w:lang w:val="en-GB"/>
        </w:rPr>
        <w:t>.</w:t>
      </w:r>
    </w:p>
    <w:p w:rsidR="00DB2113" w:rsidRPr="00B26241" w:rsidRDefault="00DB2113" w:rsidP="00DB2113">
      <w:pPr>
        <w:rPr>
          <w:bCs/>
          <w:lang w:val="en-GB"/>
        </w:rPr>
      </w:pPr>
      <w:r w:rsidRPr="009E2A8D">
        <w:rPr>
          <w:lang w:val="en-GB"/>
        </w:rPr>
        <w:t xml:space="preserve">Pursuant to  Article 166 of the Financial Regulation, the European Commission shall </w:t>
      </w:r>
      <w:r w:rsidRPr="009E2A8D">
        <w:rPr>
          <w:bCs/>
          <w:lang w:val="en-GB"/>
        </w:rPr>
        <w:t xml:space="preserve">automatically decommit </w:t>
      </w:r>
      <w:r w:rsidRPr="009E2A8D">
        <w:rPr>
          <w:lang w:val="en-GB"/>
        </w:rPr>
        <w:t xml:space="preserve">any portion of a budget commitment for a programme where, by 31 December of the third year </w:t>
      </w:r>
      <w:r w:rsidRPr="009E2A8D">
        <w:rPr>
          <w:bCs/>
          <w:lang w:val="en-GB"/>
        </w:rPr>
        <w:t>following year ’N’ being the one in which the budget commitment was made if the programme has not been completed.</w:t>
      </w:r>
    </w:p>
    <w:p w:rsidR="00DB2113" w:rsidRDefault="00DB2113" w:rsidP="00DB2113">
      <w:pPr>
        <w:rPr>
          <w:szCs w:val="24"/>
          <w:lang w:val="en-GB"/>
        </w:rPr>
      </w:pPr>
      <w:r w:rsidRPr="00B26241">
        <w:rPr>
          <w:szCs w:val="24"/>
          <w:lang w:val="en-GB"/>
        </w:rPr>
        <w:t xml:space="preserve">In other words, if the N year is 2013, the beneficiary </w:t>
      </w:r>
      <w:r>
        <w:rPr>
          <w:szCs w:val="24"/>
          <w:lang w:val="en-GB"/>
        </w:rPr>
        <w:t xml:space="preserve">needs </w:t>
      </w:r>
      <w:r w:rsidRPr="00B26241">
        <w:rPr>
          <w:szCs w:val="24"/>
          <w:lang w:val="en-GB"/>
        </w:rPr>
        <w:t xml:space="preserve">to complete the implementation of the programme </w:t>
      </w:r>
      <w:r>
        <w:rPr>
          <w:szCs w:val="24"/>
          <w:lang w:val="en-GB"/>
        </w:rPr>
        <w:t>by</w:t>
      </w:r>
      <w:r w:rsidRPr="00B26241">
        <w:rPr>
          <w:szCs w:val="24"/>
          <w:lang w:val="en-GB"/>
        </w:rPr>
        <w:t xml:space="preserve"> the end of 2016</w:t>
      </w:r>
      <w:r>
        <w:rPr>
          <w:szCs w:val="24"/>
          <w:lang w:val="en-GB"/>
        </w:rPr>
        <w:t xml:space="preserve"> </w:t>
      </w:r>
      <w:r w:rsidRPr="00B26241">
        <w:rPr>
          <w:szCs w:val="24"/>
          <w:lang w:val="en-GB"/>
        </w:rPr>
        <w:t xml:space="preserve">and </w:t>
      </w:r>
      <w:r>
        <w:rPr>
          <w:szCs w:val="24"/>
          <w:lang w:val="en-GB"/>
        </w:rPr>
        <w:t>effect</w:t>
      </w:r>
      <w:r w:rsidRPr="00B26241">
        <w:rPr>
          <w:szCs w:val="24"/>
          <w:lang w:val="en-GB"/>
        </w:rPr>
        <w:t xml:space="preserve"> all the final payments (10% of all payments - the rest of the payments have to be made before, including 30% ‘advance payment’ made in year N)</w:t>
      </w:r>
      <w:r w:rsidRPr="009E2A8D">
        <w:rPr>
          <w:szCs w:val="24"/>
          <w:lang w:val="en-GB"/>
        </w:rPr>
        <w:t xml:space="preserve"> </w:t>
      </w:r>
      <w:r>
        <w:rPr>
          <w:szCs w:val="24"/>
          <w:lang w:val="en-GB"/>
        </w:rPr>
        <w:t>by</w:t>
      </w:r>
      <w:r w:rsidRPr="00B26241">
        <w:rPr>
          <w:szCs w:val="24"/>
          <w:lang w:val="en-GB"/>
        </w:rPr>
        <w:t xml:space="preserve"> the end of 2017.</w:t>
      </w:r>
    </w:p>
    <w:p w:rsidR="00DB2113" w:rsidRPr="00E10D96" w:rsidRDefault="00DB2113" w:rsidP="00DB2113">
      <w:pPr>
        <w:spacing w:after="0"/>
        <w:ind w:firstLine="720"/>
        <w:rPr>
          <w:b/>
          <w:szCs w:val="24"/>
          <w:lang w:val="en-GB"/>
        </w:rPr>
      </w:pPr>
      <w:r w:rsidRPr="00E10D96">
        <w:rPr>
          <w:b/>
          <w:szCs w:val="24"/>
          <w:lang w:val="en-GB"/>
        </w:rPr>
        <w:t xml:space="preserve">Table </w:t>
      </w:r>
      <w:r w:rsidR="001368A9" w:rsidRPr="00E10D96">
        <w:rPr>
          <w:b/>
          <w:szCs w:val="24"/>
          <w:lang w:val="en-GB"/>
        </w:rPr>
        <w:t>3</w:t>
      </w:r>
      <w:r w:rsidRPr="00E10D96">
        <w:rPr>
          <w:b/>
          <w:szCs w:val="24"/>
          <w:lang w:val="en-GB"/>
        </w:rPr>
        <w:t>: Payments within the N+3 rule</w:t>
      </w:r>
    </w:p>
    <w:tbl>
      <w:tblPr>
        <w:tblW w:w="6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7"/>
        <w:gridCol w:w="1281"/>
        <w:gridCol w:w="1281"/>
        <w:gridCol w:w="1281"/>
        <w:gridCol w:w="1775"/>
      </w:tblGrid>
      <w:tr w:rsidR="00DB2113" w:rsidRPr="00344384" w:rsidTr="00DB2113">
        <w:trPr>
          <w:trHeight w:val="311"/>
          <w:jc w:val="center"/>
        </w:trPr>
        <w:tc>
          <w:tcPr>
            <w:tcW w:w="1337" w:type="dxa"/>
            <w:noWrap/>
          </w:tcPr>
          <w:p w:rsidR="00DB2113" w:rsidRPr="00344384" w:rsidRDefault="00DB2113" w:rsidP="00DB2113">
            <w:pPr>
              <w:spacing w:after="0" w:line="240" w:lineRule="auto"/>
              <w:jc w:val="center"/>
              <w:rPr>
                <w:szCs w:val="24"/>
                <w:lang w:val="en-GB"/>
              </w:rPr>
            </w:pPr>
            <w:r w:rsidRPr="00344384">
              <w:rPr>
                <w:szCs w:val="24"/>
                <w:lang w:val="en-GB"/>
              </w:rPr>
              <w:t>2013</w:t>
            </w:r>
          </w:p>
        </w:tc>
        <w:tc>
          <w:tcPr>
            <w:tcW w:w="1281" w:type="dxa"/>
            <w:noWrap/>
          </w:tcPr>
          <w:p w:rsidR="00DB2113" w:rsidRPr="00344384" w:rsidRDefault="00DB2113" w:rsidP="00DB2113">
            <w:pPr>
              <w:spacing w:after="0" w:line="240" w:lineRule="auto"/>
              <w:jc w:val="center"/>
              <w:rPr>
                <w:szCs w:val="24"/>
                <w:lang w:val="en-GB"/>
              </w:rPr>
            </w:pPr>
            <w:r w:rsidRPr="00344384">
              <w:rPr>
                <w:szCs w:val="24"/>
                <w:lang w:val="en-GB"/>
              </w:rPr>
              <w:t>2014</w:t>
            </w:r>
          </w:p>
        </w:tc>
        <w:tc>
          <w:tcPr>
            <w:tcW w:w="1281" w:type="dxa"/>
            <w:noWrap/>
          </w:tcPr>
          <w:p w:rsidR="00DB2113" w:rsidRPr="00344384" w:rsidRDefault="00DB2113" w:rsidP="00DB2113">
            <w:pPr>
              <w:spacing w:after="0" w:line="240" w:lineRule="auto"/>
              <w:jc w:val="center"/>
              <w:rPr>
                <w:szCs w:val="24"/>
                <w:lang w:val="en-GB"/>
              </w:rPr>
            </w:pPr>
            <w:r w:rsidRPr="00344384">
              <w:rPr>
                <w:szCs w:val="24"/>
                <w:lang w:val="en-GB"/>
              </w:rPr>
              <w:t>2015</w:t>
            </w:r>
          </w:p>
        </w:tc>
        <w:tc>
          <w:tcPr>
            <w:tcW w:w="1281" w:type="dxa"/>
            <w:noWrap/>
          </w:tcPr>
          <w:p w:rsidR="00DB2113" w:rsidRPr="00344384" w:rsidRDefault="00DB2113" w:rsidP="00DB2113">
            <w:pPr>
              <w:spacing w:after="0" w:line="240" w:lineRule="auto"/>
              <w:jc w:val="center"/>
              <w:rPr>
                <w:szCs w:val="24"/>
                <w:lang w:val="en-GB"/>
              </w:rPr>
            </w:pPr>
            <w:r w:rsidRPr="00344384">
              <w:rPr>
                <w:szCs w:val="24"/>
                <w:lang w:val="en-GB"/>
              </w:rPr>
              <w:t>2016</w:t>
            </w:r>
          </w:p>
        </w:tc>
        <w:tc>
          <w:tcPr>
            <w:tcW w:w="1774" w:type="dxa"/>
            <w:noWrap/>
          </w:tcPr>
          <w:p w:rsidR="00DB2113" w:rsidRPr="00344384" w:rsidRDefault="00DB2113" w:rsidP="00DB2113">
            <w:pPr>
              <w:spacing w:after="0" w:line="240" w:lineRule="auto"/>
              <w:jc w:val="center"/>
              <w:rPr>
                <w:szCs w:val="24"/>
                <w:lang w:val="en-GB"/>
              </w:rPr>
            </w:pPr>
            <w:r w:rsidRPr="00344384">
              <w:rPr>
                <w:szCs w:val="24"/>
                <w:lang w:val="en-GB"/>
              </w:rPr>
              <w:t>2017</w:t>
            </w:r>
          </w:p>
        </w:tc>
      </w:tr>
      <w:tr w:rsidR="00DB2113" w:rsidRPr="00344384" w:rsidTr="00DB2113">
        <w:trPr>
          <w:trHeight w:val="311"/>
          <w:jc w:val="center"/>
        </w:trPr>
        <w:tc>
          <w:tcPr>
            <w:tcW w:w="1337" w:type="dxa"/>
            <w:noWrap/>
          </w:tcPr>
          <w:p w:rsidR="00DB2113" w:rsidRPr="00344384" w:rsidRDefault="00DB2113" w:rsidP="00DB2113">
            <w:pPr>
              <w:spacing w:after="0" w:line="240" w:lineRule="auto"/>
              <w:jc w:val="center"/>
              <w:rPr>
                <w:b/>
                <w:szCs w:val="24"/>
                <w:lang w:val="en-GB"/>
              </w:rPr>
            </w:pPr>
            <w:r w:rsidRPr="00344384">
              <w:rPr>
                <w:b/>
                <w:szCs w:val="24"/>
                <w:lang w:val="en-GB"/>
              </w:rPr>
              <w:t>N</w:t>
            </w:r>
          </w:p>
          <w:p w:rsidR="00DB2113" w:rsidRPr="00344384" w:rsidRDefault="00DB2113" w:rsidP="00DB2113">
            <w:pPr>
              <w:spacing w:after="0" w:line="240" w:lineRule="auto"/>
              <w:jc w:val="center"/>
              <w:rPr>
                <w:szCs w:val="24"/>
                <w:lang w:val="en-GB"/>
              </w:rPr>
            </w:pPr>
            <w:r w:rsidRPr="00344384">
              <w:rPr>
                <w:szCs w:val="24"/>
                <w:lang w:val="en-GB"/>
              </w:rPr>
              <w:t>(30% advance payment)</w:t>
            </w:r>
          </w:p>
        </w:tc>
        <w:tc>
          <w:tcPr>
            <w:tcW w:w="1281" w:type="dxa"/>
            <w:noWrap/>
          </w:tcPr>
          <w:p w:rsidR="00DB2113" w:rsidRPr="00344384" w:rsidRDefault="00DB2113" w:rsidP="00DB2113">
            <w:pPr>
              <w:spacing w:after="0" w:line="240" w:lineRule="auto"/>
              <w:jc w:val="center"/>
              <w:rPr>
                <w:b/>
                <w:szCs w:val="24"/>
                <w:lang w:val="en-GB"/>
              </w:rPr>
            </w:pPr>
            <w:r w:rsidRPr="00344384">
              <w:rPr>
                <w:b/>
                <w:szCs w:val="24"/>
                <w:lang w:val="en-GB"/>
              </w:rPr>
              <w:t>N+1</w:t>
            </w:r>
          </w:p>
        </w:tc>
        <w:tc>
          <w:tcPr>
            <w:tcW w:w="1281" w:type="dxa"/>
            <w:noWrap/>
          </w:tcPr>
          <w:p w:rsidR="00DB2113" w:rsidRPr="00344384" w:rsidRDefault="00DB2113" w:rsidP="00DB2113">
            <w:pPr>
              <w:spacing w:after="0" w:line="240" w:lineRule="auto"/>
              <w:jc w:val="center"/>
              <w:rPr>
                <w:b/>
                <w:szCs w:val="24"/>
                <w:lang w:val="en-GB"/>
              </w:rPr>
            </w:pPr>
            <w:r w:rsidRPr="00344384">
              <w:rPr>
                <w:b/>
                <w:szCs w:val="24"/>
                <w:lang w:val="en-GB"/>
              </w:rPr>
              <w:t>N+2</w:t>
            </w:r>
          </w:p>
        </w:tc>
        <w:tc>
          <w:tcPr>
            <w:tcW w:w="1281" w:type="dxa"/>
            <w:noWrap/>
          </w:tcPr>
          <w:p w:rsidR="00DB2113" w:rsidRPr="00344384" w:rsidRDefault="00DB2113" w:rsidP="00DB2113">
            <w:pPr>
              <w:spacing w:after="0" w:line="240" w:lineRule="auto"/>
              <w:jc w:val="center"/>
              <w:rPr>
                <w:b/>
                <w:szCs w:val="24"/>
                <w:lang w:val="en-GB"/>
              </w:rPr>
            </w:pPr>
            <w:r w:rsidRPr="00344384">
              <w:rPr>
                <w:b/>
                <w:szCs w:val="24"/>
                <w:lang w:val="en-GB"/>
              </w:rPr>
              <w:t>N+3</w:t>
            </w:r>
          </w:p>
        </w:tc>
        <w:tc>
          <w:tcPr>
            <w:tcW w:w="1774" w:type="dxa"/>
            <w:noWrap/>
          </w:tcPr>
          <w:p w:rsidR="00DB2113" w:rsidRPr="00344384" w:rsidRDefault="00DB2113" w:rsidP="00DB2113">
            <w:pPr>
              <w:spacing w:after="0" w:line="240" w:lineRule="auto"/>
              <w:jc w:val="center"/>
              <w:rPr>
                <w:szCs w:val="24"/>
                <w:lang w:val="en-GB"/>
              </w:rPr>
            </w:pPr>
            <w:r w:rsidRPr="00344384">
              <w:rPr>
                <w:szCs w:val="24"/>
                <w:lang w:val="en-GB"/>
              </w:rPr>
              <w:t>10% final payment (programme)</w:t>
            </w:r>
          </w:p>
        </w:tc>
      </w:tr>
      <w:tr w:rsidR="00DB2113" w:rsidRPr="00344384" w:rsidTr="00DB2113">
        <w:trPr>
          <w:trHeight w:val="311"/>
          <w:jc w:val="center"/>
        </w:trPr>
        <w:tc>
          <w:tcPr>
            <w:tcW w:w="6955" w:type="dxa"/>
            <w:gridSpan w:val="5"/>
            <w:noWrap/>
          </w:tcPr>
          <w:p w:rsidR="00DB2113" w:rsidRPr="00344384" w:rsidRDefault="00DB2113" w:rsidP="00DB2113">
            <w:pPr>
              <w:spacing w:after="0" w:line="240" w:lineRule="auto"/>
              <w:jc w:val="center"/>
              <w:rPr>
                <w:szCs w:val="24"/>
                <w:lang w:val="en-GB"/>
              </w:rPr>
            </w:pPr>
            <w:r>
              <w:rPr>
                <w:szCs w:val="24"/>
                <w:lang w:val="en-GB"/>
              </w:rPr>
              <w:t xml:space="preserve">In 2018 </w:t>
            </w:r>
            <w:r w:rsidRPr="00344384">
              <w:rPr>
                <w:szCs w:val="24"/>
                <w:lang w:val="en-GB"/>
              </w:rPr>
              <w:t>Decommitment of funds that have not been contracted</w:t>
            </w:r>
          </w:p>
        </w:tc>
      </w:tr>
    </w:tbl>
    <w:p w:rsidR="00DB2113" w:rsidRDefault="00DB2113" w:rsidP="00DB2113">
      <w:pPr>
        <w:spacing w:after="0"/>
        <w:rPr>
          <w:szCs w:val="24"/>
          <w:lang w:val="en-GB"/>
        </w:rPr>
      </w:pPr>
    </w:p>
    <w:p w:rsidR="00DB2113" w:rsidRPr="00FA2F9B" w:rsidRDefault="00DB2113" w:rsidP="00DB2113">
      <w:pPr>
        <w:rPr>
          <w:lang w:val="en-GB"/>
        </w:rPr>
      </w:pPr>
      <w:r w:rsidRPr="00101110">
        <w:rPr>
          <w:lang w:val="en-GB"/>
        </w:rPr>
        <w:t>The N+3 rule clearly demonstrates that careful planning and coordination have a direct impact on the successful implementation of IPA programmes.</w:t>
      </w:r>
    </w:p>
    <w:p w:rsidR="00DB2113" w:rsidRPr="00101110" w:rsidRDefault="00DB2113" w:rsidP="00DB2113">
      <w:pPr>
        <w:rPr>
          <w:lang w:val="en-GB"/>
        </w:rPr>
      </w:pPr>
      <w:r w:rsidRPr="00FA2F9B">
        <w:rPr>
          <w:lang w:val="en-GB"/>
        </w:rPr>
        <w:t>N+3 spending targets refer to EC budget programme level commitments (one commitment per year, per programme) - and not to individual projects</w:t>
      </w:r>
      <w:r w:rsidRPr="00101110">
        <w:rPr>
          <w:lang w:val="en-GB"/>
        </w:rPr>
        <w:t>. Nevertheless, in order for the allocated funds to be absorbed within the given timeframe (contracting begins in the ‘N’ year and final payments made in accordance with the N+3 rule), projects need to be fully prepar</w:t>
      </w:r>
      <w:r w:rsidRPr="00501C74">
        <w:rPr>
          <w:lang w:val="en-GB"/>
        </w:rPr>
        <w:t xml:space="preserve">ed with all the necessary accompanying documentation in time the N+3 rules kicks in. </w:t>
      </w:r>
    </w:p>
    <w:p w:rsidR="00DB2113" w:rsidRPr="00101110" w:rsidRDefault="00DB2113" w:rsidP="00DB2113">
      <w:pPr>
        <w:rPr>
          <w:lang w:val="en-GB"/>
        </w:rPr>
      </w:pPr>
      <w:r w:rsidRPr="00FA2F9B">
        <w:rPr>
          <w:lang w:val="en-GB"/>
        </w:rPr>
        <w:t>Additionally, it is also important to bear in mind that N+3 period covers not only the implementation of individual projects,</w:t>
      </w:r>
      <w:r w:rsidRPr="00101110">
        <w:rPr>
          <w:lang w:val="en-GB"/>
        </w:rPr>
        <w:t xml:space="preserve"> but also their tendering/contracting which takes a substantial amount of time. In other words, if the Financing Agreement is signed in the N year, it important to factor in the time it takes to contract projects</w:t>
      </w:r>
      <w:r w:rsidRPr="00101110">
        <w:rPr>
          <w:rStyle w:val="FootnoteReference"/>
          <w:szCs w:val="24"/>
          <w:lang w:val="en-GB"/>
        </w:rPr>
        <w:footnoteReference w:id="30"/>
      </w:r>
      <w:r w:rsidRPr="00101110">
        <w:rPr>
          <w:lang w:val="en-GB"/>
        </w:rPr>
        <w:t>, which in effect leaves even less time for project implementation.</w:t>
      </w:r>
    </w:p>
    <w:p w:rsidR="00DB2113" w:rsidRPr="00B26241" w:rsidRDefault="00A07B29" w:rsidP="00DB2113">
      <w:pPr>
        <w:rPr>
          <w:szCs w:val="24"/>
          <w:lang w:val="en-GB"/>
        </w:rPr>
      </w:pPr>
      <w:r>
        <w:rPr>
          <w:noProof/>
        </w:rPr>
        <mc:AlternateContent>
          <mc:Choice Requires="wps">
            <w:drawing>
              <wp:anchor distT="0" distB="0" distL="114300" distR="114300" simplePos="0" relativeHeight="251710464" behindDoc="0" locked="0" layoutInCell="1" allowOverlap="1" wp14:anchorId="75574FFD" wp14:editId="31A48D3B">
                <wp:simplePos x="0" y="0"/>
                <wp:positionH relativeFrom="column">
                  <wp:posOffset>0</wp:posOffset>
                </wp:positionH>
                <wp:positionV relativeFrom="paragraph">
                  <wp:posOffset>6985</wp:posOffset>
                </wp:positionV>
                <wp:extent cx="5835650" cy="701040"/>
                <wp:effectExtent l="0" t="0" r="12700" b="22860"/>
                <wp:wrapNone/>
                <wp:docPr id="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701040"/>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227A2" w:rsidRPr="00556243" w:rsidRDefault="008227A2" w:rsidP="00DB2113">
                            <w:pPr>
                              <w:rPr>
                                <w:b/>
                                <w:i/>
                              </w:rPr>
                            </w:pPr>
                            <w:r>
                              <w:rPr>
                                <w:b/>
                                <w:i/>
                              </w:rPr>
                              <w:t xml:space="preserve">Rigid time constrains under </w:t>
                            </w:r>
                            <w:r w:rsidRPr="00C54A39">
                              <w:rPr>
                                <w:b/>
                                <w:i/>
                              </w:rPr>
                              <w:t>IPA implementation rules (N+3) demand sufficient pipeline of projects in social inclusion</w:t>
                            </w:r>
                            <w:r>
                              <w:rPr>
                                <w:b/>
                                <w:i/>
                              </w:rPr>
                              <w:t xml:space="preserve"> and adequate institutional capacities</w:t>
                            </w:r>
                            <w:r w:rsidRPr="00C54A39">
                              <w:rPr>
                                <w:b/>
                                <w:i/>
                              </w:rPr>
                              <w:t>.</w:t>
                            </w:r>
                            <w:r>
                              <w:rPr>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ounded Rectangle 21" o:spid="_x0000_s1030" style="position:absolute;left:0;text-align:left;margin-left:0;margin-top:.55pt;width:459.5pt;height:5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" fillcolor="#d8d8d8 [2732]" strokecolor="black [3213]" strokeweight="1pt">
                <v:shadow color="black" opacity="24903f" origin=",.5" offset="0,.55556mm"/>
                <v:path arrowok="t"/>
                <v:textbox>
                  <w:txbxContent>
                    <w:p w:rsidR="008227A2" w:rsidRPr="00556243" w:rsidRDefault="008227A2" w:rsidP="00DB2113">
                      <w:pPr>
                        <w:rPr>
                          <w:b/>
                          <w:i/>
                        </w:rPr>
                      </w:pPr>
                      <w:r>
                        <w:rPr>
                          <w:b/>
                          <w:i/>
                        </w:rPr>
                        <w:t xml:space="preserve">Rigid time constrains under </w:t>
                      </w:r>
                      <w:r w:rsidRPr="00C54A39">
                        <w:rPr>
                          <w:b/>
                          <w:i/>
                        </w:rPr>
                        <w:t>IPA implementation rules (N+3) demand sufficient pipeline of projects in social inclusion</w:t>
                      </w:r>
                      <w:r>
                        <w:rPr>
                          <w:b/>
                          <w:i/>
                        </w:rPr>
                        <w:t xml:space="preserve"> and adequate institutional capacities</w:t>
                      </w:r>
                      <w:r w:rsidRPr="00C54A39">
                        <w:rPr>
                          <w:b/>
                          <w:i/>
                        </w:rPr>
                        <w:t>.</w:t>
                      </w:r>
                      <w:r>
                        <w:rPr>
                          <w:lang w:val="en-GB"/>
                        </w:rPr>
                        <w:t xml:space="preserve">  </w:t>
                      </w:r>
                    </w:p>
                  </w:txbxContent>
                </v:textbox>
              </v:rect>
            </w:pict>
          </mc:Fallback>
        </mc:AlternateContent>
      </w:r>
    </w:p>
    <w:p w:rsidR="00DB2113" w:rsidRPr="00B26241" w:rsidRDefault="00DB2113" w:rsidP="00DB2113">
      <w:pPr>
        <w:rPr>
          <w:szCs w:val="24"/>
          <w:lang w:val="en-GB"/>
        </w:rPr>
      </w:pPr>
    </w:p>
    <w:p w:rsidR="00983B1D" w:rsidRDefault="00983B1D" w:rsidP="00DB2113">
      <w:pPr>
        <w:rPr>
          <w:szCs w:val="24"/>
          <w:lang w:val="sr-Cyrl-CS"/>
        </w:rPr>
      </w:pPr>
    </w:p>
    <w:p w:rsidR="00DB2113" w:rsidRPr="00B26241" w:rsidRDefault="00DB2113" w:rsidP="00DB2113">
      <w:pPr>
        <w:rPr>
          <w:szCs w:val="24"/>
          <w:lang w:val="en-GB"/>
        </w:rPr>
      </w:pPr>
      <w:r w:rsidRPr="00B26241">
        <w:rPr>
          <w:szCs w:val="24"/>
          <w:lang w:val="en-GB"/>
        </w:rPr>
        <w:t xml:space="preserve">Furthermore, due to </w:t>
      </w:r>
      <w:r>
        <w:rPr>
          <w:szCs w:val="24"/>
          <w:lang w:val="en-GB"/>
        </w:rPr>
        <w:t>a</w:t>
      </w:r>
      <w:r w:rsidRPr="00B26241">
        <w:rPr>
          <w:szCs w:val="24"/>
          <w:lang w:val="en-GB"/>
        </w:rPr>
        <w:t xml:space="preserve"> range of topics</w:t>
      </w:r>
      <w:r>
        <w:rPr>
          <w:szCs w:val="24"/>
          <w:lang w:val="en-GB"/>
        </w:rPr>
        <w:t xml:space="preserve"> potentially</w:t>
      </w:r>
      <w:r w:rsidRPr="00B26241">
        <w:rPr>
          <w:szCs w:val="24"/>
          <w:lang w:val="en-GB"/>
        </w:rPr>
        <w:t xml:space="preserve"> eligible under the social inclusion axis of future Human Resource Development Operational Programmes under IPA </w:t>
      </w:r>
      <w:r>
        <w:rPr>
          <w:szCs w:val="24"/>
          <w:lang w:val="en-GB"/>
        </w:rPr>
        <w:t xml:space="preserve">Component </w:t>
      </w:r>
      <w:r w:rsidRPr="00B26241">
        <w:rPr>
          <w:szCs w:val="24"/>
          <w:lang w:val="en-GB"/>
        </w:rPr>
        <w:t xml:space="preserve">IV (and future European Social Fund), and the fragmented </w:t>
      </w:r>
      <w:r>
        <w:rPr>
          <w:szCs w:val="24"/>
          <w:lang w:val="en-GB"/>
        </w:rPr>
        <w:t>implementation of the social inclusion polic</w:t>
      </w:r>
      <w:r>
        <w:rPr>
          <w:szCs w:val="24"/>
        </w:rPr>
        <w:t>ies</w:t>
      </w:r>
      <w:r w:rsidRPr="00B26241">
        <w:rPr>
          <w:szCs w:val="24"/>
          <w:lang w:val="en-GB"/>
        </w:rPr>
        <w:t xml:space="preserve"> in Serbia (various national and local bodies, state and non-governmental), it is extremely important that programming of EU and national assistance </w:t>
      </w:r>
      <w:r>
        <w:rPr>
          <w:szCs w:val="24"/>
          <w:lang w:val="en-GB"/>
        </w:rPr>
        <w:t xml:space="preserve">be </w:t>
      </w:r>
      <w:r w:rsidRPr="00B26241">
        <w:rPr>
          <w:szCs w:val="24"/>
          <w:lang w:val="en-GB"/>
        </w:rPr>
        <w:t xml:space="preserve">done in a coordinated manner. </w:t>
      </w:r>
    </w:p>
    <w:p w:rsidR="00DB2113" w:rsidRPr="00182D71" w:rsidRDefault="001368A9" w:rsidP="00182D71">
      <w:pPr>
        <w:pStyle w:val="Heading3"/>
      </w:pPr>
      <w:bookmarkStart w:id="25" w:name="_Toc353200770"/>
      <w:r w:rsidRPr="00182D71">
        <w:t>3</w:t>
      </w:r>
      <w:r w:rsidR="00DB2113" w:rsidRPr="00182D71">
        <w:t>.2.3. Co-financing and Pre-financing</w:t>
      </w:r>
      <w:bookmarkEnd w:id="25"/>
      <w:r w:rsidR="00DB2113" w:rsidRPr="00182D71">
        <w:t xml:space="preserve"> </w:t>
      </w:r>
    </w:p>
    <w:p w:rsidR="00DB2113" w:rsidRPr="00B26241" w:rsidRDefault="00DB2113" w:rsidP="00DB2113">
      <w:pPr>
        <w:rPr>
          <w:szCs w:val="24"/>
          <w:lang w:val="en-GB"/>
        </w:rPr>
      </w:pPr>
      <w:r w:rsidRPr="00B26241">
        <w:rPr>
          <w:szCs w:val="24"/>
          <w:lang w:val="en-GB"/>
        </w:rPr>
        <w:t xml:space="preserve">As a candidate country, Serbia will have to co-finance </w:t>
      </w:r>
      <w:r>
        <w:rPr>
          <w:szCs w:val="24"/>
          <w:lang w:val="en-GB"/>
        </w:rPr>
        <w:t xml:space="preserve">the </w:t>
      </w:r>
      <w:r w:rsidRPr="00B26241">
        <w:rPr>
          <w:szCs w:val="24"/>
          <w:lang w:val="en-GB"/>
        </w:rPr>
        <w:t>EU-funded programmes and projects. Co-financing of eligible expenditure means that the EU does not pay 100% of a project. Instead,</w:t>
      </w:r>
      <w:r>
        <w:rPr>
          <w:szCs w:val="24"/>
          <w:lang w:val="en-GB"/>
        </w:rPr>
        <w:t xml:space="preserve"> a</w:t>
      </w:r>
      <w:r w:rsidRPr="00B26241">
        <w:rPr>
          <w:szCs w:val="24"/>
          <w:lang w:val="en-GB"/>
        </w:rPr>
        <w:t xml:space="preserve"> part has to be covered by public fu</w:t>
      </w:r>
      <w:r>
        <w:rPr>
          <w:szCs w:val="24"/>
          <w:lang w:val="en-GB"/>
        </w:rPr>
        <w:t>nds supplied by the beneficiary.</w:t>
      </w:r>
      <w:r w:rsidRPr="00B26241">
        <w:rPr>
          <w:szCs w:val="24"/>
          <w:lang w:val="en-GB"/>
        </w:rPr>
        <w:t xml:space="preserve"> </w:t>
      </w:r>
      <w:r>
        <w:rPr>
          <w:szCs w:val="24"/>
          <w:lang w:val="en-GB"/>
        </w:rPr>
        <w:t xml:space="preserve">This is implied by one of the underlying principles of the EU funds – </w:t>
      </w:r>
      <w:r>
        <w:rPr>
          <w:rStyle w:val="st"/>
        </w:rPr>
        <w:t>additionality (</w:t>
      </w:r>
      <w:r>
        <w:rPr>
          <w:szCs w:val="24"/>
          <w:lang w:val="en-GB"/>
        </w:rPr>
        <w:t xml:space="preserve">complementarity). This principle says that actions financed from EU funds </w:t>
      </w:r>
      <w:r>
        <w:t xml:space="preserve">are not aimed at driving out or replacing the actions undertaken by national authorities, but they should enrich and reinforce them. </w:t>
      </w:r>
      <w:r w:rsidRPr="00B26241">
        <w:rPr>
          <w:szCs w:val="24"/>
          <w:lang w:val="en-GB"/>
        </w:rPr>
        <w:t xml:space="preserve">For IPA, the default EU co-financing rates, sometimes referred to as “aid intensities” or “intervention rates”, vary between Components (85% for I to IV, 75% for V). In certain cases, however, exceptions can be made and the EU co-financing rate raised </w:t>
      </w:r>
      <w:r>
        <w:rPr>
          <w:szCs w:val="24"/>
          <w:lang w:val="en-GB"/>
        </w:rPr>
        <w:t>up</w:t>
      </w:r>
      <w:r w:rsidRPr="00B26241">
        <w:rPr>
          <w:szCs w:val="24"/>
          <w:lang w:val="en-GB"/>
        </w:rPr>
        <w:t xml:space="preserve"> to 100%. Details per Component are to be found in Articles 38, 67, 90, 149, 153 and 173 of the IPA Implementing Regulation. The term “co-financing” obviously applies not only to funds supplied by the EU, but also to the remainder provided by a beneficiary (in most cases national public funds provided from state, regional or local budgets). EU, national public and non-public funds can be delivered via joint co-financing or parallel co-financing.</w:t>
      </w:r>
      <w:r w:rsidRPr="00B26241">
        <w:rPr>
          <w:szCs w:val="24"/>
          <w:vertAlign w:val="superscript"/>
          <w:lang w:val="en-GB"/>
        </w:rPr>
        <w:footnoteReference w:id="31"/>
      </w:r>
    </w:p>
    <w:p w:rsidR="00DB2113" w:rsidRPr="00B26241" w:rsidRDefault="00DB2113" w:rsidP="00DB2113">
      <w:pPr>
        <w:spacing w:before="100" w:beforeAutospacing="1" w:after="100" w:afterAutospacing="1"/>
        <w:rPr>
          <w:szCs w:val="24"/>
          <w:lang w:val="en-GB"/>
        </w:rPr>
      </w:pPr>
      <w:r w:rsidRPr="00B26241">
        <w:rPr>
          <w:szCs w:val="24"/>
          <w:lang w:val="en-GB"/>
        </w:rPr>
        <w:t xml:space="preserve">The pie chart </w:t>
      </w:r>
      <w:r>
        <w:rPr>
          <w:szCs w:val="24"/>
          <w:lang w:val="en-GB"/>
        </w:rPr>
        <w:t>illustrates</w:t>
      </w:r>
      <w:r w:rsidRPr="00B26241">
        <w:rPr>
          <w:szCs w:val="24"/>
          <w:lang w:val="en-GB"/>
        </w:rPr>
        <w:t xml:space="preserve"> the distribution of funding provided under IPA Component IV </w:t>
      </w:r>
      <w:r>
        <w:rPr>
          <w:szCs w:val="24"/>
          <w:lang w:val="en-GB"/>
        </w:rPr>
        <w:t xml:space="preserve">(for candidate countries benefiting from IPA component IV) </w:t>
      </w:r>
      <w:r w:rsidRPr="00B26241">
        <w:rPr>
          <w:szCs w:val="24"/>
          <w:lang w:val="en-GB"/>
        </w:rPr>
        <w:t>for employment, education, social inclusion, and technical assistance. Overall, EUR 250,914,151 has been allocated for Human Resources Development under IPA for the 2007-2009 period. Under a co-financing arrangement, EUR 37,637,151 (or 15% of the total amount) has been provided by national governments, while the remaining EUR 213,277,000 EUR is provided by the European Union.</w:t>
      </w:r>
      <w:r w:rsidRPr="00B26241">
        <w:rPr>
          <w:szCs w:val="24"/>
          <w:vertAlign w:val="superscript"/>
          <w:lang w:val="en-GB"/>
        </w:rPr>
        <w:footnoteReference w:id="32"/>
      </w:r>
    </w:p>
    <w:p w:rsidR="00DB2113" w:rsidRPr="00B26241" w:rsidRDefault="00DB2113" w:rsidP="00DB2113">
      <w:pPr>
        <w:spacing w:before="100" w:beforeAutospacing="1" w:after="100" w:afterAutospacing="1" w:line="240" w:lineRule="auto"/>
        <w:jc w:val="center"/>
        <w:rPr>
          <w:szCs w:val="24"/>
          <w:lang w:val="en-GB" w:eastAsia="en-GB"/>
        </w:rPr>
      </w:pPr>
      <w:r>
        <w:rPr>
          <w:noProof/>
          <w:szCs w:val="24"/>
        </w:rPr>
        <w:drawing>
          <wp:inline distT="0" distB="0" distL="0" distR="0" wp14:anchorId="3BBEA756" wp14:editId="1C26561A">
            <wp:extent cx="3781425" cy="2162175"/>
            <wp:effectExtent l="0" t="0" r="9525" b="9525"/>
            <wp:docPr id="18" name="Picture 18" descr="Distribution of IPA Component IV funding, per priority, in % 2007-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bution of IPA Component IV funding, per priority, in % 2007-20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1425" cy="2162175"/>
                    </a:xfrm>
                    <a:prstGeom prst="rect">
                      <a:avLst/>
                    </a:prstGeom>
                    <a:noFill/>
                    <a:ln>
                      <a:noFill/>
                    </a:ln>
                  </pic:spPr>
                </pic:pic>
              </a:graphicData>
            </a:graphic>
          </wp:inline>
        </w:drawing>
      </w:r>
    </w:p>
    <w:p w:rsidR="00DB2113" w:rsidRPr="00597853" w:rsidRDefault="00DB2113" w:rsidP="00DB2113">
      <w:pPr>
        <w:autoSpaceDE w:val="0"/>
        <w:autoSpaceDN w:val="0"/>
        <w:adjustRightInd w:val="0"/>
        <w:spacing w:after="0" w:line="240" w:lineRule="auto"/>
        <w:jc w:val="center"/>
        <w:rPr>
          <w:i/>
          <w:szCs w:val="24"/>
          <w:lang w:val="en-GB"/>
        </w:rPr>
      </w:pPr>
      <w:r w:rsidRPr="00597853">
        <w:rPr>
          <w:i/>
          <w:szCs w:val="24"/>
          <w:lang w:val="en-GB"/>
        </w:rPr>
        <w:t xml:space="preserve">Graph </w:t>
      </w:r>
      <w:r w:rsidR="00862F14">
        <w:rPr>
          <w:i/>
          <w:szCs w:val="24"/>
          <w:lang w:val="en-GB"/>
        </w:rPr>
        <w:t>2</w:t>
      </w:r>
      <w:r w:rsidRPr="00597853">
        <w:rPr>
          <w:i/>
          <w:szCs w:val="24"/>
          <w:lang w:val="en-GB"/>
        </w:rPr>
        <w:t>: Distribution of IPA Component IV funding, per priority in %, 2007-2009</w:t>
      </w:r>
    </w:p>
    <w:p w:rsidR="00DB2113" w:rsidRPr="00B26241" w:rsidRDefault="00DB2113" w:rsidP="00DB2113">
      <w:pPr>
        <w:autoSpaceDE w:val="0"/>
        <w:autoSpaceDN w:val="0"/>
        <w:adjustRightInd w:val="0"/>
        <w:spacing w:after="0" w:line="240" w:lineRule="auto"/>
        <w:rPr>
          <w:b/>
          <w:szCs w:val="24"/>
          <w:lang w:val="en-GB"/>
        </w:rPr>
      </w:pPr>
    </w:p>
    <w:p w:rsidR="00DB2113" w:rsidRPr="00B26241" w:rsidRDefault="00DB2113" w:rsidP="00DB2113">
      <w:pPr>
        <w:rPr>
          <w:lang w:val="en-GB"/>
        </w:rPr>
      </w:pPr>
      <w:r w:rsidRPr="00B26241">
        <w:rPr>
          <w:lang w:val="en-GB"/>
        </w:rPr>
        <w:t xml:space="preserve">Besides co-financing, as a candidate country, the problem </w:t>
      </w:r>
      <w:r>
        <w:rPr>
          <w:lang w:val="en-GB"/>
        </w:rPr>
        <w:t>of</w:t>
      </w:r>
      <w:r w:rsidRPr="00B26241">
        <w:rPr>
          <w:lang w:val="en-GB"/>
        </w:rPr>
        <w:t xml:space="preserve"> pre-financing certain programmes/projects will also become even greater upon the opening of funds for human resources development,</w:t>
      </w:r>
      <w:r w:rsidR="00B509AB">
        <w:rPr>
          <w:lang w:val="en-GB"/>
        </w:rPr>
        <w:t xml:space="preserve"> </w:t>
      </w:r>
      <w:r w:rsidRPr="00B26241">
        <w:rPr>
          <w:lang w:val="en-GB"/>
        </w:rPr>
        <w:t>especially for projects funded under grant call for proposals such as those listed under social inclusion priority.</w:t>
      </w:r>
    </w:p>
    <w:p w:rsidR="00DB2113" w:rsidRPr="00B26241" w:rsidRDefault="00DB2113" w:rsidP="00DB2113">
      <w:pPr>
        <w:rPr>
          <w:lang w:val="en-GB" w:eastAsia="en-GB"/>
        </w:rPr>
      </w:pPr>
      <w:r w:rsidRPr="00B26241">
        <w:rPr>
          <w:lang w:val="en-GB"/>
        </w:rPr>
        <w:t xml:space="preserve">In practice, pre-financing is when grantees receive an “advance payment” for start-up of the activities envisaged by projects. However, the difficulty is that certain programmes (such as </w:t>
      </w:r>
      <w:r w:rsidRPr="00B26241">
        <w:rPr>
          <w:lang w:val="en-GB" w:eastAsia="en-GB"/>
        </w:rPr>
        <w:t xml:space="preserve">IPA Cross-border Co-operation, for Programmes implemented with Member States) operate in a ‘post-financing system’ meaning that projects awarded </w:t>
      </w:r>
      <w:r>
        <w:rPr>
          <w:lang w:val="en-GB" w:eastAsia="en-GB"/>
        </w:rPr>
        <w:t>subsidies</w:t>
      </w:r>
      <w:r w:rsidRPr="00B26241">
        <w:rPr>
          <w:lang w:val="en-GB" w:eastAsia="en-GB"/>
        </w:rPr>
        <w:t xml:space="preserve"> cannot receive an advance grant</w:t>
      </w:r>
      <w:r>
        <w:rPr>
          <w:lang w:val="en-GB" w:eastAsia="en-GB"/>
        </w:rPr>
        <w:t>s</w:t>
      </w:r>
      <w:r w:rsidRPr="00B26241">
        <w:rPr>
          <w:lang w:val="en-GB" w:eastAsia="en-GB"/>
        </w:rPr>
        <w:t>, while the first 'regular' reimbursement of eligible costs can occur</w:t>
      </w:r>
      <w:r>
        <w:rPr>
          <w:lang w:val="en-GB" w:eastAsia="en-GB"/>
        </w:rPr>
        <w:t xml:space="preserve"> only</w:t>
      </w:r>
      <w:r w:rsidRPr="00B26241">
        <w:rPr>
          <w:lang w:val="en-GB" w:eastAsia="en-GB"/>
        </w:rPr>
        <w:t xml:space="preserve"> after the first reporting period. This causes significant problems for civil society organisations which predominantly rely on external</w:t>
      </w:r>
      <w:r>
        <w:rPr>
          <w:lang w:val="en-GB" w:eastAsia="en-GB"/>
        </w:rPr>
        <w:t xml:space="preserve"> sources of financing, and have </w:t>
      </w:r>
      <w:r w:rsidRPr="00B26241">
        <w:rPr>
          <w:lang w:val="en-GB" w:eastAsia="en-GB"/>
        </w:rPr>
        <w:t>difficulties to obtain their own funds for project initiation.</w:t>
      </w:r>
    </w:p>
    <w:p w:rsidR="00DB2113" w:rsidRPr="00B26241" w:rsidRDefault="00DB2113" w:rsidP="00DB2113">
      <w:pPr>
        <w:rPr>
          <w:b/>
          <w:lang w:val="en-GB"/>
        </w:rPr>
      </w:pPr>
      <w:r w:rsidRPr="00B26241">
        <w:rPr>
          <w:iCs/>
          <w:lang w:val="en-GB"/>
        </w:rPr>
        <w:t>Bearing in mind the pre-financing rule and the level of contribution, the possibilities for participation in certain programmes and effective usage of EU Funds are often quite limited</w:t>
      </w:r>
      <w:r w:rsidRPr="008B0AC6">
        <w:rPr>
          <w:iCs/>
          <w:lang w:val="en-GB"/>
        </w:rPr>
        <w:t xml:space="preserve"> </w:t>
      </w:r>
      <w:r w:rsidRPr="00B26241">
        <w:rPr>
          <w:iCs/>
          <w:lang w:val="en-GB"/>
        </w:rPr>
        <w:t xml:space="preserve">for civil society organisations, municipalities </w:t>
      </w:r>
      <w:r>
        <w:rPr>
          <w:iCs/>
          <w:lang w:val="en-GB"/>
        </w:rPr>
        <w:t>and other non-profit applicants</w:t>
      </w:r>
      <w:r w:rsidRPr="00B26241">
        <w:rPr>
          <w:iCs/>
          <w:lang w:val="en-GB"/>
        </w:rPr>
        <w:t>.</w:t>
      </w:r>
    </w:p>
    <w:p w:rsidR="00DB2113" w:rsidRDefault="00DB2113" w:rsidP="00DB2113">
      <w:pPr>
        <w:rPr>
          <w:lang w:val="sr-Cyrl-CS"/>
        </w:rPr>
      </w:pPr>
      <w:r w:rsidRPr="00FB7EFB">
        <w:rPr>
          <w:lang w:val="en-GB"/>
        </w:rPr>
        <w:t xml:space="preserve">The Social Inclusion Fund would be well placed to meet both co-financing and pre-financing obligations for IPA funds for social inclusion </w:t>
      </w:r>
      <w:r w:rsidR="000A000F">
        <w:rPr>
          <w:lang w:val="sr-Cyrl-CS"/>
        </w:rPr>
        <w:t xml:space="preserve">– </w:t>
      </w:r>
      <w:r w:rsidRPr="00FB7EFB">
        <w:rPr>
          <w:lang w:val="en-GB"/>
        </w:rPr>
        <w:t xml:space="preserve">it would be able to provide co-financing for multi-annual EU programmes more expeditiously compared to other government bodies that have annual budgets and are limited in terms of allocating funds years in advance (especially if the programming of the new IPA Component IV switches from 3 to 7 years). </w:t>
      </w:r>
    </w:p>
    <w:p w:rsidR="00983B1D" w:rsidRPr="00983B1D" w:rsidRDefault="00A07B29" w:rsidP="00DB2113">
      <w:pPr>
        <w:rPr>
          <w:lang w:val="sr-Cyrl-CS"/>
        </w:rPr>
      </w:pPr>
      <w:r>
        <w:rPr>
          <w:noProof/>
        </w:rPr>
        <mc:AlternateContent>
          <mc:Choice Requires="wps">
            <w:drawing>
              <wp:anchor distT="0" distB="0" distL="114300" distR="114300" simplePos="0" relativeHeight="251707392" behindDoc="0" locked="0" layoutInCell="1" allowOverlap="1" wp14:anchorId="05C1DE58" wp14:editId="797B809A">
                <wp:simplePos x="0" y="0"/>
                <wp:positionH relativeFrom="column">
                  <wp:posOffset>-64135</wp:posOffset>
                </wp:positionH>
                <wp:positionV relativeFrom="paragraph">
                  <wp:posOffset>78105</wp:posOffset>
                </wp:positionV>
                <wp:extent cx="5835650" cy="789940"/>
                <wp:effectExtent l="0" t="0" r="12700" b="10160"/>
                <wp:wrapNone/>
                <wp:docPr id="5"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789940"/>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227A2" w:rsidRPr="00556243" w:rsidRDefault="008227A2" w:rsidP="00DB2113">
                            <w:pPr>
                              <w:rPr>
                                <w:b/>
                                <w:i/>
                              </w:rPr>
                            </w:pPr>
                            <w:r>
                              <w:rPr>
                                <w:b/>
                                <w:i/>
                              </w:rPr>
                              <w:t>Social Inclusion Fund allows for flexibility in bridging co-financing and pre-financing requirements arising from pre-accession assistance and other EU programmes earmarked for social inclusion.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ounded Rectangle 20" o:spid="_x0000_s1031" style="position:absolute;left:0;text-align:left;margin-left:-5.05pt;margin-top:6.15pt;width:459.5pt;height:6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" fillcolor="#d8d8d8 [2732]" strokecolor="black [3213]" strokeweight="1pt">
                <v:shadow color="black" opacity="24903f" origin=",.5" offset="0,.55556mm"/>
                <v:path arrowok="t"/>
                <v:textbox>
                  <w:txbxContent>
                    <w:p w:rsidR="008227A2" w:rsidRPr="00556243" w:rsidRDefault="008227A2" w:rsidP="00DB2113">
                      <w:pPr>
                        <w:rPr>
                          <w:b/>
                          <w:i/>
                        </w:rPr>
                      </w:pPr>
                      <w:r>
                        <w:rPr>
                          <w:b/>
                          <w:i/>
                        </w:rPr>
                        <w:t>Social Inclusion Fund allows for flexibility in bridging co-financing and pre-financing requirements arising from pre-accession assistance and other EU programmes earmarked for social inclusion.</w:t>
                      </w:r>
                    </w:p>
                  </w:txbxContent>
                </v:textbox>
              </v:rect>
            </w:pict>
          </mc:Fallback>
        </mc:AlternateContent>
      </w:r>
    </w:p>
    <w:p w:rsidR="00DB2113" w:rsidRPr="00B26241" w:rsidRDefault="00DB2113" w:rsidP="00DB2113">
      <w:pPr>
        <w:autoSpaceDE w:val="0"/>
        <w:autoSpaceDN w:val="0"/>
        <w:adjustRightInd w:val="0"/>
        <w:spacing w:after="0" w:line="240" w:lineRule="auto"/>
        <w:rPr>
          <w:szCs w:val="24"/>
          <w:lang w:val="en-GB"/>
        </w:rPr>
      </w:pPr>
    </w:p>
    <w:p w:rsidR="00DB2113" w:rsidRPr="00B26241" w:rsidRDefault="00DB2113" w:rsidP="00DB2113">
      <w:pPr>
        <w:autoSpaceDE w:val="0"/>
        <w:autoSpaceDN w:val="0"/>
        <w:adjustRightInd w:val="0"/>
        <w:spacing w:after="0" w:line="240" w:lineRule="auto"/>
        <w:rPr>
          <w:szCs w:val="24"/>
          <w:lang w:val="en-GB"/>
        </w:rPr>
      </w:pPr>
    </w:p>
    <w:p w:rsidR="00DB2113" w:rsidRPr="00B26241" w:rsidRDefault="00DB2113" w:rsidP="00DB2113">
      <w:pPr>
        <w:autoSpaceDE w:val="0"/>
        <w:autoSpaceDN w:val="0"/>
        <w:adjustRightInd w:val="0"/>
        <w:spacing w:after="0" w:line="240" w:lineRule="auto"/>
        <w:rPr>
          <w:szCs w:val="24"/>
          <w:lang w:val="en-GB"/>
        </w:rPr>
      </w:pPr>
    </w:p>
    <w:p w:rsidR="00DB2113" w:rsidRPr="00182D71" w:rsidRDefault="001368A9" w:rsidP="00182D71">
      <w:pPr>
        <w:pStyle w:val="Heading2"/>
      </w:pPr>
      <w:bookmarkStart w:id="26" w:name="_Toc353200771"/>
      <w:r w:rsidRPr="00182D71">
        <w:t>3</w:t>
      </w:r>
      <w:r w:rsidR="00DB2113" w:rsidRPr="00182D71">
        <w:t xml:space="preserve">.3. </w:t>
      </w:r>
      <w:r w:rsidR="00862F14" w:rsidRPr="00182D71">
        <w:t>Contracting</w:t>
      </w:r>
      <w:r w:rsidR="00DB2113" w:rsidRPr="00182D71">
        <w:t xml:space="preserve"> Bodies as Part of the Operating Structure</w:t>
      </w:r>
      <w:bookmarkEnd w:id="26"/>
    </w:p>
    <w:p w:rsidR="00DB2113" w:rsidRPr="00B26241" w:rsidRDefault="00DB2113" w:rsidP="00DB2113">
      <w:pPr>
        <w:rPr>
          <w:lang w:val="en-GB"/>
        </w:rPr>
      </w:pPr>
      <w:r>
        <w:rPr>
          <w:lang w:val="en-GB"/>
        </w:rPr>
        <w:t xml:space="preserve">The </w:t>
      </w:r>
      <w:r w:rsidRPr="00B26241">
        <w:rPr>
          <w:lang w:val="en-GB"/>
        </w:rPr>
        <w:t>Operating Struc</w:t>
      </w:r>
      <w:r>
        <w:rPr>
          <w:lang w:val="en-GB"/>
        </w:rPr>
        <w:t>ture in the context of the IPA C</w:t>
      </w:r>
      <w:r w:rsidRPr="00B26241">
        <w:rPr>
          <w:lang w:val="en-GB"/>
        </w:rPr>
        <w:t>omponents III and IV usually comprises a minimum of two bodi</w:t>
      </w:r>
      <w:r>
        <w:rPr>
          <w:lang w:val="en-GB"/>
        </w:rPr>
        <w:t>es:</w:t>
      </w:r>
      <w:r w:rsidRPr="00B26241">
        <w:rPr>
          <w:lang w:val="en-GB"/>
        </w:rPr>
        <w:t xml:space="preserve"> one taking charge of programming, monitoring and evaluation, </w:t>
      </w:r>
      <w:r>
        <w:rPr>
          <w:lang w:val="en-GB"/>
        </w:rPr>
        <w:t xml:space="preserve">and </w:t>
      </w:r>
      <w:r w:rsidRPr="00B26241">
        <w:rPr>
          <w:lang w:val="en-GB"/>
        </w:rPr>
        <w:t>the other being responsible for procurement, grant award</w:t>
      </w:r>
      <w:r>
        <w:rPr>
          <w:lang w:val="en-GB"/>
        </w:rPr>
        <w:t>s</w:t>
      </w:r>
      <w:r w:rsidRPr="00B26241">
        <w:rPr>
          <w:lang w:val="en-GB"/>
        </w:rPr>
        <w:t xml:space="preserve">, payment and verification of expenditure. </w:t>
      </w:r>
      <w:r>
        <w:rPr>
          <w:lang w:val="en-GB"/>
        </w:rPr>
        <w:t>The o</w:t>
      </w:r>
      <w:r w:rsidRPr="00B26241">
        <w:rPr>
          <w:lang w:val="en-GB"/>
        </w:rPr>
        <w:t>verall responsibility for a programme is assumed by one of the bodies in the OS</w:t>
      </w:r>
      <w:r>
        <w:rPr>
          <w:lang w:val="en-GB"/>
        </w:rPr>
        <w:t>. T</w:t>
      </w:r>
      <w:r w:rsidRPr="00B26241">
        <w:rPr>
          <w:lang w:val="en-GB"/>
        </w:rPr>
        <w:t>his lead body is designated as the Head of the Operating Structure (HOS). Operational Agreements are concluded between each HOS and the other bodies in the relevant OS.</w:t>
      </w:r>
    </w:p>
    <w:p w:rsidR="00DB2113" w:rsidRPr="00B26241" w:rsidRDefault="00DB2113" w:rsidP="00DB2113">
      <w:pPr>
        <w:rPr>
          <w:lang w:val="en-GB"/>
        </w:rPr>
      </w:pPr>
      <w:r w:rsidRPr="00B26241">
        <w:rPr>
          <w:lang w:val="en-GB"/>
        </w:rPr>
        <w:t xml:space="preserve">In order for an institution within the Serbian administrative structure to become part of the OS under IPA (or Managing Authority under Structural Funds) - it needs to go through the process of accreditation, whereby it is confirmed that it possesses the adequate capacity (number of staff) and expertise (knowledge of the field and procedures - for example, procurement and grant award procedures). In other words, accreditation is a formal acknowledgement that a body meets the requirements contained in the IPA Implementing Regulation for the administration of IPA components or IPA financed programmes under </w:t>
      </w:r>
      <w:r w:rsidR="007B1416">
        <w:rPr>
          <w:lang w:val="en-GB"/>
        </w:rPr>
        <w:t>decentralised management</w:t>
      </w:r>
      <w:r w:rsidRPr="00B26241">
        <w:rPr>
          <w:lang w:val="en-GB"/>
        </w:rPr>
        <w:t xml:space="preserve">. It is issued to a body by a superior institution, at the national level first </w:t>
      </w:r>
      <w:r w:rsidR="00FB7EFB">
        <w:rPr>
          <w:lang w:val="en-GB"/>
        </w:rPr>
        <w:t>–</w:t>
      </w:r>
      <w:r w:rsidRPr="00B26241">
        <w:rPr>
          <w:lang w:val="en-GB"/>
        </w:rPr>
        <w:t xml:space="preserve"> either by the National Authorising Officer or </w:t>
      </w:r>
      <w:r>
        <w:rPr>
          <w:lang w:val="en-GB"/>
        </w:rPr>
        <w:t xml:space="preserve">the </w:t>
      </w:r>
      <w:r w:rsidRPr="00B26241">
        <w:rPr>
          <w:lang w:val="en-GB"/>
        </w:rPr>
        <w:t>Competent Accredit</w:t>
      </w:r>
      <w:r>
        <w:rPr>
          <w:lang w:val="en-GB"/>
        </w:rPr>
        <w:t xml:space="preserve">ation </w:t>
      </w:r>
      <w:r w:rsidRPr="00B26241">
        <w:rPr>
          <w:lang w:val="en-GB"/>
        </w:rPr>
        <w:t xml:space="preserve">Officer (in which case, it is termed a “national accreditation”), and then by the EC (at which point, it becomes part of the wider 'Conferral of Management'). </w:t>
      </w:r>
      <w:r>
        <w:rPr>
          <w:lang w:val="en-GB"/>
        </w:rPr>
        <w:t xml:space="preserve">The issuing institutions may suspend or withdraw the </w:t>
      </w:r>
      <w:r w:rsidRPr="00B26241">
        <w:rPr>
          <w:lang w:val="en-GB"/>
        </w:rPr>
        <w:t xml:space="preserve">accreditation </w:t>
      </w:r>
      <w:r>
        <w:rPr>
          <w:lang w:val="en-GB"/>
        </w:rPr>
        <w:t>d</w:t>
      </w:r>
      <w:r w:rsidRPr="00B26241">
        <w:rPr>
          <w:lang w:val="en-GB"/>
        </w:rPr>
        <w:t xml:space="preserve">uring </w:t>
      </w:r>
      <w:r>
        <w:rPr>
          <w:lang w:val="en-GB"/>
        </w:rPr>
        <w:t xml:space="preserve">the </w:t>
      </w:r>
      <w:r w:rsidRPr="00B26241">
        <w:rPr>
          <w:lang w:val="en-GB"/>
        </w:rPr>
        <w:t xml:space="preserve">programme implementation, if </w:t>
      </w:r>
      <w:r>
        <w:rPr>
          <w:lang w:val="en-GB"/>
        </w:rPr>
        <w:t>ascertained</w:t>
      </w:r>
      <w:r w:rsidRPr="00B26241">
        <w:rPr>
          <w:lang w:val="en-GB"/>
        </w:rPr>
        <w:t xml:space="preserve"> that the relevant body no longer meets the requirements of the IPA Implementing Regulation.</w:t>
      </w:r>
    </w:p>
    <w:p w:rsidR="00DB2113" w:rsidRPr="00B26241" w:rsidRDefault="00DB2113" w:rsidP="00FB7EFB">
      <w:pPr>
        <w:rPr>
          <w:lang w:val="en-GB"/>
        </w:rPr>
      </w:pPr>
      <w:r w:rsidRPr="00B26241">
        <w:rPr>
          <w:lang w:val="en-GB"/>
        </w:rPr>
        <w:t>When deciding on the design of the Operating Structure, one should bear in mind the underl</w:t>
      </w:r>
      <w:r>
        <w:rPr>
          <w:lang w:val="en-GB"/>
        </w:rPr>
        <w:t>ying</w:t>
      </w:r>
      <w:r w:rsidRPr="00B26241">
        <w:rPr>
          <w:lang w:val="en-GB"/>
        </w:rPr>
        <w:t xml:space="preserve"> principle of ‘segregation of duties’. This is a principle applied to the EU funds management and control systems according to which different tasks are allocated to different staff, </w:t>
      </w:r>
      <w:r>
        <w:rPr>
          <w:lang w:val="en-GB"/>
        </w:rPr>
        <w:t>thus</w:t>
      </w:r>
      <w:r w:rsidRPr="00B26241">
        <w:rPr>
          <w:lang w:val="en-GB"/>
        </w:rPr>
        <w:t xml:space="preserve"> ensuring avoidance of the conflict of interest. It applies especially to the following pairs of tasks:</w:t>
      </w:r>
    </w:p>
    <w:p w:rsidR="00DB2113" w:rsidRPr="00B26241" w:rsidRDefault="00027216" w:rsidP="00351681">
      <w:pPr>
        <w:pStyle w:val="ListParagraph"/>
        <w:numPr>
          <w:ilvl w:val="0"/>
          <w:numId w:val="12"/>
        </w:numPr>
        <w:rPr>
          <w:szCs w:val="24"/>
          <w:lang w:val="en-GB"/>
        </w:rPr>
      </w:pPr>
      <w:r w:rsidRPr="00B26241">
        <w:rPr>
          <w:szCs w:val="24"/>
          <w:lang w:val="en-GB"/>
        </w:rPr>
        <w:t xml:space="preserve">Programming </w:t>
      </w:r>
      <w:r w:rsidR="00DB2113" w:rsidRPr="00B26241">
        <w:rPr>
          <w:szCs w:val="24"/>
          <w:lang w:val="en-GB"/>
        </w:rPr>
        <w:t xml:space="preserve">and implementation (tendering and contracting); </w:t>
      </w:r>
    </w:p>
    <w:p w:rsidR="00DB2113" w:rsidRPr="00B26241" w:rsidRDefault="00027216" w:rsidP="00351681">
      <w:pPr>
        <w:pStyle w:val="ListParagraph"/>
        <w:numPr>
          <w:ilvl w:val="0"/>
          <w:numId w:val="12"/>
        </w:numPr>
        <w:rPr>
          <w:szCs w:val="24"/>
          <w:lang w:val="en-GB"/>
        </w:rPr>
      </w:pPr>
      <w:r w:rsidRPr="00B26241">
        <w:rPr>
          <w:szCs w:val="24"/>
          <w:lang w:val="en-GB"/>
        </w:rPr>
        <w:t xml:space="preserve">Contract </w:t>
      </w:r>
      <w:r w:rsidR="00DB2113" w:rsidRPr="00B26241">
        <w:rPr>
          <w:szCs w:val="24"/>
          <w:lang w:val="en-GB"/>
        </w:rPr>
        <w:t xml:space="preserve">or payment authorisation and payment execution; </w:t>
      </w:r>
    </w:p>
    <w:p w:rsidR="00DB2113" w:rsidRPr="00B26241" w:rsidRDefault="00027216" w:rsidP="00351681">
      <w:pPr>
        <w:pStyle w:val="ListParagraph"/>
        <w:numPr>
          <w:ilvl w:val="0"/>
          <w:numId w:val="12"/>
        </w:numPr>
        <w:rPr>
          <w:szCs w:val="24"/>
          <w:lang w:val="en-GB"/>
        </w:rPr>
      </w:pPr>
      <w:r w:rsidRPr="00B26241">
        <w:rPr>
          <w:szCs w:val="24"/>
          <w:lang w:val="en-GB"/>
        </w:rPr>
        <w:t xml:space="preserve">Maintaining </w:t>
      </w:r>
      <w:r w:rsidR="00DB2113" w:rsidRPr="00B26241">
        <w:rPr>
          <w:szCs w:val="24"/>
          <w:lang w:val="en-GB"/>
        </w:rPr>
        <w:t xml:space="preserve">accounting records and payment execution; </w:t>
      </w:r>
    </w:p>
    <w:p w:rsidR="00DB2113" w:rsidRPr="00B26241" w:rsidRDefault="00027216" w:rsidP="00351681">
      <w:pPr>
        <w:pStyle w:val="ListParagraph"/>
        <w:numPr>
          <w:ilvl w:val="0"/>
          <w:numId w:val="12"/>
        </w:numPr>
        <w:rPr>
          <w:szCs w:val="24"/>
          <w:lang w:val="en-GB"/>
        </w:rPr>
      </w:pPr>
      <w:r w:rsidRPr="00B26241">
        <w:rPr>
          <w:szCs w:val="24"/>
          <w:lang w:val="en-GB"/>
        </w:rPr>
        <w:t xml:space="preserve">Maintaining </w:t>
      </w:r>
      <w:r w:rsidR="00DB2113" w:rsidRPr="00B26241">
        <w:rPr>
          <w:szCs w:val="24"/>
          <w:lang w:val="en-GB"/>
        </w:rPr>
        <w:t xml:space="preserve">accounting records and reconciling those records; </w:t>
      </w:r>
    </w:p>
    <w:p w:rsidR="00DB2113" w:rsidRPr="00B26241" w:rsidRDefault="00027216" w:rsidP="00351681">
      <w:pPr>
        <w:pStyle w:val="ListParagraph"/>
        <w:numPr>
          <w:ilvl w:val="0"/>
          <w:numId w:val="12"/>
        </w:numPr>
        <w:rPr>
          <w:szCs w:val="24"/>
          <w:lang w:val="en-GB"/>
        </w:rPr>
      </w:pPr>
      <w:r w:rsidRPr="00B26241">
        <w:rPr>
          <w:szCs w:val="24"/>
          <w:lang w:val="en-GB"/>
        </w:rPr>
        <w:t>Certifying</w:t>
      </w:r>
      <w:r w:rsidR="00DB2113" w:rsidRPr="00B26241">
        <w:rPr>
          <w:szCs w:val="24"/>
          <w:lang w:val="en-GB"/>
        </w:rPr>
        <w:t>/audit tasks and management tasks.</w:t>
      </w:r>
    </w:p>
    <w:p w:rsidR="00DB2113" w:rsidRPr="00B26241" w:rsidRDefault="00DB2113" w:rsidP="00DB2113">
      <w:pPr>
        <w:rPr>
          <w:szCs w:val="24"/>
          <w:lang w:val="en-GB"/>
        </w:rPr>
      </w:pPr>
      <w:r>
        <w:rPr>
          <w:szCs w:val="24"/>
          <w:lang w:val="en-GB"/>
        </w:rPr>
        <w:t xml:space="preserve">The </w:t>
      </w:r>
      <w:r w:rsidR="00862F14">
        <w:rPr>
          <w:szCs w:val="24"/>
          <w:lang w:val="en-GB"/>
        </w:rPr>
        <w:t>planned</w:t>
      </w:r>
      <w:r w:rsidRPr="00B26241">
        <w:rPr>
          <w:szCs w:val="24"/>
          <w:lang w:val="en-GB"/>
        </w:rPr>
        <w:t xml:space="preserve"> setup of the Operating Structure for IPA </w:t>
      </w:r>
      <w:r>
        <w:rPr>
          <w:szCs w:val="24"/>
          <w:lang w:val="en-GB"/>
        </w:rPr>
        <w:t>C</w:t>
      </w:r>
      <w:r w:rsidRPr="00B26241">
        <w:rPr>
          <w:szCs w:val="24"/>
          <w:lang w:val="en-GB"/>
        </w:rPr>
        <w:t xml:space="preserve">omponent IV </w:t>
      </w:r>
      <w:r w:rsidR="00862F14">
        <w:rPr>
          <w:szCs w:val="24"/>
          <w:lang w:val="en-GB"/>
        </w:rPr>
        <w:t xml:space="preserve">would </w:t>
      </w:r>
      <w:r>
        <w:rPr>
          <w:szCs w:val="24"/>
          <w:lang w:val="en-GB"/>
        </w:rPr>
        <w:t>put</w:t>
      </w:r>
      <w:r w:rsidRPr="00B26241">
        <w:rPr>
          <w:szCs w:val="24"/>
          <w:lang w:val="en-GB"/>
        </w:rPr>
        <w:t xml:space="preserve"> pressure on the existing body in charge </w:t>
      </w:r>
      <w:r>
        <w:rPr>
          <w:szCs w:val="24"/>
          <w:lang w:val="en-GB"/>
        </w:rPr>
        <w:t>of</w:t>
      </w:r>
      <w:r w:rsidRPr="00B26241">
        <w:rPr>
          <w:szCs w:val="24"/>
          <w:lang w:val="en-GB"/>
        </w:rPr>
        <w:t xml:space="preserve"> implementation – the Department for Contracting and Financing of EU Funded Projects (CFCU). </w:t>
      </w:r>
      <w:r>
        <w:rPr>
          <w:szCs w:val="24"/>
          <w:lang w:val="en-GB"/>
        </w:rPr>
        <w:t>The m</w:t>
      </w:r>
      <w:r w:rsidRPr="00B26241">
        <w:rPr>
          <w:szCs w:val="24"/>
          <w:lang w:val="en-GB"/>
        </w:rPr>
        <w:t xml:space="preserve">ajority of measures designed under the draft HRD OP envisage individual and smaller projects (typical for social inclusion projects) which will be implemented through Grant Call systems. </w:t>
      </w:r>
      <w:r w:rsidR="00451AAB">
        <w:rPr>
          <w:szCs w:val="24"/>
          <w:lang w:val="en-GB"/>
        </w:rPr>
        <w:t>Furthermore, call</w:t>
      </w:r>
      <w:r w:rsidRPr="00B26241">
        <w:rPr>
          <w:szCs w:val="24"/>
          <w:lang w:val="en-GB"/>
        </w:rPr>
        <w:t xml:space="preserve"> systems require additional tasks, such mobilisation of beneficiaries, direct assistance to target groups of potential beneficiaries, rais</w:t>
      </w:r>
      <w:r>
        <w:rPr>
          <w:szCs w:val="24"/>
          <w:lang w:val="en-GB"/>
        </w:rPr>
        <w:t>ing</w:t>
      </w:r>
      <w:r w:rsidRPr="00B26241">
        <w:rPr>
          <w:szCs w:val="24"/>
          <w:lang w:val="en-GB"/>
        </w:rPr>
        <w:t xml:space="preserve"> awareness </w:t>
      </w:r>
      <w:r>
        <w:rPr>
          <w:szCs w:val="24"/>
          <w:lang w:val="en-GB"/>
        </w:rPr>
        <w:t>about certain initiatives and provision of</w:t>
      </w:r>
      <w:r w:rsidRPr="00B26241">
        <w:rPr>
          <w:szCs w:val="24"/>
          <w:lang w:val="en-GB"/>
        </w:rPr>
        <w:t xml:space="preserve"> </w:t>
      </w:r>
      <w:r>
        <w:rPr>
          <w:szCs w:val="24"/>
          <w:lang w:val="en-GB"/>
        </w:rPr>
        <w:t xml:space="preserve">the </w:t>
      </w:r>
      <w:r w:rsidRPr="00B26241">
        <w:rPr>
          <w:szCs w:val="24"/>
          <w:lang w:val="en-GB"/>
        </w:rPr>
        <w:t>timely feedback essential for corrective actions in policy and programme design.</w:t>
      </w:r>
    </w:p>
    <w:p w:rsidR="00DB2113" w:rsidRDefault="00DB2113" w:rsidP="00DB2113">
      <w:pPr>
        <w:rPr>
          <w:szCs w:val="24"/>
          <w:lang w:val="en-GB"/>
        </w:rPr>
      </w:pPr>
      <w:r w:rsidRPr="00B26241">
        <w:rPr>
          <w:szCs w:val="24"/>
          <w:lang w:val="en-GB"/>
        </w:rPr>
        <w:t xml:space="preserve">On the other </w:t>
      </w:r>
      <w:r>
        <w:rPr>
          <w:szCs w:val="24"/>
          <w:lang w:val="en-GB"/>
        </w:rPr>
        <w:t>hand</w:t>
      </w:r>
      <w:r w:rsidRPr="00B26241">
        <w:rPr>
          <w:szCs w:val="24"/>
          <w:lang w:val="en-GB"/>
        </w:rPr>
        <w:t>,</w:t>
      </w:r>
      <w:r>
        <w:rPr>
          <w:szCs w:val="24"/>
          <w:lang w:val="en-GB"/>
        </w:rPr>
        <w:t xml:space="preserve"> </w:t>
      </w:r>
      <w:r w:rsidRPr="00B26241">
        <w:rPr>
          <w:szCs w:val="24"/>
          <w:lang w:val="en-GB"/>
        </w:rPr>
        <w:t>more strategic level</w:t>
      </w:r>
      <w:r>
        <w:rPr>
          <w:szCs w:val="24"/>
          <w:lang w:val="en-GB"/>
        </w:rPr>
        <w:t>/</w:t>
      </w:r>
      <w:r w:rsidRPr="00B26241">
        <w:rPr>
          <w:szCs w:val="24"/>
          <w:lang w:val="en-GB"/>
        </w:rPr>
        <w:t xml:space="preserve">complex projects are, in most cases, pre-selected at the programme level or developed through a negotiation process, or, by grouping projects. </w:t>
      </w:r>
      <w:r w:rsidRPr="003D704C">
        <w:rPr>
          <w:szCs w:val="24"/>
          <w:lang w:val="en-GB"/>
        </w:rPr>
        <w:t>In allocating substantial funding to such projects, the programme authorities may, to a certain extent, improve their control over the course of the programme. These are usually channelled by the Head of the Operating Structure</w:t>
      </w:r>
      <w:r w:rsidRPr="00B26241">
        <w:rPr>
          <w:szCs w:val="24"/>
          <w:lang w:val="en-GB"/>
        </w:rPr>
        <w:t xml:space="preserve">. </w:t>
      </w:r>
    </w:p>
    <w:p w:rsidR="00D5220A" w:rsidRPr="00B26241" w:rsidRDefault="00D5220A" w:rsidP="00DB2113">
      <w:pPr>
        <w:rPr>
          <w:szCs w:val="24"/>
          <w:lang w:val="en-GB"/>
        </w:rPr>
      </w:pPr>
    </w:p>
    <w:p w:rsidR="00DB2113" w:rsidRPr="00E10D96" w:rsidRDefault="00DB2113" w:rsidP="00027216">
      <w:pPr>
        <w:spacing w:after="0"/>
        <w:rPr>
          <w:b/>
          <w:sz w:val="22"/>
          <w:lang w:val="en-GB"/>
        </w:rPr>
      </w:pPr>
      <w:r w:rsidRPr="00E10D96">
        <w:rPr>
          <w:b/>
          <w:sz w:val="22"/>
          <w:lang w:val="en-GB"/>
        </w:rPr>
        <w:t xml:space="preserve">Table </w:t>
      </w:r>
      <w:r w:rsidR="001368A9" w:rsidRPr="00E10D96">
        <w:rPr>
          <w:b/>
          <w:sz w:val="22"/>
          <w:lang w:val="en-GB"/>
        </w:rPr>
        <w:t>4</w:t>
      </w:r>
      <w:r w:rsidRPr="00E10D96">
        <w:rPr>
          <w:b/>
          <w:sz w:val="22"/>
          <w:lang w:val="en-GB"/>
        </w:rPr>
        <w:t xml:space="preserve">: Comparison between large scale and small scale projects in Serbian Draft Operational Programme for Human Resources Development 2012 – 2013 and Draft Operational Programme for Economic Development 2012 – 2013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985"/>
        <w:gridCol w:w="2198"/>
        <w:gridCol w:w="1274"/>
        <w:gridCol w:w="1268"/>
      </w:tblGrid>
      <w:tr w:rsidR="00DB2113" w:rsidRPr="00344384" w:rsidTr="00FB7EFB">
        <w:trPr>
          <w:trHeight w:val="665"/>
          <w:jc w:val="center"/>
        </w:trPr>
        <w:tc>
          <w:tcPr>
            <w:tcW w:w="2518" w:type="dxa"/>
          </w:tcPr>
          <w:p w:rsidR="00DB2113" w:rsidRPr="00344384" w:rsidRDefault="00DB2113" w:rsidP="00360BA6">
            <w:pPr>
              <w:spacing w:before="0" w:after="0"/>
              <w:rPr>
                <w:szCs w:val="24"/>
                <w:lang w:val="en-GB"/>
              </w:rPr>
            </w:pPr>
          </w:p>
        </w:tc>
        <w:tc>
          <w:tcPr>
            <w:tcW w:w="1985" w:type="dxa"/>
          </w:tcPr>
          <w:p w:rsidR="00DB2113" w:rsidRPr="00344384" w:rsidRDefault="00DB2113" w:rsidP="00360BA6">
            <w:pPr>
              <w:spacing w:before="0" w:after="0"/>
              <w:jc w:val="center"/>
              <w:rPr>
                <w:szCs w:val="24"/>
                <w:lang w:val="en-GB"/>
              </w:rPr>
            </w:pPr>
            <w:r w:rsidRPr="00344384">
              <w:rPr>
                <w:szCs w:val="24"/>
                <w:lang w:val="en-GB"/>
              </w:rPr>
              <w:t>Body responsible for measure</w:t>
            </w:r>
          </w:p>
        </w:tc>
        <w:tc>
          <w:tcPr>
            <w:tcW w:w="2198" w:type="dxa"/>
          </w:tcPr>
          <w:p w:rsidR="00DB2113" w:rsidRPr="00344384" w:rsidRDefault="00DB2113" w:rsidP="00360BA6">
            <w:pPr>
              <w:spacing w:before="0" w:after="0"/>
              <w:jc w:val="center"/>
              <w:rPr>
                <w:szCs w:val="24"/>
                <w:lang w:val="en-GB"/>
              </w:rPr>
            </w:pPr>
            <w:r w:rsidRPr="00344384">
              <w:rPr>
                <w:szCs w:val="24"/>
                <w:lang w:val="en-GB"/>
              </w:rPr>
              <w:t>Implementing body</w:t>
            </w:r>
          </w:p>
        </w:tc>
        <w:tc>
          <w:tcPr>
            <w:tcW w:w="1274" w:type="dxa"/>
          </w:tcPr>
          <w:p w:rsidR="00DB2113" w:rsidRPr="00344384" w:rsidRDefault="00DB2113" w:rsidP="00360BA6">
            <w:pPr>
              <w:spacing w:before="0" w:after="0"/>
              <w:jc w:val="center"/>
              <w:rPr>
                <w:szCs w:val="24"/>
                <w:lang w:val="en-GB"/>
              </w:rPr>
            </w:pPr>
            <w:r w:rsidRPr="00344384">
              <w:rPr>
                <w:szCs w:val="24"/>
                <w:lang w:val="en-GB"/>
              </w:rPr>
              <w:t>Number of projects</w:t>
            </w:r>
          </w:p>
        </w:tc>
        <w:tc>
          <w:tcPr>
            <w:tcW w:w="1268" w:type="dxa"/>
          </w:tcPr>
          <w:p w:rsidR="00DB2113" w:rsidRPr="00344384" w:rsidRDefault="00DB2113" w:rsidP="00360BA6">
            <w:pPr>
              <w:spacing w:before="0" w:after="0"/>
              <w:jc w:val="center"/>
              <w:rPr>
                <w:szCs w:val="24"/>
                <w:lang w:val="en-GB"/>
              </w:rPr>
            </w:pPr>
            <w:r w:rsidRPr="00344384">
              <w:rPr>
                <w:szCs w:val="24"/>
                <w:lang w:val="en-GB"/>
              </w:rPr>
              <w:t>Number of contracts</w:t>
            </w:r>
          </w:p>
        </w:tc>
      </w:tr>
      <w:tr w:rsidR="00DB2113" w:rsidRPr="00344384" w:rsidTr="00FB7EFB">
        <w:trPr>
          <w:trHeight w:val="395"/>
          <w:jc w:val="center"/>
        </w:trPr>
        <w:tc>
          <w:tcPr>
            <w:tcW w:w="2518" w:type="dxa"/>
          </w:tcPr>
          <w:p w:rsidR="00DB2113" w:rsidRPr="00344384" w:rsidRDefault="00DB2113" w:rsidP="00360BA6">
            <w:pPr>
              <w:spacing w:before="0" w:after="0" w:line="240" w:lineRule="auto"/>
              <w:jc w:val="left"/>
              <w:rPr>
                <w:b/>
                <w:szCs w:val="24"/>
                <w:lang w:val="en-GB"/>
              </w:rPr>
            </w:pPr>
            <w:r w:rsidRPr="00344384">
              <w:rPr>
                <w:b/>
                <w:szCs w:val="24"/>
                <w:lang w:val="en-GB"/>
              </w:rPr>
              <w:t>Measure 3.1: Support to social inclusion through more diversified community-based social services</w:t>
            </w:r>
          </w:p>
        </w:tc>
        <w:tc>
          <w:tcPr>
            <w:tcW w:w="1985" w:type="dxa"/>
          </w:tcPr>
          <w:p w:rsidR="00DB2113" w:rsidRPr="00344384" w:rsidRDefault="00DB2113" w:rsidP="00360BA6">
            <w:pPr>
              <w:spacing w:before="0" w:after="0" w:line="240" w:lineRule="auto"/>
              <w:jc w:val="center"/>
              <w:rPr>
                <w:szCs w:val="24"/>
                <w:lang w:val="en-GB"/>
              </w:rPr>
            </w:pPr>
            <w:r w:rsidRPr="00344384">
              <w:rPr>
                <w:szCs w:val="24"/>
                <w:lang w:val="en-GB"/>
              </w:rPr>
              <w:t>Ministry of Labour</w:t>
            </w:r>
            <w:r w:rsidR="006B6081">
              <w:rPr>
                <w:szCs w:val="24"/>
                <w:lang w:val="en-GB"/>
              </w:rPr>
              <w:t>, Employment</w:t>
            </w:r>
            <w:r w:rsidRPr="00344384">
              <w:rPr>
                <w:szCs w:val="24"/>
                <w:lang w:val="en-GB"/>
              </w:rPr>
              <w:t xml:space="preserve"> and Social Policy</w:t>
            </w:r>
          </w:p>
        </w:tc>
        <w:tc>
          <w:tcPr>
            <w:tcW w:w="2198" w:type="dxa"/>
          </w:tcPr>
          <w:p w:rsidR="00DB2113" w:rsidRPr="00344384" w:rsidRDefault="00DB2113" w:rsidP="00360BA6">
            <w:pPr>
              <w:spacing w:before="0" w:after="0" w:line="240" w:lineRule="auto"/>
              <w:jc w:val="center"/>
              <w:rPr>
                <w:szCs w:val="24"/>
                <w:lang w:val="en-GB"/>
              </w:rPr>
            </w:pPr>
            <w:r w:rsidRPr="00344384">
              <w:rPr>
                <w:szCs w:val="24"/>
                <w:lang w:val="en-GB"/>
              </w:rPr>
              <w:t>Central Financing and Contracting Unit-Ministry of Finance</w:t>
            </w:r>
            <w:r w:rsidR="006B6081">
              <w:rPr>
                <w:szCs w:val="24"/>
                <w:lang w:val="en-GB"/>
              </w:rPr>
              <w:t xml:space="preserve"> and Economy</w:t>
            </w:r>
          </w:p>
        </w:tc>
        <w:tc>
          <w:tcPr>
            <w:tcW w:w="1274" w:type="dxa"/>
          </w:tcPr>
          <w:p w:rsidR="00DB2113" w:rsidRPr="00344384" w:rsidRDefault="00DB2113" w:rsidP="00360BA6">
            <w:pPr>
              <w:spacing w:before="0" w:after="0" w:line="240" w:lineRule="auto"/>
              <w:jc w:val="center"/>
              <w:rPr>
                <w:szCs w:val="24"/>
                <w:lang w:val="en-GB"/>
              </w:rPr>
            </w:pPr>
            <w:r w:rsidRPr="00344384">
              <w:rPr>
                <w:szCs w:val="24"/>
                <w:lang w:val="en-GB"/>
              </w:rPr>
              <w:t xml:space="preserve">1 </w:t>
            </w:r>
          </w:p>
        </w:tc>
        <w:tc>
          <w:tcPr>
            <w:tcW w:w="1268" w:type="dxa"/>
          </w:tcPr>
          <w:p w:rsidR="00DB2113" w:rsidRPr="00344384" w:rsidRDefault="00DB2113" w:rsidP="00360BA6">
            <w:pPr>
              <w:spacing w:before="0" w:after="0" w:line="240" w:lineRule="auto"/>
              <w:jc w:val="center"/>
              <w:rPr>
                <w:szCs w:val="24"/>
                <w:lang w:val="en-GB"/>
              </w:rPr>
            </w:pPr>
            <w:r w:rsidRPr="00344384">
              <w:rPr>
                <w:szCs w:val="24"/>
                <w:lang w:val="en-GB"/>
              </w:rPr>
              <w:t xml:space="preserve">Up to 30 </w:t>
            </w:r>
          </w:p>
        </w:tc>
      </w:tr>
      <w:tr w:rsidR="00DB2113" w:rsidRPr="00344384" w:rsidTr="00FB7EFB">
        <w:trPr>
          <w:trHeight w:val="417"/>
          <w:jc w:val="center"/>
        </w:trPr>
        <w:tc>
          <w:tcPr>
            <w:tcW w:w="2518" w:type="dxa"/>
          </w:tcPr>
          <w:p w:rsidR="00DB2113" w:rsidRPr="00344384" w:rsidRDefault="00DB2113" w:rsidP="00360BA6">
            <w:pPr>
              <w:spacing w:before="0" w:after="0" w:line="240" w:lineRule="auto"/>
              <w:jc w:val="left"/>
              <w:rPr>
                <w:b/>
                <w:szCs w:val="24"/>
                <w:lang w:val="en-GB"/>
              </w:rPr>
            </w:pPr>
            <w:r w:rsidRPr="00344384">
              <w:rPr>
                <w:b/>
                <w:szCs w:val="24"/>
                <w:lang w:val="en-GB"/>
              </w:rPr>
              <w:t>Measure 2.1 – Development of waste management infrastructure</w:t>
            </w:r>
          </w:p>
        </w:tc>
        <w:tc>
          <w:tcPr>
            <w:tcW w:w="1985" w:type="dxa"/>
          </w:tcPr>
          <w:p w:rsidR="00DB2113" w:rsidRPr="00344384" w:rsidRDefault="00DB2113" w:rsidP="006B6081">
            <w:pPr>
              <w:spacing w:before="0" w:after="0" w:line="240" w:lineRule="auto"/>
              <w:jc w:val="center"/>
              <w:rPr>
                <w:szCs w:val="24"/>
                <w:lang w:val="en-GB"/>
              </w:rPr>
            </w:pPr>
            <w:r w:rsidRPr="00344384">
              <w:rPr>
                <w:szCs w:val="24"/>
                <w:lang w:val="en-GB"/>
              </w:rPr>
              <w:t xml:space="preserve">Ministry of </w:t>
            </w:r>
            <w:r w:rsidR="006B6081">
              <w:rPr>
                <w:szCs w:val="24"/>
                <w:lang w:val="en-GB"/>
              </w:rPr>
              <w:t>Energy, Development and Environmental Protection</w:t>
            </w:r>
          </w:p>
        </w:tc>
        <w:tc>
          <w:tcPr>
            <w:tcW w:w="2198" w:type="dxa"/>
          </w:tcPr>
          <w:p w:rsidR="00DB2113" w:rsidRPr="00344384" w:rsidRDefault="00DB2113" w:rsidP="00360BA6">
            <w:pPr>
              <w:spacing w:before="0" w:after="0" w:line="240" w:lineRule="auto"/>
              <w:jc w:val="center"/>
              <w:rPr>
                <w:szCs w:val="24"/>
                <w:lang w:val="en-GB"/>
              </w:rPr>
            </w:pPr>
            <w:r w:rsidRPr="00344384">
              <w:rPr>
                <w:szCs w:val="24"/>
                <w:lang w:val="en-GB"/>
              </w:rPr>
              <w:t>Central Financing and Contracting Unit-Ministry of Finance</w:t>
            </w:r>
            <w:r w:rsidR="006B6081">
              <w:rPr>
                <w:szCs w:val="24"/>
                <w:lang w:val="en-GB"/>
              </w:rPr>
              <w:t xml:space="preserve"> and Economy</w:t>
            </w:r>
          </w:p>
        </w:tc>
        <w:tc>
          <w:tcPr>
            <w:tcW w:w="1274" w:type="dxa"/>
          </w:tcPr>
          <w:p w:rsidR="00DB2113" w:rsidRPr="00344384" w:rsidRDefault="00DB2113" w:rsidP="00360BA6">
            <w:pPr>
              <w:spacing w:before="0" w:after="0" w:line="240" w:lineRule="auto"/>
              <w:jc w:val="center"/>
              <w:rPr>
                <w:szCs w:val="24"/>
                <w:lang w:val="en-GB"/>
              </w:rPr>
            </w:pPr>
            <w:r w:rsidRPr="00344384">
              <w:rPr>
                <w:szCs w:val="24"/>
                <w:lang w:val="en-GB"/>
              </w:rPr>
              <w:t xml:space="preserve">1 </w:t>
            </w:r>
          </w:p>
        </w:tc>
        <w:tc>
          <w:tcPr>
            <w:tcW w:w="1268" w:type="dxa"/>
          </w:tcPr>
          <w:p w:rsidR="00DB2113" w:rsidRPr="00344384" w:rsidRDefault="00DB2113" w:rsidP="00360BA6">
            <w:pPr>
              <w:spacing w:before="0" w:after="0" w:line="240" w:lineRule="auto"/>
              <w:jc w:val="center"/>
              <w:rPr>
                <w:szCs w:val="24"/>
                <w:lang w:val="en-GB"/>
              </w:rPr>
            </w:pPr>
            <w:r w:rsidRPr="00344384">
              <w:rPr>
                <w:szCs w:val="24"/>
                <w:lang w:val="en-GB"/>
              </w:rPr>
              <w:t xml:space="preserve">2 </w:t>
            </w:r>
          </w:p>
        </w:tc>
      </w:tr>
    </w:tbl>
    <w:p w:rsidR="00DB2113" w:rsidRPr="00B26241" w:rsidRDefault="00DB2113" w:rsidP="00DB2113">
      <w:pPr>
        <w:rPr>
          <w:szCs w:val="24"/>
          <w:lang w:val="en-GB"/>
        </w:rPr>
      </w:pPr>
      <w:r w:rsidRPr="003D704C">
        <w:rPr>
          <w:szCs w:val="24"/>
          <w:lang w:val="en-GB"/>
        </w:rPr>
        <w:t>In the above case of the Environment measure, it is apparent that there is one major (pre-programmed) project, requiring signature of two contracts that would be implemented according to prepared project documents and tender dossiers. The end result of the project itself is a prescribed physical object, fully in line with project design.</w:t>
      </w:r>
    </w:p>
    <w:p w:rsidR="00DB2113" w:rsidRPr="00B26241" w:rsidRDefault="00DB2113" w:rsidP="00DB2113">
      <w:pPr>
        <w:rPr>
          <w:szCs w:val="24"/>
          <w:lang w:val="en-GB"/>
        </w:rPr>
      </w:pPr>
      <w:r w:rsidRPr="00B26241">
        <w:rPr>
          <w:szCs w:val="24"/>
          <w:lang w:val="en-GB"/>
        </w:rPr>
        <w:t xml:space="preserve">On the other hand, the social inclusion projects, which would be implemented through a grant scheme, require signature and implementation of up to 30 contracts. Each of these contracts </w:t>
      </w:r>
      <w:r>
        <w:rPr>
          <w:szCs w:val="24"/>
          <w:lang w:val="en-GB"/>
        </w:rPr>
        <w:t>would</w:t>
      </w:r>
      <w:r w:rsidRPr="00B26241">
        <w:rPr>
          <w:szCs w:val="24"/>
          <w:lang w:val="en-GB"/>
        </w:rPr>
        <w:t xml:space="preserve"> cover a wide </w:t>
      </w:r>
      <w:r>
        <w:rPr>
          <w:szCs w:val="24"/>
          <w:lang w:val="en-GB"/>
        </w:rPr>
        <w:t>spectrum</w:t>
      </w:r>
      <w:r w:rsidRPr="00B26241">
        <w:rPr>
          <w:szCs w:val="24"/>
          <w:lang w:val="en-GB"/>
        </w:rPr>
        <w:t xml:space="preserve"> of objectives and type</w:t>
      </w:r>
      <w:r>
        <w:rPr>
          <w:szCs w:val="24"/>
          <w:lang w:val="en-GB"/>
        </w:rPr>
        <w:t xml:space="preserve">s </w:t>
      </w:r>
      <w:r w:rsidRPr="00B26241">
        <w:rPr>
          <w:szCs w:val="24"/>
          <w:lang w:val="en-GB"/>
        </w:rPr>
        <w:t>of beneficiar</w:t>
      </w:r>
      <w:r>
        <w:rPr>
          <w:szCs w:val="24"/>
          <w:lang w:val="en-GB"/>
        </w:rPr>
        <w:t>ies</w:t>
      </w:r>
      <w:r w:rsidRPr="00B26241">
        <w:rPr>
          <w:szCs w:val="24"/>
          <w:lang w:val="en-GB"/>
        </w:rPr>
        <w:t xml:space="preserve">. For </w:t>
      </w:r>
      <w:r>
        <w:rPr>
          <w:szCs w:val="24"/>
          <w:lang w:val="en-GB"/>
        </w:rPr>
        <w:t xml:space="preserve">a </w:t>
      </w:r>
      <w:r w:rsidRPr="00B26241">
        <w:rPr>
          <w:szCs w:val="24"/>
          <w:lang w:val="en-GB"/>
        </w:rPr>
        <w:t xml:space="preserve">measure to be implemented successfully, it would be desirable that the project implementation design (defining Grant calls), monitoring and evaluation - </w:t>
      </w:r>
      <w:r>
        <w:rPr>
          <w:szCs w:val="24"/>
          <w:lang w:val="en-GB"/>
        </w:rPr>
        <w:t>at</w:t>
      </w:r>
      <w:r w:rsidRPr="00B26241">
        <w:rPr>
          <w:szCs w:val="24"/>
          <w:lang w:val="en-GB"/>
        </w:rPr>
        <w:t xml:space="preserve"> the project level - is performed by social inclusion experts. According to the existing structure, </w:t>
      </w:r>
      <w:r w:rsidR="00F15C41">
        <w:rPr>
          <w:szCs w:val="24"/>
          <w:lang w:val="en-GB"/>
        </w:rPr>
        <w:t xml:space="preserve">financial assessment of the projects will be </w:t>
      </w:r>
      <w:r w:rsidRPr="00B26241">
        <w:rPr>
          <w:szCs w:val="24"/>
          <w:lang w:val="en-GB"/>
        </w:rPr>
        <w:t xml:space="preserve">implemented by the CFCU, located at the Ministry of Finance, </w:t>
      </w:r>
      <w:r w:rsidR="00F15C41">
        <w:rPr>
          <w:szCs w:val="24"/>
          <w:lang w:val="en-GB"/>
        </w:rPr>
        <w:t xml:space="preserve">but assessment of the quality of the implemented projects will be performed by line ministry experts. </w:t>
      </w:r>
      <w:r w:rsidRPr="000F1B53">
        <w:rPr>
          <w:b/>
          <w:szCs w:val="24"/>
          <w:lang w:val="en-GB"/>
        </w:rPr>
        <w:t>The fact that there is a high dependence on inter-institutional coordination increases the risk of delays in the process, and may result in a reduced impact of funds.</w:t>
      </w:r>
    </w:p>
    <w:p w:rsidR="00DB2113" w:rsidRPr="00B26241" w:rsidRDefault="00DB2113" w:rsidP="00DB2113">
      <w:pPr>
        <w:rPr>
          <w:szCs w:val="24"/>
          <w:lang w:val="en-GB"/>
        </w:rPr>
      </w:pPr>
      <w:r w:rsidRPr="00B26241">
        <w:rPr>
          <w:szCs w:val="24"/>
          <w:lang w:val="en-GB"/>
        </w:rPr>
        <w:t xml:space="preserve">This approach would represent a scenario where </w:t>
      </w:r>
      <w:r>
        <w:rPr>
          <w:szCs w:val="24"/>
          <w:lang w:val="en-GB"/>
        </w:rPr>
        <w:t xml:space="preserve">the </w:t>
      </w:r>
      <w:r w:rsidRPr="00B26241">
        <w:rPr>
          <w:szCs w:val="24"/>
          <w:lang w:val="en-GB"/>
        </w:rPr>
        <w:t>sustainability principle is not fully addressed. This means that, once again, as with other externally financed projects, people in different institutions or bodies will be trained, gain experience in this specific topic. This approach lack</w:t>
      </w:r>
      <w:r>
        <w:rPr>
          <w:szCs w:val="24"/>
          <w:lang w:val="en-GB"/>
        </w:rPr>
        <w:t>s</w:t>
      </w:r>
      <w:r w:rsidRPr="00B26241">
        <w:rPr>
          <w:szCs w:val="24"/>
          <w:lang w:val="en-GB"/>
        </w:rPr>
        <w:t xml:space="preserve"> potential synergic effect which could be achieved if these experts </w:t>
      </w:r>
      <w:r>
        <w:rPr>
          <w:szCs w:val="24"/>
          <w:lang w:val="en-GB"/>
        </w:rPr>
        <w:t>were</w:t>
      </w:r>
      <w:r w:rsidRPr="00B26241">
        <w:rPr>
          <w:szCs w:val="24"/>
          <w:lang w:val="en-GB"/>
        </w:rPr>
        <w:t xml:space="preserve"> located ‘under the same roof’. </w:t>
      </w:r>
    </w:p>
    <w:p w:rsidR="00DB2113" w:rsidRPr="00B26241" w:rsidRDefault="00DB2113" w:rsidP="00DB2113">
      <w:pPr>
        <w:rPr>
          <w:b/>
          <w:szCs w:val="24"/>
          <w:lang w:val="en-GB"/>
        </w:rPr>
      </w:pPr>
      <w:r w:rsidRPr="00C50D43">
        <w:rPr>
          <w:b/>
          <w:szCs w:val="24"/>
          <w:lang w:val="en-GB"/>
        </w:rPr>
        <w:t xml:space="preserve">Having in mind the issues of absorption and administrative capacities, coordination, timely management of EU funds, and flexibility in terms of co-financing, the Study proposes an option whereby functions related to the implementation of social inclusion measures funded from </w:t>
      </w:r>
      <w:r w:rsidR="00045050">
        <w:rPr>
          <w:b/>
          <w:szCs w:val="24"/>
          <w:lang w:val="en-GB"/>
        </w:rPr>
        <w:t xml:space="preserve">future </w:t>
      </w:r>
      <w:r w:rsidRPr="00C50D43">
        <w:rPr>
          <w:b/>
          <w:szCs w:val="24"/>
          <w:lang w:val="en-GB"/>
        </w:rPr>
        <w:t>EU funds are located within one institution – the Social Inclusion Fund.</w:t>
      </w:r>
    </w:p>
    <w:p w:rsidR="00DB2113" w:rsidRPr="00B26241" w:rsidRDefault="00DB2113" w:rsidP="00DB2113">
      <w:pPr>
        <w:rPr>
          <w:szCs w:val="24"/>
          <w:lang w:val="en-GB"/>
        </w:rPr>
      </w:pPr>
      <w:r w:rsidRPr="00B26241">
        <w:rPr>
          <w:szCs w:val="24"/>
          <w:lang w:val="en-GB"/>
        </w:rPr>
        <w:t xml:space="preserve">The proposed Social Inclusion Fund would perform the role of </w:t>
      </w:r>
      <w:r w:rsidR="00E70705">
        <w:rPr>
          <w:szCs w:val="24"/>
          <w:lang w:val="en-GB"/>
        </w:rPr>
        <w:t>d</w:t>
      </w:r>
      <w:r w:rsidRPr="00B26241">
        <w:rPr>
          <w:szCs w:val="24"/>
          <w:lang w:val="en-GB"/>
        </w:rPr>
        <w:t xml:space="preserve">elegated body </w:t>
      </w:r>
      <w:r w:rsidR="00E70705">
        <w:rPr>
          <w:szCs w:val="24"/>
          <w:lang w:val="en-GB"/>
        </w:rPr>
        <w:t>in charge of</w:t>
      </w:r>
      <w:r w:rsidR="006B6081">
        <w:rPr>
          <w:szCs w:val="24"/>
          <w:lang w:val="en-GB"/>
        </w:rPr>
        <w:t xml:space="preserve"> contracting within the Operating Structure for the Human Resources Development IPA component,</w:t>
      </w:r>
      <w:r>
        <w:rPr>
          <w:szCs w:val="24"/>
          <w:lang w:val="en-GB"/>
        </w:rPr>
        <w:t xml:space="preserve"> </w:t>
      </w:r>
      <w:r w:rsidR="00E70705">
        <w:rPr>
          <w:szCs w:val="24"/>
          <w:lang w:val="en-GB"/>
        </w:rPr>
        <w:t>in view of</w:t>
      </w:r>
      <w:r w:rsidR="006B6081">
        <w:rPr>
          <w:szCs w:val="24"/>
          <w:lang w:val="en-GB"/>
        </w:rPr>
        <w:t xml:space="preserve"> the</w:t>
      </w:r>
      <w:r w:rsidRPr="00B26241">
        <w:rPr>
          <w:szCs w:val="24"/>
          <w:lang w:val="en-GB"/>
        </w:rPr>
        <w:t xml:space="preserve"> implementation</w:t>
      </w:r>
      <w:r w:rsidR="006B6081">
        <w:rPr>
          <w:szCs w:val="24"/>
          <w:lang w:val="en-GB"/>
        </w:rPr>
        <w:t xml:space="preserve"> of social inclusion programmes, </w:t>
      </w:r>
      <w:r w:rsidRPr="00B26241">
        <w:rPr>
          <w:szCs w:val="24"/>
          <w:lang w:val="en-GB"/>
        </w:rPr>
        <w:t>and would be a part of the operating structure</w:t>
      </w:r>
      <w:r w:rsidR="00045050">
        <w:rPr>
          <w:szCs w:val="24"/>
          <w:lang w:val="en-GB"/>
        </w:rPr>
        <w:t>.</w:t>
      </w:r>
      <w:r w:rsidR="006B6081">
        <w:rPr>
          <w:szCs w:val="24"/>
          <w:lang w:val="en-GB"/>
        </w:rPr>
        <w:t xml:space="preserve"> The Fund would, in the future operating structure for employment, social policy and human resources development of the next financial perspective, have the role and perform the function which is </w:t>
      </w:r>
      <w:r w:rsidR="00E70705">
        <w:rPr>
          <w:szCs w:val="24"/>
          <w:lang w:val="en-GB"/>
        </w:rPr>
        <w:t xml:space="preserve">in the current operating structure for IPA component IV </w:t>
      </w:r>
      <w:r w:rsidR="006B6081">
        <w:rPr>
          <w:szCs w:val="24"/>
          <w:lang w:val="en-GB"/>
        </w:rPr>
        <w:t xml:space="preserve">performed by the </w:t>
      </w:r>
      <w:r w:rsidR="00E70705">
        <w:rPr>
          <w:szCs w:val="24"/>
          <w:lang w:val="en-GB"/>
        </w:rPr>
        <w:t>Department</w:t>
      </w:r>
      <w:r w:rsidR="006B6081">
        <w:rPr>
          <w:szCs w:val="24"/>
          <w:lang w:val="en-GB"/>
        </w:rPr>
        <w:t xml:space="preserve"> for Contracting and Financing </w:t>
      </w:r>
      <w:r w:rsidR="00E70705">
        <w:rPr>
          <w:szCs w:val="24"/>
          <w:lang w:val="en-GB"/>
        </w:rPr>
        <w:t xml:space="preserve">of </w:t>
      </w:r>
      <w:r w:rsidR="006B6081">
        <w:rPr>
          <w:szCs w:val="24"/>
          <w:lang w:val="en-GB"/>
        </w:rPr>
        <w:t>EU fund</w:t>
      </w:r>
      <w:r w:rsidR="00E70705">
        <w:rPr>
          <w:szCs w:val="24"/>
          <w:lang w:val="en-GB"/>
        </w:rPr>
        <w:t>ed Projects. The scope and competencies of the contracting body are described in detail in Article 20 of the Decree on Decentralized Management of EU Funds. This Decree also envisages the possibility of more than one contracting body within one operating structure and that relations between persons in charge of the operating structure activities and the contracting body are laid down in the operating agreement, which is signed by the responsible person with all the bodies comprising the operating structure.</w:t>
      </w:r>
      <w:r w:rsidR="00E70705" w:rsidRPr="004D067E">
        <w:rPr>
          <w:rStyle w:val="FootnoteReference"/>
          <w:noProof/>
          <w:sz w:val="22"/>
        </w:rPr>
        <w:footnoteReference w:id="33"/>
      </w:r>
    </w:p>
    <w:p w:rsidR="00DB2113" w:rsidRPr="00182D71" w:rsidRDefault="001368A9" w:rsidP="00182D71">
      <w:pPr>
        <w:pStyle w:val="Heading2"/>
      </w:pPr>
      <w:bookmarkStart w:id="27" w:name="_Toc323810579"/>
      <w:bookmarkStart w:id="28" w:name="_Toc353200772"/>
      <w:r w:rsidRPr="00182D71">
        <w:t>3</w:t>
      </w:r>
      <w:r w:rsidR="00DB2113" w:rsidRPr="00182D71">
        <w:t>.4. Experiences</w:t>
      </w:r>
      <w:bookmarkEnd w:id="27"/>
      <w:r w:rsidR="00DB2113" w:rsidRPr="00182D71">
        <w:t xml:space="preserve"> of Other Countries</w:t>
      </w:r>
      <w:bookmarkEnd w:id="28"/>
    </w:p>
    <w:p w:rsidR="00DB2113" w:rsidRDefault="00DB2113" w:rsidP="00DB2113">
      <w:pPr>
        <w:rPr>
          <w:rFonts w:cs="Times New Roman"/>
          <w:szCs w:val="24"/>
          <w:lang w:val="en-GB"/>
        </w:rPr>
      </w:pPr>
      <w:r w:rsidRPr="005B5F57">
        <w:rPr>
          <w:rFonts w:cs="Times New Roman"/>
          <w:szCs w:val="24"/>
          <w:lang w:val="en-GB"/>
        </w:rPr>
        <w:t xml:space="preserve">Mechanisms for the delivery of social inclusion policies in the EU vary, from fragmented to consolidated, and </w:t>
      </w:r>
      <w:r>
        <w:rPr>
          <w:rFonts w:cs="Times New Roman"/>
          <w:szCs w:val="24"/>
          <w:lang w:val="en-GB"/>
        </w:rPr>
        <w:t xml:space="preserve">from </w:t>
      </w:r>
      <w:r w:rsidRPr="005B5F57">
        <w:rPr>
          <w:rFonts w:cs="Times New Roman"/>
          <w:szCs w:val="24"/>
          <w:lang w:val="en-GB"/>
        </w:rPr>
        <w:t>centralised to regional. In some cases, it is the government departments that are in charge of defining social inclusion policy</w:t>
      </w:r>
      <w:r>
        <w:rPr>
          <w:rFonts w:cs="Times New Roman"/>
          <w:szCs w:val="24"/>
          <w:lang w:val="en-GB"/>
        </w:rPr>
        <w:t xml:space="preserve">, which </w:t>
      </w:r>
      <w:r w:rsidRPr="005B5F57">
        <w:rPr>
          <w:rFonts w:cs="Times New Roman"/>
          <w:szCs w:val="24"/>
          <w:lang w:val="en-GB"/>
        </w:rPr>
        <w:t xml:space="preserve">are also bodies responsible for administering EU funds. </w:t>
      </w:r>
      <w:r w:rsidR="001368A9">
        <w:rPr>
          <w:rFonts w:cs="Times New Roman"/>
          <w:szCs w:val="24"/>
          <w:lang w:val="en-GB"/>
        </w:rPr>
        <w:t xml:space="preserve">These departments either perform the function of bodies tasked to coordinate the utilization of EU assistance funds, or member states establish separate </w:t>
      </w:r>
      <w:r w:rsidR="00A05CC8">
        <w:rPr>
          <w:rFonts w:cs="Times New Roman"/>
          <w:b/>
          <w:szCs w:val="24"/>
          <w:lang w:val="en-GB"/>
        </w:rPr>
        <w:t xml:space="preserve">management bodies </w:t>
      </w:r>
      <w:r w:rsidR="00A05CC8">
        <w:rPr>
          <w:rFonts w:cs="Times New Roman"/>
          <w:szCs w:val="24"/>
          <w:lang w:val="en-GB"/>
        </w:rPr>
        <w:t>in charge of management of</w:t>
      </w:r>
      <w:r w:rsidR="001368A9">
        <w:rPr>
          <w:rFonts w:cs="Times New Roman"/>
          <w:szCs w:val="24"/>
          <w:lang w:val="en-GB"/>
        </w:rPr>
        <w:t xml:space="preserve"> the European social Fund and lay down their competencies to prepare and deliver operational programs.</w:t>
      </w:r>
      <w:r w:rsidRPr="005B5F57">
        <w:rPr>
          <w:rFonts w:cs="Times New Roman"/>
          <w:szCs w:val="24"/>
          <w:lang w:val="en-GB"/>
        </w:rPr>
        <w:t xml:space="preserve">  </w:t>
      </w:r>
    </w:p>
    <w:p w:rsidR="001368A9" w:rsidRDefault="001368A9" w:rsidP="00DB2113">
      <w:pPr>
        <w:rPr>
          <w:rFonts w:cs="Times New Roman"/>
          <w:szCs w:val="24"/>
          <w:lang w:val="en-GB"/>
        </w:rPr>
      </w:pPr>
      <w:r>
        <w:rPr>
          <w:rFonts w:cs="Times New Roman"/>
          <w:szCs w:val="24"/>
          <w:lang w:val="en-GB"/>
        </w:rPr>
        <w:t xml:space="preserve">In order to </w:t>
      </w:r>
      <w:r w:rsidR="003867E2">
        <w:rPr>
          <w:rFonts w:cs="Times New Roman"/>
          <w:szCs w:val="24"/>
          <w:lang w:val="en-GB"/>
        </w:rPr>
        <w:t>implement</w:t>
      </w:r>
      <w:r>
        <w:rPr>
          <w:rFonts w:cs="Times New Roman"/>
          <w:szCs w:val="24"/>
          <w:lang w:val="en-GB"/>
        </w:rPr>
        <w:t xml:space="preserve"> the priorities and measures set forth in an operational program efficiently, management bodies authorize the so-called </w:t>
      </w:r>
      <w:r w:rsidR="00E70705">
        <w:rPr>
          <w:rFonts w:cs="Times New Roman"/>
          <w:b/>
          <w:szCs w:val="24"/>
          <w:lang w:val="en-GB"/>
        </w:rPr>
        <w:t>intermediate</w:t>
      </w:r>
      <w:r>
        <w:rPr>
          <w:rFonts w:cs="Times New Roman"/>
          <w:b/>
          <w:szCs w:val="24"/>
          <w:lang w:val="en-GB"/>
        </w:rPr>
        <w:t xml:space="preserve"> bodies</w:t>
      </w:r>
      <w:r>
        <w:rPr>
          <w:rFonts w:cs="Times New Roman"/>
          <w:szCs w:val="24"/>
          <w:lang w:val="en-GB"/>
        </w:rPr>
        <w:t xml:space="preserve"> which are delegated specific tasks (e.g. public procurement procedures, procedures relating to contract awarding and negotiation)</w:t>
      </w:r>
      <w:r w:rsidR="003867E2">
        <w:rPr>
          <w:rFonts w:cs="Times New Roman"/>
          <w:szCs w:val="24"/>
          <w:lang w:val="en-GB"/>
        </w:rPr>
        <w:t xml:space="preserve">, which are stipulated in a mutual agreement, to implement specific priorities and measures contained in the operational program, whereas the management body maintains full responsibility for the implementation of the program. </w:t>
      </w:r>
      <w:r w:rsidR="00E70705">
        <w:rPr>
          <w:rFonts w:cs="Times New Roman"/>
          <w:szCs w:val="24"/>
          <w:lang w:val="en-GB"/>
        </w:rPr>
        <w:t>Intermediate</w:t>
      </w:r>
      <w:r w:rsidR="003867E2">
        <w:rPr>
          <w:rFonts w:cs="Times New Roman"/>
          <w:szCs w:val="24"/>
          <w:lang w:val="en-GB"/>
        </w:rPr>
        <w:t xml:space="preserve"> bodies are most commonly state institutions, agencies or funds which are highly specialized in the field or activities covered by the priority or measure, or are in charge of </w:t>
      </w:r>
      <w:r w:rsidR="00A05CC8">
        <w:rPr>
          <w:rFonts w:cs="Times New Roman"/>
          <w:szCs w:val="24"/>
          <w:lang w:val="en-GB"/>
        </w:rPr>
        <w:t xml:space="preserve">the field in the national administration structure. </w:t>
      </w:r>
    </w:p>
    <w:p w:rsidR="00A05CC8" w:rsidRDefault="00E70705" w:rsidP="00DB2113">
      <w:pPr>
        <w:rPr>
          <w:rFonts w:cs="Times New Roman"/>
          <w:szCs w:val="24"/>
          <w:lang w:val="en-GB"/>
        </w:rPr>
      </w:pPr>
      <w:r>
        <w:rPr>
          <w:rFonts w:cs="Times New Roman"/>
          <w:szCs w:val="24"/>
          <w:lang w:val="en-GB"/>
        </w:rPr>
        <w:t>Intermediate</w:t>
      </w:r>
      <w:r w:rsidR="00A05CC8">
        <w:rPr>
          <w:rFonts w:cs="Times New Roman"/>
          <w:szCs w:val="24"/>
          <w:lang w:val="en-GB"/>
        </w:rPr>
        <w:t xml:space="preserve"> bodies of a lower order, i.e. </w:t>
      </w:r>
      <w:r w:rsidR="00A05CC8">
        <w:rPr>
          <w:rFonts w:cs="Times New Roman"/>
          <w:b/>
          <w:szCs w:val="24"/>
          <w:lang w:val="en-GB"/>
        </w:rPr>
        <w:t>implementation bodies</w:t>
      </w:r>
      <w:r w:rsidR="00A05CC8">
        <w:rPr>
          <w:rFonts w:cs="Times New Roman"/>
          <w:szCs w:val="24"/>
          <w:lang w:val="en-GB"/>
        </w:rPr>
        <w:t xml:space="preserve"> are organizations or institutions which are authorized by </w:t>
      </w:r>
      <w:r>
        <w:rPr>
          <w:rFonts w:cs="Times New Roman"/>
          <w:szCs w:val="24"/>
          <w:lang w:val="en-GB"/>
        </w:rPr>
        <w:t>intermediate</w:t>
      </w:r>
      <w:r w:rsidR="00A05CC8">
        <w:rPr>
          <w:rFonts w:cs="Times New Roman"/>
          <w:szCs w:val="24"/>
          <w:lang w:val="en-GB"/>
        </w:rPr>
        <w:t xml:space="preserve"> bodies of a higher order to conduct contracting tasks and the distribution of allocated funds to end beneficiaries. </w:t>
      </w:r>
    </w:p>
    <w:p w:rsidR="00A05CC8" w:rsidRDefault="00E70705" w:rsidP="00DB2113">
      <w:pPr>
        <w:rPr>
          <w:rFonts w:cs="Times New Roman"/>
          <w:szCs w:val="24"/>
          <w:lang w:val="en-GB"/>
        </w:rPr>
      </w:pPr>
      <w:r>
        <w:rPr>
          <w:rFonts w:cs="Times New Roman"/>
          <w:szCs w:val="24"/>
          <w:lang w:val="en-GB"/>
        </w:rPr>
        <w:t>Intermediate</w:t>
      </w:r>
      <w:r w:rsidR="00A05CC8">
        <w:rPr>
          <w:rFonts w:cs="Times New Roman"/>
          <w:szCs w:val="24"/>
          <w:lang w:val="en-GB"/>
        </w:rPr>
        <w:t xml:space="preserve"> bodes of a higher or lower order, depending on their administrative, technical and professional capacities, and competencies which are delegated to them through the operational agreement with the management body, issue calls for proposals and allocate EU funds according to EU public procurement rules and predefined programme criteria. </w:t>
      </w:r>
    </w:p>
    <w:p w:rsidR="00A05CC8" w:rsidRPr="00E70705" w:rsidRDefault="00A05CC8" w:rsidP="00DB2113">
      <w:pPr>
        <w:rPr>
          <w:rFonts w:cs="Times New Roman"/>
          <w:szCs w:val="24"/>
          <w:lang w:val="en-GB"/>
        </w:rPr>
      </w:pPr>
      <w:r>
        <w:rPr>
          <w:rFonts w:cs="Times New Roman"/>
          <w:szCs w:val="24"/>
          <w:lang w:val="en-GB"/>
        </w:rPr>
        <w:t xml:space="preserve">EU funds management practices in EU member states and the Republic of Croatia, which shall become a full-fledged member state </w:t>
      </w:r>
      <w:r w:rsidR="0009319E">
        <w:rPr>
          <w:rFonts w:cs="Times New Roman"/>
          <w:szCs w:val="24"/>
          <w:lang w:val="en-GB"/>
        </w:rPr>
        <w:t>this</w:t>
      </w:r>
      <w:r>
        <w:rPr>
          <w:rFonts w:cs="Times New Roman"/>
          <w:szCs w:val="24"/>
          <w:lang w:val="en-GB"/>
        </w:rPr>
        <w:t xml:space="preserve"> year, indicate that there is </w:t>
      </w:r>
      <w:r>
        <w:rPr>
          <w:rFonts w:cs="Times New Roman"/>
          <w:b/>
          <w:szCs w:val="24"/>
          <w:lang w:val="en-GB"/>
        </w:rPr>
        <w:t xml:space="preserve">no unique or universal approach and manner of management of EU funds. </w:t>
      </w:r>
      <w:r>
        <w:rPr>
          <w:rFonts w:cs="Times New Roman"/>
          <w:szCs w:val="24"/>
          <w:lang w:val="en-GB"/>
        </w:rPr>
        <w:t xml:space="preserve">Systems and institutional organization differ from one country to the next and are determined primarily by administrative, technical and professional capacities of bodies which are delegated the competency to manage </w:t>
      </w:r>
      <w:r w:rsidR="003F2A98">
        <w:rPr>
          <w:rFonts w:cs="Times New Roman"/>
          <w:szCs w:val="24"/>
          <w:lang w:val="en-GB"/>
        </w:rPr>
        <w:t xml:space="preserve">structural funds. One issue which is common to all these systems is </w:t>
      </w:r>
      <w:r w:rsidR="003F2A98">
        <w:rPr>
          <w:rFonts w:cs="Times New Roman"/>
          <w:b/>
          <w:szCs w:val="24"/>
          <w:lang w:val="en-GB"/>
        </w:rPr>
        <w:t xml:space="preserve">the approach of delegating individual activities and tasks </w:t>
      </w:r>
      <w:r w:rsidR="003F2A98">
        <w:rPr>
          <w:rFonts w:cs="Times New Roman"/>
          <w:szCs w:val="24"/>
          <w:lang w:val="en-GB"/>
        </w:rPr>
        <w:t xml:space="preserve">in the process of realization and implementation of specific priorities and measures contained in operational programs to </w:t>
      </w:r>
      <w:r w:rsidR="003F2A98">
        <w:rPr>
          <w:rFonts w:cs="Times New Roman"/>
          <w:b/>
          <w:szCs w:val="24"/>
          <w:lang w:val="en-GB"/>
        </w:rPr>
        <w:t xml:space="preserve">specialized bodies and organizations which have sufficient professional capacities and knowledge </w:t>
      </w:r>
      <w:r w:rsidR="003F2A98">
        <w:rPr>
          <w:rFonts w:cs="Times New Roman"/>
          <w:szCs w:val="24"/>
          <w:lang w:val="en-GB"/>
        </w:rPr>
        <w:t xml:space="preserve">to implement measures and operations in the areas covered by operational programs. </w:t>
      </w:r>
      <w:r w:rsidR="008E764F">
        <w:rPr>
          <w:rFonts w:cs="Times New Roman"/>
          <w:szCs w:val="24"/>
          <w:lang w:val="en-GB"/>
        </w:rPr>
        <w:t xml:space="preserve">Based on experiences from Croatia and other countries in the region and the EU, we are of the opinion that one of the key issues regarding the strengthening absorption capacities on </w:t>
      </w:r>
      <w:r w:rsidR="008E764F" w:rsidRPr="00E70705">
        <w:rPr>
          <w:rFonts w:cs="Times New Roman"/>
          <w:szCs w:val="24"/>
          <w:lang w:val="en-GB"/>
        </w:rPr>
        <w:t xml:space="preserve">the national level, the issue of strengthening national institutions and organizations to implement EU rules and implementation of projects and measures in line with these rules, as well as  more balanced distribution and delegation of activities in the implementation process in order to contract the available EU funds efficiently and maximize their effect. </w:t>
      </w:r>
    </w:p>
    <w:p w:rsidR="008E764F" w:rsidRPr="00E70705" w:rsidRDefault="008E764F" w:rsidP="00DB2113">
      <w:pPr>
        <w:rPr>
          <w:rFonts w:cs="Times New Roman"/>
          <w:b/>
          <w:szCs w:val="24"/>
          <w:lang w:val="en-GB"/>
        </w:rPr>
      </w:pPr>
      <w:r w:rsidRPr="00E70705">
        <w:rPr>
          <w:rFonts w:cs="Times New Roman"/>
          <w:b/>
          <w:szCs w:val="24"/>
          <w:lang w:val="en-GB"/>
        </w:rPr>
        <w:t xml:space="preserve">This Study does not affect nor does it propose any changes or amendments which may affect the accreditation and conferral of management </w:t>
      </w:r>
      <w:r w:rsidR="0009319E">
        <w:rPr>
          <w:rFonts w:cs="Times New Roman"/>
          <w:b/>
          <w:szCs w:val="24"/>
          <w:lang w:val="en-GB"/>
        </w:rPr>
        <w:t xml:space="preserve">powers </w:t>
      </w:r>
      <w:r w:rsidRPr="00E70705">
        <w:rPr>
          <w:rFonts w:cs="Times New Roman"/>
          <w:b/>
          <w:szCs w:val="24"/>
          <w:lang w:val="en-GB"/>
        </w:rPr>
        <w:t xml:space="preserve">of EU funds to the existing national structures. </w:t>
      </w:r>
    </w:p>
    <w:p w:rsidR="008E764F" w:rsidRPr="00182D71" w:rsidRDefault="008E764F" w:rsidP="00182D71">
      <w:pPr>
        <w:pStyle w:val="Heading3"/>
      </w:pPr>
      <w:bookmarkStart w:id="29" w:name="_Toc353200773"/>
      <w:r w:rsidRPr="00182D71">
        <w:t>3</w:t>
      </w:r>
      <w:r w:rsidR="00DB2113" w:rsidRPr="00182D71">
        <w:t xml:space="preserve">.4.1. </w:t>
      </w:r>
      <w:r w:rsidRPr="00182D71">
        <w:t>Republic of Ireland</w:t>
      </w:r>
      <w:bookmarkEnd w:id="29"/>
    </w:p>
    <w:p w:rsidR="008E764F" w:rsidRPr="00E70705" w:rsidRDefault="00CF3769" w:rsidP="008E764F">
      <w:pPr>
        <w:spacing w:after="0"/>
        <w:rPr>
          <w:noProof/>
          <w:szCs w:val="24"/>
          <w:lang w:val="ru-RU"/>
        </w:rPr>
      </w:pPr>
      <w:r w:rsidRPr="00E70705">
        <w:rPr>
          <w:rFonts w:eastAsia="Times New Roman" w:cs="Times New Roman"/>
          <w:szCs w:val="24"/>
          <w:lang w:val="en-GB"/>
        </w:rPr>
        <w:t>In the current programming period (2007–2013), the allocation for the Human Capital Investment Operational Programme from the European Social Fund amounts to EUR 751 million. The Department of Education and Skills has been designated the Operational Programme Managing Authority. There are two OP Intermediate Bodies</w:t>
      </w:r>
      <w:r w:rsidR="008E764F" w:rsidRPr="00E70705">
        <w:rPr>
          <w:noProof/>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99"/>
      </w:tblGrid>
      <w:tr w:rsidR="00CF3769" w:rsidRPr="00E70705" w:rsidTr="00293C19">
        <w:trPr>
          <w:trHeight w:val="296"/>
        </w:trPr>
        <w:tc>
          <w:tcPr>
            <w:tcW w:w="3936" w:type="dxa"/>
          </w:tcPr>
          <w:p w:rsidR="00CF3769" w:rsidRPr="00E70705" w:rsidRDefault="00CF3769" w:rsidP="00CF3769">
            <w:pPr>
              <w:spacing w:before="0" w:after="0" w:line="240" w:lineRule="auto"/>
              <w:jc w:val="left"/>
              <w:rPr>
                <w:rFonts w:cs="Times New Roman"/>
                <w:b/>
                <w:bCs/>
                <w:noProof/>
                <w:szCs w:val="24"/>
                <w:lang w:val="en-GB"/>
              </w:rPr>
            </w:pPr>
            <w:r w:rsidRPr="00E70705">
              <w:rPr>
                <w:rFonts w:eastAsia="Times New Roman" w:cs="Times New Roman"/>
                <w:b/>
                <w:szCs w:val="24"/>
                <w:lang w:val="en-GB"/>
              </w:rPr>
              <w:t>Human Capital Investment Operational Programme</w:t>
            </w:r>
          </w:p>
        </w:tc>
        <w:tc>
          <w:tcPr>
            <w:tcW w:w="5199" w:type="dxa"/>
          </w:tcPr>
          <w:p w:rsidR="00CF3769" w:rsidRPr="00E70705" w:rsidRDefault="00CF3769" w:rsidP="00CF3769">
            <w:pPr>
              <w:spacing w:before="0" w:after="0" w:line="240" w:lineRule="auto"/>
              <w:jc w:val="center"/>
              <w:rPr>
                <w:rFonts w:cs="Times New Roman"/>
                <w:b/>
                <w:bCs/>
                <w:noProof/>
                <w:szCs w:val="24"/>
                <w:lang w:val="en-GB"/>
              </w:rPr>
            </w:pPr>
            <w:r w:rsidRPr="00E70705">
              <w:rPr>
                <w:rFonts w:eastAsia="Times New Roman" w:cs="Times New Roman"/>
                <w:b/>
                <w:szCs w:val="24"/>
                <w:lang w:val="en-GB"/>
              </w:rPr>
              <w:t>Intermediate Bodies</w:t>
            </w:r>
          </w:p>
        </w:tc>
      </w:tr>
      <w:tr w:rsidR="00CF3769" w:rsidRPr="00E70705" w:rsidTr="00293C19">
        <w:trPr>
          <w:trHeight w:val="430"/>
        </w:trPr>
        <w:tc>
          <w:tcPr>
            <w:tcW w:w="3936" w:type="dxa"/>
            <w:vAlign w:val="center"/>
          </w:tcPr>
          <w:p w:rsidR="00CF3769" w:rsidRPr="00E70705" w:rsidRDefault="00CF3769" w:rsidP="00CF3769">
            <w:pPr>
              <w:spacing w:before="0" w:after="0" w:line="240" w:lineRule="auto"/>
              <w:jc w:val="left"/>
              <w:rPr>
                <w:rFonts w:cs="Times New Roman"/>
                <w:b/>
                <w:bCs/>
                <w:noProof/>
                <w:szCs w:val="24"/>
                <w:lang w:val="en-GB"/>
              </w:rPr>
            </w:pPr>
            <w:r w:rsidRPr="00E70705">
              <w:rPr>
                <w:rFonts w:eastAsia="Times New Roman" w:cs="Times New Roman"/>
                <w:b/>
                <w:szCs w:val="24"/>
                <w:lang w:val="en-GB"/>
              </w:rPr>
              <w:t>Priority Axis: Increasing Activation of the Labour Force</w:t>
            </w:r>
          </w:p>
        </w:tc>
        <w:tc>
          <w:tcPr>
            <w:tcW w:w="5199" w:type="dxa"/>
          </w:tcPr>
          <w:p w:rsidR="00CF3769" w:rsidRPr="00E70705" w:rsidRDefault="00CF3769" w:rsidP="00CF3769">
            <w:pPr>
              <w:spacing w:before="0" w:after="0" w:line="240" w:lineRule="auto"/>
              <w:jc w:val="left"/>
              <w:rPr>
                <w:rFonts w:cs="Times New Roman"/>
                <w:noProof/>
                <w:szCs w:val="24"/>
                <w:lang w:val="en-GB"/>
              </w:rPr>
            </w:pPr>
            <w:r w:rsidRPr="00E70705">
              <w:rPr>
                <w:rFonts w:eastAsia="Times New Roman" w:cs="Times New Roman"/>
                <w:szCs w:val="24"/>
                <w:lang w:val="en-GB"/>
              </w:rPr>
              <w:t xml:space="preserve">The </w:t>
            </w:r>
            <w:r w:rsidRPr="00E70705">
              <w:rPr>
                <w:rFonts w:eastAsia="Times New Roman" w:cs="Times New Roman"/>
                <w:b/>
                <w:szCs w:val="24"/>
                <w:lang w:val="en-GB"/>
              </w:rPr>
              <w:t xml:space="preserve">Training and Employment Authority </w:t>
            </w:r>
            <w:r w:rsidRPr="00E70705">
              <w:rPr>
                <w:rFonts w:eastAsia="Times New Roman" w:cs="Times New Roman"/>
                <w:szCs w:val="24"/>
                <w:lang w:val="en-GB"/>
              </w:rPr>
              <w:t xml:space="preserve">(FAS) has been granted certain competences by the Managing Authority for the purpose of implementing activity 1.1 </w:t>
            </w:r>
            <w:r w:rsidRPr="00E70705">
              <w:rPr>
                <w:rFonts w:eastAsia="Times New Roman" w:cs="Times New Roman"/>
                <w:i/>
                <w:szCs w:val="24"/>
                <w:lang w:val="en-GB"/>
              </w:rPr>
              <w:t>Skills Training for the Unemployed and Job-Seekers</w:t>
            </w:r>
            <w:r w:rsidRPr="00E70705">
              <w:rPr>
                <w:rFonts w:eastAsia="Times New Roman" w:cs="Times New Roman"/>
                <w:szCs w:val="24"/>
                <w:lang w:val="en-GB"/>
              </w:rPr>
              <w:t>.</w:t>
            </w:r>
          </w:p>
        </w:tc>
      </w:tr>
      <w:tr w:rsidR="00CF3769" w:rsidRPr="00E70705" w:rsidTr="00293C19">
        <w:trPr>
          <w:trHeight w:val="430"/>
        </w:trPr>
        <w:tc>
          <w:tcPr>
            <w:tcW w:w="3936" w:type="dxa"/>
            <w:vAlign w:val="center"/>
          </w:tcPr>
          <w:p w:rsidR="00CF3769" w:rsidRPr="00E70705" w:rsidRDefault="00CF3769" w:rsidP="00CF3769">
            <w:pPr>
              <w:spacing w:before="0" w:after="0" w:line="240" w:lineRule="auto"/>
              <w:jc w:val="left"/>
              <w:rPr>
                <w:rFonts w:cs="Times New Roman"/>
                <w:b/>
                <w:bCs/>
                <w:noProof/>
                <w:szCs w:val="24"/>
                <w:lang w:val="en-GB"/>
              </w:rPr>
            </w:pPr>
            <w:r w:rsidRPr="00E70705">
              <w:rPr>
                <w:rFonts w:eastAsia="Times New Roman" w:cs="Times New Roman"/>
                <w:b/>
                <w:szCs w:val="24"/>
                <w:lang w:val="en-GB"/>
              </w:rPr>
              <w:t>Priority Axis: Increasing Participation and Reducing Inequality in the Labour Force</w:t>
            </w:r>
          </w:p>
        </w:tc>
        <w:tc>
          <w:tcPr>
            <w:tcW w:w="5199" w:type="dxa"/>
          </w:tcPr>
          <w:p w:rsidR="00CF3769" w:rsidRPr="00E70705" w:rsidRDefault="00CF3769" w:rsidP="00CF3769">
            <w:pPr>
              <w:spacing w:before="0" w:after="0" w:line="240" w:lineRule="auto"/>
              <w:jc w:val="left"/>
              <w:rPr>
                <w:rFonts w:cs="Times New Roman"/>
                <w:noProof/>
                <w:szCs w:val="24"/>
                <w:lang w:val="en-GB"/>
              </w:rPr>
            </w:pPr>
            <w:r w:rsidRPr="00E70705">
              <w:rPr>
                <w:rFonts w:eastAsia="Times New Roman" w:cs="Times New Roman"/>
                <w:szCs w:val="24"/>
                <w:lang w:val="en-GB"/>
              </w:rPr>
              <w:t xml:space="preserve">The </w:t>
            </w:r>
            <w:r w:rsidRPr="00E70705">
              <w:rPr>
                <w:rFonts w:eastAsia="Times New Roman" w:cs="Times New Roman"/>
                <w:b/>
                <w:szCs w:val="24"/>
                <w:lang w:val="en-GB"/>
              </w:rPr>
              <w:t>Equality Authority</w:t>
            </w:r>
            <w:r w:rsidRPr="00E70705">
              <w:rPr>
                <w:rFonts w:eastAsia="Times New Roman" w:cs="Times New Roman"/>
                <w:szCs w:val="24"/>
                <w:lang w:val="en-GB"/>
              </w:rPr>
              <w:t xml:space="preserve"> (an independent authority established under the Employment Equality Act) has been granted certain competences by the Managing Authority for the purpose of implementing activities 2.8 </w:t>
            </w:r>
            <w:r w:rsidRPr="00E70705">
              <w:rPr>
                <w:rFonts w:eastAsia="Times New Roman" w:cs="Times New Roman"/>
                <w:i/>
                <w:szCs w:val="24"/>
                <w:lang w:val="en-GB"/>
              </w:rPr>
              <w:t xml:space="preserve">Positive Actions to Promote Gender Equality </w:t>
            </w:r>
            <w:r w:rsidRPr="00E70705">
              <w:rPr>
                <w:rFonts w:eastAsia="Times New Roman" w:cs="Times New Roman"/>
                <w:szCs w:val="24"/>
                <w:lang w:val="en-GB"/>
              </w:rPr>
              <w:t xml:space="preserve">and 2.9 </w:t>
            </w:r>
            <w:r w:rsidRPr="00E70705">
              <w:rPr>
                <w:rFonts w:eastAsia="Times New Roman" w:cs="Times New Roman"/>
                <w:i/>
                <w:szCs w:val="24"/>
                <w:lang w:val="en-GB"/>
              </w:rPr>
              <w:t>Equality Mainstreaming Approach</w:t>
            </w:r>
            <w:r w:rsidRPr="00E70705">
              <w:rPr>
                <w:rFonts w:eastAsia="Times New Roman" w:cs="Times New Roman"/>
                <w:szCs w:val="24"/>
                <w:lang w:val="en-GB"/>
              </w:rPr>
              <w:t xml:space="preserve">. </w:t>
            </w:r>
          </w:p>
        </w:tc>
      </w:tr>
    </w:tbl>
    <w:p w:rsidR="008E764F" w:rsidRPr="00E70705" w:rsidRDefault="008E764F" w:rsidP="00DB2113">
      <w:pPr>
        <w:pStyle w:val="Heading3"/>
        <w:rPr>
          <w:szCs w:val="24"/>
          <w:lang w:val="en-GB"/>
        </w:rPr>
      </w:pPr>
    </w:p>
    <w:p w:rsidR="00DB2113" w:rsidRPr="00182D71" w:rsidRDefault="008E764F" w:rsidP="00182D71">
      <w:pPr>
        <w:pStyle w:val="Heading3"/>
      </w:pPr>
      <w:bookmarkStart w:id="30" w:name="_Toc353200774"/>
      <w:r w:rsidRPr="00182D71">
        <w:t xml:space="preserve">3.4.2. </w:t>
      </w:r>
      <w:r w:rsidR="00DB2113" w:rsidRPr="00182D71">
        <w:t>Slovak Republic</w:t>
      </w:r>
      <w:bookmarkEnd w:id="30"/>
    </w:p>
    <w:p w:rsidR="00DB2113" w:rsidRPr="00E70705" w:rsidRDefault="00DB2113" w:rsidP="00DB2113">
      <w:pPr>
        <w:spacing w:after="0"/>
        <w:rPr>
          <w:rFonts w:cs="Times New Roman"/>
          <w:szCs w:val="24"/>
          <w:lang w:val="en-GB"/>
        </w:rPr>
      </w:pPr>
      <w:r w:rsidRPr="00E70705">
        <w:rPr>
          <w:rFonts w:cs="Times New Roman"/>
          <w:szCs w:val="24"/>
          <w:lang w:val="en-GB"/>
        </w:rPr>
        <w:t>The allocation from the European Social Fund for the Operational Programme “Employment and Social Inclusion” totals 882 m</w:t>
      </w:r>
      <w:r w:rsidR="00E166E1" w:rsidRPr="00E70705">
        <w:rPr>
          <w:rFonts w:cs="Times New Roman"/>
          <w:szCs w:val="24"/>
          <w:lang w:val="en-GB"/>
        </w:rPr>
        <w:t>ln</w:t>
      </w:r>
      <w:r w:rsidRPr="00E70705">
        <w:rPr>
          <w:rFonts w:cs="Times New Roman"/>
          <w:szCs w:val="24"/>
          <w:lang w:val="en-GB"/>
        </w:rPr>
        <w:t xml:space="preserve"> EUR in the current programming period (2007-2013). The Ministry of Employment, Social Affairs and Family serves as the Managing Authority for the Operational Programme. There are two OP Intermediate bodies.</w:t>
      </w:r>
    </w:p>
    <w:p w:rsidR="00DB2113" w:rsidRPr="00E70705" w:rsidRDefault="00DB2113" w:rsidP="00DB2113">
      <w:pPr>
        <w:spacing w:after="0"/>
        <w:rPr>
          <w:rFonts w:cs="Times New Roman"/>
          <w:szCs w:val="24"/>
          <w:lang w:val="en-GB"/>
        </w:rPr>
      </w:pPr>
    </w:p>
    <w:tbl>
      <w:tblPr>
        <w:tblStyle w:val="TableGrid"/>
        <w:tblW w:w="0" w:type="auto"/>
        <w:tblLook w:val="04A0" w:firstRow="1" w:lastRow="0" w:firstColumn="1" w:lastColumn="0" w:noHBand="0" w:noVBand="1"/>
      </w:tblPr>
      <w:tblGrid>
        <w:gridCol w:w="5203"/>
        <w:gridCol w:w="4040"/>
      </w:tblGrid>
      <w:tr w:rsidR="00DB2113" w:rsidRPr="00E70705" w:rsidTr="00DB2113">
        <w:trPr>
          <w:trHeight w:val="296"/>
        </w:trPr>
        <w:tc>
          <w:tcPr>
            <w:tcW w:w="5203" w:type="dxa"/>
          </w:tcPr>
          <w:p w:rsidR="00DB2113" w:rsidRPr="00E70705" w:rsidRDefault="00DB2113" w:rsidP="00541EC7">
            <w:pPr>
              <w:spacing w:before="0" w:after="200" w:line="276" w:lineRule="auto"/>
              <w:jc w:val="center"/>
              <w:rPr>
                <w:rFonts w:cs="Times New Roman"/>
                <w:b/>
                <w:szCs w:val="24"/>
                <w:lang w:val="en-GB"/>
              </w:rPr>
            </w:pPr>
            <w:r w:rsidRPr="00E70705">
              <w:rPr>
                <w:rFonts w:cs="Times New Roman"/>
                <w:b/>
                <w:szCs w:val="24"/>
                <w:lang w:val="en-GB"/>
              </w:rPr>
              <w:t>Operational Programme  “Employment and Social Inclusion”</w:t>
            </w:r>
          </w:p>
        </w:tc>
        <w:tc>
          <w:tcPr>
            <w:tcW w:w="4040" w:type="dxa"/>
          </w:tcPr>
          <w:p w:rsidR="00DB2113" w:rsidRPr="00E70705" w:rsidRDefault="00DB2113" w:rsidP="00541EC7">
            <w:pPr>
              <w:spacing w:before="0" w:after="200" w:line="276" w:lineRule="auto"/>
              <w:jc w:val="center"/>
              <w:rPr>
                <w:rFonts w:cs="Times New Roman"/>
                <w:b/>
                <w:szCs w:val="24"/>
                <w:lang w:val="en-GB"/>
              </w:rPr>
            </w:pPr>
            <w:r w:rsidRPr="00E70705">
              <w:rPr>
                <w:rFonts w:cs="Times New Roman"/>
                <w:b/>
                <w:szCs w:val="24"/>
                <w:lang w:val="en-GB"/>
              </w:rPr>
              <w:t>Intermediate Body</w:t>
            </w:r>
          </w:p>
        </w:tc>
      </w:tr>
      <w:tr w:rsidR="00DB2113" w:rsidRPr="00E70705" w:rsidTr="00DB2113">
        <w:trPr>
          <w:trHeight w:val="430"/>
        </w:trPr>
        <w:tc>
          <w:tcPr>
            <w:tcW w:w="5203" w:type="dxa"/>
          </w:tcPr>
          <w:p w:rsidR="00DB2113" w:rsidRPr="00E70705" w:rsidRDefault="00DB2113" w:rsidP="00541EC7">
            <w:pPr>
              <w:spacing w:before="0"/>
              <w:rPr>
                <w:rFonts w:cs="Times New Roman"/>
                <w:b/>
                <w:szCs w:val="24"/>
                <w:lang w:val="en-GB"/>
              </w:rPr>
            </w:pPr>
            <w:r w:rsidRPr="00E70705">
              <w:rPr>
                <w:rFonts w:cs="Times New Roman"/>
                <w:b/>
                <w:szCs w:val="24"/>
                <w:lang w:val="en-GB"/>
              </w:rPr>
              <w:t>Priority axis: “Supporting employment growth”</w:t>
            </w:r>
          </w:p>
          <w:p w:rsidR="00DB2113" w:rsidRPr="00E70705" w:rsidRDefault="00DB2113" w:rsidP="00541EC7">
            <w:pPr>
              <w:spacing w:before="0"/>
              <w:rPr>
                <w:rFonts w:cs="Times New Roman"/>
                <w:i/>
                <w:szCs w:val="24"/>
                <w:lang w:val="en-GB"/>
              </w:rPr>
            </w:pPr>
            <w:r w:rsidRPr="00E70705">
              <w:rPr>
                <w:rFonts w:cs="Times New Roman"/>
                <w:i/>
                <w:szCs w:val="24"/>
                <w:lang w:val="en-GB"/>
              </w:rPr>
              <w:t xml:space="preserve">Measures: </w:t>
            </w:r>
          </w:p>
          <w:p w:rsidR="00DB2113" w:rsidRPr="00E70705" w:rsidRDefault="00DB2113" w:rsidP="00351681">
            <w:pPr>
              <w:pStyle w:val="ListParagraph"/>
              <w:numPr>
                <w:ilvl w:val="0"/>
                <w:numId w:val="5"/>
              </w:numPr>
              <w:spacing w:before="0"/>
              <w:rPr>
                <w:rFonts w:cs="Times New Roman"/>
                <w:szCs w:val="24"/>
                <w:lang w:val="en-GB"/>
              </w:rPr>
            </w:pPr>
            <w:r w:rsidRPr="00E70705">
              <w:rPr>
                <w:rFonts w:cs="Times New Roman"/>
                <w:szCs w:val="24"/>
                <w:lang w:val="en-GB"/>
              </w:rPr>
              <w:t xml:space="preserve">Promoting programmes in the area of supporting employment and solving unemployment and long-term unemployment </w:t>
            </w:r>
          </w:p>
          <w:p w:rsidR="00DB2113" w:rsidRPr="00E70705" w:rsidRDefault="00DB2113" w:rsidP="00351681">
            <w:pPr>
              <w:pStyle w:val="ListParagraph"/>
              <w:numPr>
                <w:ilvl w:val="0"/>
                <w:numId w:val="5"/>
              </w:numPr>
              <w:spacing w:before="0"/>
              <w:ind w:left="714" w:hanging="357"/>
              <w:rPr>
                <w:rFonts w:cs="Times New Roman"/>
                <w:szCs w:val="24"/>
                <w:lang w:val="en-GB"/>
              </w:rPr>
            </w:pPr>
            <w:r w:rsidRPr="00E70705">
              <w:rPr>
                <w:rFonts w:cs="Times New Roman"/>
                <w:szCs w:val="24"/>
                <w:lang w:val="en-GB"/>
              </w:rPr>
              <w:t>Promoting the creation and sustainability of jobs through increasing the adaptability of workers, businesses and the promotion of entrepreneurship</w:t>
            </w:r>
          </w:p>
        </w:tc>
        <w:tc>
          <w:tcPr>
            <w:tcW w:w="4040" w:type="dxa"/>
          </w:tcPr>
          <w:p w:rsidR="00DB2113" w:rsidRPr="00E70705" w:rsidRDefault="00DB2113" w:rsidP="00541EC7">
            <w:pPr>
              <w:spacing w:before="0"/>
              <w:rPr>
                <w:rFonts w:cs="Times New Roman"/>
                <w:szCs w:val="24"/>
                <w:lang w:val="en-GB"/>
              </w:rPr>
            </w:pPr>
            <w:r w:rsidRPr="00E70705">
              <w:rPr>
                <w:rFonts w:cs="Times New Roman"/>
                <w:szCs w:val="24"/>
                <w:lang w:val="en-GB"/>
              </w:rPr>
              <w:t xml:space="preserve">The </w:t>
            </w:r>
            <w:r w:rsidRPr="00E70705">
              <w:rPr>
                <w:rFonts w:cs="Times New Roman"/>
                <w:b/>
                <w:szCs w:val="24"/>
                <w:lang w:val="en-GB"/>
              </w:rPr>
              <w:t>Social Implementation Agency</w:t>
            </w:r>
            <w:r w:rsidRPr="00E70705">
              <w:rPr>
                <w:rFonts w:cs="Times New Roman"/>
                <w:szCs w:val="24"/>
                <w:lang w:val="en-GB"/>
              </w:rPr>
              <w:t xml:space="preserve"> (SIA) is delegated some authority from Managing Authority </w:t>
            </w:r>
          </w:p>
        </w:tc>
      </w:tr>
      <w:tr w:rsidR="00DB2113" w:rsidRPr="00E70705" w:rsidTr="00DB2113">
        <w:trPr>
          <w:trHeight w:val="430"/>
        </w:trPr>
        <w:tc>
          <w:tcPr>
            <w:tcW w:w="5203" w:type="dxa"/>
          </w:tcPr>
          <w:p w:rsidR="00DB2113" w:rsidRPr="00E70705" w:rsidRDefault="00DB2113" w:rsidP="00541EC7">
            <w:pPr>
              <w:spacing w:before="0"/>
              <w:rPr>
                <w:rFonts w:cs="Times New Roman"/>
                <w:b/>
                <w:szCs w:val="24"/>
                <w:lang w:val="en-GB"/>
              </w:rPr>
            </w:pPr>
            <w:r w:rsidRPr="00E70705">
              <w:rPr>
                <w:rFonts w:cs="Times New Roman"/>
                <w:b/>
                <w:szCs w:val="24"/>
                <w:lang w:val="en-GB"/>
              </w:rPr>
              <w:t>Priority axis: “Supporting social inclusion”</w:t>
            </w:r>
          </w:p>
          <w:p w:rsidR="00DB2113" w:rsidRPr="00E70705" w:rsidRDefault="00DB2113" w:rsidP="00541EC7">
            <w:pPr>
              <w:spacing w:before="0"/>
              <w:rPr>
                <w:rFonts w:cs="Times New Roman"/>
                <w:i/>
                <w:szCs w:val="24"/>
                <w:lang w:val="en-GB"/>
              </w:rPr>
            </w:pPr>
            <w:r w:rsidRPr="00E70705">
              <w:rPr>
                <w:rFonts w:cs="Times New Roman"/>
                <w:i/>
                <w:szCs w:val="24"/>
                <w:lang w:val="en-GB"/>
              </w:rPr>
              <w:t xml:space="preserve">Measures: </w:t>
            </w:r>
          </w:p>
          <w:p w:rsidR="00DB2113" w:rsidRPr="00E70705" w:rsidRDefault="00DB2113" w:rsidP="00351681">
            <w:pPr>
              <w:pStyle w:val="ListParagraph"/>
              <w:numPr>
                <w:ilvl w:val="0"/>
                <w:numId w:val="13"/>
              </w:numPr>
              <w:spacing w:before="0"/>
              <w:rPr>
                <w:rFonts w:cs="Times New Roman"/>
                <w:szCs w:val="24"/>
                <w:lang w:val="en-GB"/>
              </w:rPr>
            </w:pPr>
            <w:r w:rsidRPr="00E70705">
              <w:rPr>
                <w:rFonts w:cs="Times New Roman"/>
                <w:szCs w:val="24"/>
                <w:lang w:val="en-GB"/>
              </w:rPr>
              <w:t xml:space="preserve">Supporting the social inclusion of persons at risk of social exclusion or the socially excluded through the development of care services with special regard to marginalised Roma communities  </w:t>
            </w:r>
          </w:p>
          <w:p w:rsidR="00DB2113" w:rsidRPr="00E70705" w:rsidRDefault="00DB2113" w:rsidP="00351681">
            <w:pPr>
              <w:pStyle w:val="ListParagraph"/>
              <w:numPr>
                <w:ilvl w:val="0"/>
                <w:numId w:val="13"/>
              </w:numPr>
              <w:spacing w:before="0"/>
              <w:rPr>
                <w:rFonts w:cs="Times New Roman"/>
                <w:szCs w:val="24"/>
                <w:lang w:val="en-GB"/>
              </w:rPr>
            </w:pPr>
            <w:r w:rsidRPr="00E70705">
              <w:rPr>
                <w:rFonts w:cs="Times New Roman"/>
                <w:szCs w:val="24"/>
                <w:lang w:val="en-GB"/>
              </w:rPr>
              <w:t xml:space="preserve">Promoting equal opportunities in access to the labour market and supporting the integration of disadvantaged groups into the labour market with special regard to marginalised Roma communities </w:t>
            </w:r>
          </w:p>
          <w:p w:rsidR="00DB2113" w:rsidRPr="00E70705" w:rsidRDefault="00DB2113" w:rsidP="00351681">
            <w:pPr>
              <w:pStyle w:val="ListParagraph"/>
              <w:numPr>
                <w:ilvl w:val="0"/>
                <w:numId w:val="13"/>
              </w:numPr>
              <w:spacing w:before="0"/>
              <w:ind w:left="714" w:hanging="357"/>
              <w:rPr>
                <w:rFonts w:cs="Times New Roman"/>
                <w:szCs w:val="24"/>
                <w:lang w:val="en-GB"/>
              </w:rPr>
            </w:pPr>
            <w:r w:rsidRPr="00E70705">
              <w:rPr>
                <w:rFonts w:cs="Times New Roman"/>
                <w:szCs w:val="24"/>
                <w:lang w:val="en-GB"/>
              </w:rPr>
              <w:t xml:space="preserve">Promoting the reconciliation of work and family life and care of small children </w:t>
            </w:r>
          </w:p>
        </w:tc>
        <w:tc>
          <w:tcPr>
            <w:tcW w:w="4040" w:type="dxa"/>
          </w:tcPr>
          <w:p w:rsidR="00DB2113" w:rsidRPr="00E70705" w:rsidRDefault="00DB2113" w:rsidP="00541EC7">
            <w:pPr>
              <w:spacing w:before="0" w:after="200" w:line="276" w:lineRule="auto"/>
              <w:rPr>
                <w:rFonts w:cs="Times New Roman"/>
                <w:szCs w:val="24"/>
                <w:lang w:val="en-GB"/>
              </w:rPr>
            </w:pPr>
            <w:r w:rsidRPr="00E70705">
              <w:rPr>
                <w:rFonts w:cs="Times New Roman"/>
                <w:szCs w:val="24"/>
                <w:lang w:val="en-GB"/>
              </w:rPr>
              <w:t xml:space="preserve">The </w:t>
            </w:r>
            <w:r w:rsidRPr="00E70705">
              <w:rPr>
                <w:rFonts w:cs="Times New Roman"/>
                <w:b/>
                <w:szCs w:val="24"/>
                <w:lang w:val="en-GB"/>
              </w:rPr>
              <w:t>Social Development Fund</w:t>
            </w:r>
            <w:r w:rsidRPr="00E70705">
              <w:rPr>
                <w:rFonts w:cs="Times New Roman"/>
                <w:szCs w:val="24"/>
                <w:lang w:val="en-GB"/>
              </w:rPr>
              <w:t xml:space="preserve"> (SDF) is delegated some authority from Managing Authority </w:t>
            </w:r>
          </w:p>
        </w:tc>
      </w:tr>
      <w:tr w:rsidR="00DB2113" w:rsidRPr="00E70705" w:rsidTr="00DB2113">
        <w:trPr>
          <w:trHeight w:val="430"/>
        </w:trPr>
        <w:tc>
          <w:tcPr>
            <w:tcW w:w="5203" w:type="dxa"/>
          </w:tcPr>
          <w:p w:rsidR="00DB2113" w:rsidRPr="00E70705" w:rsidRDefault="00DB2113" w:rsidP="00541EC7">
            <w:pPr>
              <w:spacing w:before="0" w:after="200"/>
              <w:rPr>
                <w:rFonts w:cs="Times New Roman"/>
                <w:b/>
                <w:szCs w:val="24"/>
                <w:lang w:val="en-GB"/>
              </w:rPr>
            </w:pPr>
            <w:r w:rsidRPr="00E70705">
              <w:rPr>
                <w:rFonts w:cs="Times New Roman"/>
                <w:b/>
                <w:szCs w:val="24"/>
                <w:lang w:val="en-GB"/>
              </w:rPr>
              <w:t>Priority axis: “Supporting employment, social inclusion, and capacity building in the Bratislava Self-governing Region (BSR)”</w:t>
            </w:r>
          </w:p>
          <w:p w:rsidR="00DB2113" w:rsidRPr="00E70705" w:rsidRDefault="00DB2113" w:rsidP="00541EC7">
            <w:pPr>
              <w:spacing w:before="0"/>
              <w:rPr>
                <w:rFonts w:cs="Times New Roman"/>
                <w:b/>
                <w:i/>
                <w:szCs w:val="24"/>
                <w:lang w:val="en-GB"/>
              </w:rPr>
            </w:pPr>
            <w:r w:rsidRPr="00E70705">
              <w:rPr>
                <w:rFonts w:cs="Times New Roman"/>
                <w:i/>
                <w:szCs w:val="24"/>
                <w:lang w:val="en-GB"/>
              </w:rPr>
              <w:t>Measures:</w:t>
            </w:r>
          </w:p>
          <w:p w:rsidR="00DB2113" w:rsidRPr="00E70705" w:rsidRDefault="00DB2113" w:rsidP="00351681">
            <w:pPr>
              <w:pStyle w:val="ListParagraph"/>
              <w:numPr>
                <w:ilvl w:val="0"/>
                <w:numId w:val="14"/>
              </w:numPr>
              <w:spacing w:before="0" w:after="200" w:line="276" w:lineRule="auto"/>
              <w:rPr>
                <w:rFonts w:cs="Times New Roman"/>
                <w:b/>
                <w:szCs w:val="24"/>
                <w:lang w:val="en-GB"/>
              </w:rPr>
            </w:pPr>
            <w:r w:rsidRPr="00E70705">
              <w:rPr>
                <w:rFonts w:cs="Times New Roman"/>
                <w:szCs w:val="24"/>
                <w:lang w:val="en-GB"/>
              </w:rPr>
              <w:t>Promoting employment growth and improving employability, with special regard to knowledge-based society</w:t>
            </w:r>
          </w:p>
          <w:p w:rsidR="00DB2113" w:rsidRPr="00E70705" w:rsidRDefault="00DB2113" w:rsidP="00351681">
            <w:pPr>
              <w:pStyle w:val="ListParagraph"/>
              <w:numPr>
                <w:ilvl w:val="0"/>
                <w:numId w:val="14"/>
              </w:numPr>
              <w:spacing w:before="0" w:after="200" w:line="276" w:lineRule="auto"/>
              <w:rPr>
                <w:rFonts w:cs="Times New Roman"/>
                <w:b/>
                <w:szCs w:val="24"/>
                <w:lang w:val="en-GB"/>
              </w:rPr>
            </w:pPr>
            <w:r w:rsidRPr="00E70705">
              <w:rPr>
                <w:rFonts w:cs="Times New Roman"/>
                <w:szCs w:val="24"/>
                <w:lang w:val="en-GB"/>
              </w:rPr>
              <w:t>Promoting social inclusion, gender equality, and the reconciliation of work and family life in the BSR</w:t>
            </w:r>
          </w:p>
        </w:tc>
        <w:tc>
          <w:tcPr>
            <w:tcW w:w="4040" w:type="dxa"/>
          </w:tcPr>
          <w:p w:rsidR="00DB2113" w:rsidRPr="00E70705" w:rsidRDefault="00DB2113" w:rsidP="00541EC7">
            <w:pPr>
              <w:spacing w:before="0"/>
              <w:rPr>
                <w:rFonts w:cs="Times New Roman"/>
                <w:szCs w:val="24"/>
                <w:lang w:val="en-GB"/>
              </w:rPr>
            </w:pPr>
            <w:r w:rsidRPr="00E70705">
              <w:rPr>
                <w:rFonts w:cs="Times New Roman"/>
                <w:szCs w:val="24"/>
                <w:lang w:val="en-GB"/>
              </w:rPr>
              <w:t xml:space="preserve">The </w:t>
            </w:r>
            <w:r w:rsidRPr="00E70705">
              <w:rPr>
                <w:rFonts w:cs="Times New Roman"/>
                <w:b/>
                <w:szCs w:val="24"/>
                <w:lang w:val="en-GB"/>
              </w:rPr>
              <w:t>Social Development Fund</w:t>
            </w:r>
            <w:r w:rsidRPr="00E70705">
              <w:rPr>
                <w:rFonts w:cs="Times New Roman"/>
                <w:szCs w:val="24"/>
                <w:lang w:val="en-GB"/>
              </w:rPr>
              <w:t xml:space="preserve"> (SDF) is delegated some authority from Managing Authority</w:t>
            </w:r>
          </w:p>
        </w:tc>
      </w:tr>
    </w:tbl>
    <w:p w:rsidR="00182D71" w:rsidRDefault="00182D71" w:rsidP="00DB2113">
      <w:pPr>
        <w:pStyle w:val="Heading3"/>
        <w:rPr>
          <w:szCs w:val="24"/>
          <w:lang w:val="en-GB"/>
        </w:rPr>
      </w:pPr>
      <w:bookmarkStart w:id="31" w:name="_Toc353200775"/>
    </w:p>
    <w:p w:rsidR="00DB2113" w:rsidRPr="00182D71" w:rsidRDefault="008E764F" w:rsidP="00182D71">
      <w:pPr>
        <w:pStyle w:val="Heading3"/>
      </w:pPr>
      <w:r w:rsidRPr="00182D71">
        <w:t>3</w:t>
      </w:r>
      <w:r w:rsidR="00DB2113" w:rsidRPr="00182D71">
        <w:t>.4.</w:t>
      </w:r>
      <w:r w:rsidRPr="00182D71">
        <w:t>3</w:t>
      </w:r>
      <w:r w:rsidR="00DB2113" w:rsidRPr="00182D71">
        <w:t>. Bulgaria</w:t>
      </w:r>
      <w:bookmarkEnd w:id="31"/>
    </w:p>
    <w:p w:rsidR="00DB2113" w:rsidRPr="00E70705" w:rsidRDefault="00DB2113" w:rsidP="00DB2113">
      <w:pPr>
        <w:spacing w:after="0"/>
        <w:rPr>
          <w:szCs w:val="24"/>
          <w:lang w:val="en-GB"/>
        </w:rPr>
      </w:pPr>
      <w:r w:rsidRPr="00E70705">
        <w:rPr>
          <w:rFonts w:cs="Times New Roman"/>
          <w:szCs w:val="24"/>
          <w:lang w:val="en-GB"/>
        </w:rPr>
        <w:t>The allocation from the European Social Fund for the Operational Programme “Human Resources Development” totals 1</w:t>
      </w:r>
      <w:r w:rsidRPr="00E70705">
        <w:rPr>
          <w:rFonts w:cs="Times New Roman"/>
          <w:szCs w:val="24"/>
        </w:rPr>
        <w:t>,</w:t>
      </w:r>
      <w:r w:rsidRPr="00E70705">
        <w:rPr>
          <w:rFonts w:cs="Times New Roman"/>
          <w:szCs w:val="24"/>
          <w:lang w:val="en-GB"/>
        </w:rPr>
        <w:t>031 ml</w:t>
      </w:r>
      <w:r w:rsidR="00E166E1" w:rsidRPr="00E70705">
        <w:rPr>
          <w:rFonts w:cs="Times New Roman"/>
          <w:szCs w:val="24"/>
          <w:lang w:val="en-GB"/>
        </w:rPr>
        <w:t>n</w:t>
      </w:r>
      <w:r w:rsidRPr="00E70705">
        <w:rPr>
          <w:rFonts w:cs="Times New Roman"/>
          <w:szCs w:val="24"/>
          <w:lang w:val="en-GB"/>
        </w:rPr>
        <w:t xml:space="preserve"> EUR in the current programming period (2007-2013).</w:t>
      </w:r>
      <w:r w:rsidRPr="00E70705">
        <w:rPr>
          <w:rFonts w:cs="Times New Roman"/>
          <w:b/>
          <w:szCs w:val="24"/>
          <w:lang w:val="en-GB"/>
        </w:rPr>
        <w:t xml:space="preserve"> </w:t>
      </w:r>
      <w:r w:rsidRPr="00E70705">
        <w:rPr>
          <w:rFonts w:cs="Times New Roman"/>
          <w:szCs w:val="24"/>
          <w:lang w:val="en-GB"/>
        </w:rPr>
        <w:t>The</w:t>
      </w:r>
      <w:r w:rsidRPr="00E70705">
        <w:rPr>
          <w:rFonts w:cs="Times New Roman"/>
          <w:b/>
          <w:szCs w:val="24"/>
          <w:lang w:val="en-GB"/>
        </w:rPr>
        <w:t xml:space="preserve"> </w:t>
      </w:r>
      <w:r w:rsidRPr="00E70705">
        <w:rPr>
          <w:szCs w:val="24"/>
          <w:lang w:val="en-GB"/>
        </w:rPr>
        <w:t>Ministry of Labour and Social Policy serves as the Managing Authority for the Operational Programme. There are three Intermediate bodies for the purposes of the OP.</w:t>
      </w:r>
    </w:p>
    <w:p w:rsidR="00D5220A" w:rsidRPr="00E70705" w:rsidRDefault="00D5220A" w:rsidP="00DB2113">
      <w:pPr>
        <w:spacing w:after="0"/>
        <w:rPr>
          <w:rFonts w:cs="Times New Roman"/>
          <w:b/>
          <w:szCs w:val="24"/>
          <w:lang w:val="en-GB"/>
        </w:rPr>
      </w:pPr>
    </w:p>
    <w:tbl>
      <w:tblPr>
        <w:tblStyle w:val="TableGrid"/>
        <w:tblW w:w="0" w:type="auto"/>
        <w:tblLook w:val="04A0" w:firstRow="1" w:lastRow="0" w:firstColumn="1" w:lastColumn="0" w:noHBand="0" w:noVBand="1"/>
      </w:tblPr>
      <w:tblGrid>
        <w:gridCol w:w="5203"/>
        <w:gridCol w:w="4040"/>
      </w:tblGrid>
      <w:tr w:rsidR="00DB2113" w:rsidRPr="00E70705" w:rsidTr="00DB2113">
        <w:trPr>
          <w:trHeight w:val="296"/>
        </w:trPr>
        <w:tc>
          <w:tcPr>
            <w:tcW w:w="5203" w:type="dxa"/>
          </w:tcPr>
          <w:p w:rsidR="00DB2113" w:rsidRPr="00E70705" w:rsidRDefault="00DB2113" w:rsidP="00360BA6">
            <w:pPr>
              <w:spacing w:before="0" w:after="0" w:line="276" w:lineRule="auto"/>
              <w:jc w:val="center"/>
              <w:rPr>
                <w:rFonts w:cs="Times New Roman"/>
                <w:b/>
                <w:szCs w:val="24"/>
                <w:lang w:val="en-GB"/>
              </w:rPr>
            </w:pPr>
            <w:r w:rsidRPr="00E70705">
              <w:rPr>
                <w:rFonts w:cs="Times New Roman"/>
                <w:b/>
                <w:szCs w:val="24"/>
                <w:lang w:val="en-GB"/>
              </w:rPr>
              <w:t>Operational Programme “Human Resources Development”</w:t>
            </w:r>
          </w:p>
        </w:tc>
        <w:tc>
          <w:tcPr>
            <w:tcW w:w="4040" w:type="dxa"/>
          </w:tcPr>
          <w:p w:rsidR="00DB2113" w:rsidRPr="00E70705" w:rsidRDefault="00DB2113" w:rsidP="00360BA6">
            <w:pPr>
              <w:spacing w:before="0" w:after="0" w:line="276" w:lineRule="auto"/>
              <w:jc w:val="center"/>
              <w:rPr>
                <w:rFonts w:cs="Times New Roman"/>
                <w:b/>
                <w:szCs w:val="24"/>
                <w:lang w:val="en-GB"/>
              </w:rPr>
            </w:pPr>
            <w:r w:rsidRPr="00E70705">
              <w:rPr>
                <w:rFonts w:cs="Times New Roman"/>
                <w:b/>
                <w:szCs w:val="24"/>
                <w:lang w:val="en-GB"/>
              </w:rPr>
              <w:t>Intermediate Body</w:t>
            </w:r>
          </w:p>
        </w:tc>
      </w:tr>
      <w:tr w:rsidR="00DB2113" w:rsidRPr="00E70705" w:rsidTr="00DB2113">
        <w:trPr>
          <w:trHeight w:val="430"/>
        </w:trPr>
        <w:tc>
          <w:tcPr>
            <w:tcW w:w="5203" w:type="dxa"/>
          </w:tcPr>
          <w:p w:rsidR="00DB2113" w:rsidRPr="00E70705" w:rsidRDefault="00DB2113" w:rsidP="00360BA6">
            <w:pPr>
              <w:spacing w:before="0" w:after="0"/>
              <w:rPr>
                <w:rFonts w:cs="Times New Roman"/>
                <w:b/>
                <w:szCs w:val="24"/>
                <w:lang w:val="en-GB"/>
              </w:rPr>
            </w:pPr>
            <w:r w:rsidRPr="00E70705">
              <w:rPr>
                <w:rFonts w:cs="Times New Roman"/>
                <w:b/>
                <w:szCs w:val="24"/>
                <w:lang w:val="en-GB"/>
              </w:rPr>
              <w:t xml:space="preserve">Priority axis: </w:t>
            </w:r>
            <w:r w:rsidRPr="00E70705">
              <w:rPr>
                <w:rFonts w:cs="Times New Roman"/>
                <w:szCs w:val="24"/>
                <w:lang w:val="en-GB"/>
              </w:rPr>
              <w:t>“Promotion of economic activity and development of inclusive labour market”</w:t>
            </w:r>
          </w:p>
          <w:p w:rsidR="00DB2113" w:rsidRPr="00E70705" w:rsidRDefault="00DB2113" w:rsidP="00360BA6">
            <w:pPr>
              <w:spacing w:before="0" w:after="0"/>
              <w:rPr>
                <w:rFonts w:cs="Times New Roman"/>
                <w:b/>
                <w:szCs w:val="24"/>
                <w:lang w:val="en-GB"/>
              </w:rPr>
            </w:pPr>
          </w:p>
          <w:p w:rsidR="00DB2113" w:rsidRPr="00E70705" w:rsidRDefault="00DB2113" w:rsidP="00360BA6">
            <w:pPr>
              <w:spacing w:before="0" w:after="0"/>
              <w:rPr>
                <w:rFonts w:cs="Times New Roman"/>
                <w:szCs w:val="24"/>
                <w:lang w:val="en-GB"/>
              </w:rPr>
            </w:pPr>
            <w:r w:rsidRPr="00E70705">
              <w:rPr>
                <w:rFonts w:cs="Times New Roman"/>
                <w:b/>
                <w:szCs w:val="24"/>
                <w:lang w:val="en-GB"/>
              </w:rPr>
              <w:t xml:space="preserve">Priority axis: </w:t>
            </w:r>
            <w:r w:rsidRPr="00E70705">
              <w:rPr>
                <w:rFonts w:cs="Times New Roman"/>
                <w:szCs w:val="24"/>
                <w:lang w:val="en-GB"/>
              </w:rPr>
              <w:t>“Raising the productivity and adaptability of the employed persons”</w:t>
            </w:r>
          </w:p>
          <w:p w:rsidR="00DB2113" w:rsidRPr="00E70705" w:rsidRDefault="00DB2113" w:rsidP="00360BA6">
            <w:pPr>
              <w:spacing w:before="0" w:after="0"/>
              <w:rPr>
                <w:rFonts w:cs="Times New Roman"/>
                <w:b/>
                <w:szCs w:val="24"/>
                <w:lang w:val="en-GB"/>
              </w:rPr>
            </w:pPr>
          </w:p>
        </w:tc>
        <w:tc>
          <w:tcPr>
            <w:tcW w:w="4040" w:type="dxa"/>
          </w:tcPr>
          <w:p w:rsidR="00DB2113" w:rsidRPr="00E70705" w:rsidRDefault="00DB2113" w:rsidP="00360BA6">
            <w:pPr>
              <w:spacing w:before="0" w:after="0" w:line="276" w:lineRule="auto"/>
              <w:jc w:val="center"/>
              <w:rPr>
                <w:rFonts w:cs="Times New Roman"/>
                <w:b/>
                <w:szCs w:val="24"/>
                <w:lang w:val="en-GB"/>
              </w:rPr>
            </w:pPr>
            <w:r w:rsidRPr="00E70705">
              <w:rPr>
                <w:rFonts w:cs="Times New Roman"/>
                <w:b/>
                <w:szCs w:val="24"/>
                <w:lang w:val="en-GB"/>
              </w:rPr>
              <w:t>National Employment Agency</w:t>
            </w:r>
          </w:p>
        </w:tc>
      </w:tr>
      <w:tr w:rsidR="00DB2113" w:rsidRPr="00E70705" w:rsidTr="00DB2113">
        <w:trPr>
          <w:trHeight w:val="430"/>
        </w:trPr>
        <w:tc>
          <w:tcPr>
            <w:tcW w:w="5203" w:type="dxa"/>
          </w:tcPr>
          <w:p w:rsidR="00DB2113" w:rsidRPr="00E70705" w:rsidRDefault="00DB2113" w:rsidP="00360BA6">
            <w:pPr>
              <w:spacing w:before="0" w:after="0"/>
              <w:rPr>
                <w:rFonts w:cs="Times New Roman"/>
                <w:szCs w:val="24"/>
                <w:lang w:val="en-GB"/>
              </w:rPr>
            </w:pPr>
            <w:r w:rsidRPr="00E70705">
              <w:rPr>
                <w:rFonts w:cs="Times New Roman"/>
                <w:b/>
                <w:szCs w:val="24"/>
                <w:lang w:val="en-GB"/>
              </w:rPr>
              <w:t>Priority axis: “</w:t>
            </w:r>
            <w:r w:rsidRPr="00E70705">
              <w:rPr>
                <w:rFonts w:cs="Times New Roman"/>
                <w:szCs w:val="24"/>
                <w:lang w:val="en-GB"/>
              </w:rPr>
              <w:t>Improving the quality of education and training in correspondence with the labour market needs for building a knowledge-based economy”</w:t>
            </w:r>
          </w:p>
          <w:p w:rsidR="00DB2113" w:rsidRPr="00E70705" w:rsidRDefault="00DB2113" w:rsidP="00360BA6">
            <w:pPr>
              <w:spacing w:before="0" w:after="0"/>
              <w:rPr>
                <w:rFonts w:cs="Times New Roman"/>
                <w:b/>
                <w:szCs w:val="24"/>
                <w:lang w:val="en-GB"/>
              </w:rPr>
            </w:pPr>
          </w:p>
          <w:p w:rsidR="00DB2113" w:rsidRPr="00E70705" w:rsidRDefault="00DB2113" w:rsidP="00360BA6">
            <w:pPr>
              <w:spacing w:before="0" w:after="0"/>
              <w:rPr>
                <w:rFonts w:cs="Times New Roman"/>
                <w:szCs w:val="24"/>
                <w:lang w:val="en-GB"/>
              </w:rPr>
            </w:pPr>
            <w:r w:rsidRPr="00E70705">
              <w:rPr>
                <w:rFonts w:cs="Times New Roman"/>
                <w:b/>
                <w:szCs w:val="24"/>
                <w:lang w:val="en-GB"/>
              </w:rPr>
              <w:t xml:space="preserve">Priority axis: </w:t>
            </w:r>
            <w:r w:rsidRPr="00E70705">
              <w:rPr>
                <w:rFonts w:cs="Times New Roman"/>
                <w:szCs w:val="24"/>
                <w:lang w:val="en-GB"/>
              </w:rPr>
              <w:t>“Improving the access to education and training”</w:t>
            </w:r>
          </w:p>
          <w:p w:rsidR="00DB2113" w:rsidRPr="00E70705" w:rsidRDefault="00DB2113" w:rsidP="00360BA6">
            <w:pPr>
              <w:spacing w:before="0" w:after="0"/>
              <w:rPr>
                <w:rFonts w:cs="Times New Roman"/>
                <w:szCs w:val="24"/>
                <w:lang w:val="en-GB"/>
              </w:rPr>
            </w:pPr>
          </w:p>
        </w:tc>
        <w:tc>
          <w:tcPr>
            <w:tcW w:w="4040" w:type="dxa"/>
          </w:tcPr>
          <w:p w:rsidR="00DB2113" w:rsidRPr="00E70705" w:rsidRDefault="00DB2113" w:rsidP="00360BA6">
            <w:pPr>
              <w:spacing w:before="0" w:after="0" w:line="276" w:lineRule="auto"/>
              <w:jc w:val="center"/>
              <w:rPr>
                <w:rFonts w:cs="Times New Roman"/>
                <w:b/>
                <w:szCs w:val="24"/>
                <w:lang w:val="en-GB"/>
              </w:rPr>
            </w:pPr>
            <w:r w:rsidRPr="00E70705">
              <w:rPr>
                <w:rFonts w:cs="Times New Roman"/>
                <w:b/>
                <w:szCs w:val="24"/>
                <w:lang w:val="en-GB"/>
              </w:rPr>
              <w:t>Ministry of Education, Youth and Science</w:t>
            </w:r>
          </w:p>
        </w:tc>
      </w:tr>
      <w:tr w:rsidR="00DB2113" w:rsidRPr="00E70705" w:rsidTr="00DB2113">
        <w:trPr>
          <w:trHeight w:val="430"/>
        </w:trPr>
        <w:tc>
          <w:tcPr>
            <w:tcW w:w="5203" w:type="dxa"/>
          </w:tcPr>
          <w:p w:rsidR="00DB2113" w:rsidRPr="00E70705" w:rsidRDefault="00DB2113" w:rsidP="00360BA6">
            <w:pPr>
              <w:spacing w:before="0" w:after="0"/>
              <w:rPr>
                <w:rFonts w:cs="Times New Roman"/>
                <w:b/>
                <w:szCs w:val="24"/>
                <w:lang w:val="en-GB"/>
              </w:rPr>
            </w:pPr>
            <w:r w:rsidRPr="00E70705">
              <w:rPr>
                <w:rFonts w:cs="Times New Roman"/>
                <w:b/>
                <w:szCs w:val="24"/>
                <w:lang w:val="en-GB"/>
              </w:rPr>
              <w:t xml:space="preserve">Priority axis: </w:t>
            </w:r>
            <w:r w:rsidRPr="00E70705">
              <w:rPr>
                <w:rFonts w:cs="Times New Roman"/>
                <w:szCs w:val="24"/>
                <w:lang w:val="en-GB"/>
              </w:rPr>
              <w:t>“Social inclusion and promotion of social economy”</w:t>
            </w:r>
          </w:p>
          <w:p w:rsidR="00DB2113" w:rsidRPr="00E70705" w:rsidRDefault="00DB2113" w:rsidP="00360BA6">
            <w:pPr>
              <w:spacing w:before="0" w:after="0"/>
              <w:rPr>
                <w:rFonts w:cs="Times New Roman"/>
                <w:b/>
                <w:szCs w:val="24"/>
                <w:lang w:val="en-GB"/>
              </w:rPr>
            </w:pPr>
          </w:p>
          <w:p w:rsidR="00DB2113" w:rsidRPr="00E70705" w:rsidRDefault="00DB2113" w:rsidP="00360BA6">
            <w:pPr>
              <w:spacing w:before="0" w:after="0"/>
              <w:rPr>
                <w:rFonts w:cs="Times New Roman"/>
                <w:szCs w:val="24"/>
                <w:lang w:val="en-GB"/>
              </w:rPr>
            </w:pPr>
            <w:r w:rsidRPr="00E70705">
              <w:rPr>
                <w:rFonts w:cs="Times New Roman"/>
                <w:b/>
                <w:szCs w:val="24"/>
                <w:lang w:val="en-GB"/>
              </w:rPr>
              <w:t xml:space="preserve">Priority axis: </w:t>
            </w:r>
            <w:r w:rsidRPr="00E70705">
              <w:rPr>
                <w:rFonts w:cs="Times New Roman"/>
                <w:szCs w:val="24"/>
                <w:lang w:val="en-GB"/>
              </w:rPr>
              <w:t>“Improving the effectiveness of labour market institutions and of social and healthcare services”</w:t>
            </w:r>
          </w:p>
          <w:p w:rsidR="00DB2113" w:rsidRPr="00E70705" w:rsidRDefault="00DB2113" w:rsidP="00360BA6">
            <w:pPr>
              <w:spacing w:before="0" w:after="0"/>
              <w:rPr>
                <w:rFonts w:cs="Times New Roman"/>
                <w:szCs w:val="24"/>
                <w:lang w:val="en-GB"/>
              </w:rPr>
            </w:pPr>
          </w:p>
        </w:tc>
        <w:tc>
          <w:tcPr>
            <w:tcW w:w="4040" w:type="dxa"/>
          </w:tcPr>
          <w:p w:rsidR="00DB2113" w:rsidRPr="00E70705" w:rsidRDefault="00DB2113" w:rsidP="00360BA6">
            <w:pPr>
              <w:spacing w:before="0" w:after="0"/>
              <w:jc w:val="center"/>
              <w:rPr>
                <w:rFonts w:cs="Times New Roman"/>
                <w:b/>
                <w:szCs w:val="24"/>
                <w:lang w:val="en-GB"/>
              </w:rPr>
            </w:pPr>
            <w:r w:rsidRPr="00E70705">
              <w:rPr>
                <w:rFonts w:cs="Times New Roman"/>
                <w:b/>
                <w:szCs w:val="24"/>
                <w:lang w:val="en-GB"/>
              </w:rPr>
              <w:t>Social Assistance Agency</w:t>
            </w:r>
          </w:p>
        </w:tc>
      </w:tr>
    </w:tbl>
    <w:p w:rsidR="00182D71" w:rsidRDefault="00182D71" w:rsidP="00182D71">
      <w:pPr>
        <w:pStyle w:val="Heading3"/>
      </w:pPr>
      <w:bookmarkStart w:id="32" w:name="_Toc353200776"/>
    </w:p>
    <w:p w:rsidR="008E764F" w:rsidRPr="00182D71" w:rsidRDefault="008E764F" w:rsidP="00182D71">
      <w:pPr>
        <w:pStyle w:val="Heading3"/>
      </w:pPr>
      <w:r w:rsidRPr="00182D71">
        <w:t xml:space="preserve">3.4.4. United Kingdom </w:t>
      </w:r>
      <w:bookmarkEnd w:id="32"/>
    </w:p>
    <w:p w:rsidR="00CF3769" w:rsidRPr="00E70705" w:rsidRDefault="00CF3769" w:rsidP="00CF3769">
      <w:pPr>
        <w:rPr>
          <w:rFonts w:cs="Times New Roman"/>
          <w:noProof/>
          <w:szCs w:val="24"/>
          <w:lang w:val="en-GB"/>
        </w:rPr>
      </w:pPr>
      <w:r w:rsidRPr="00E70705">
        <w:rPr>
          <w:rFonts w:eastAsia="Times New Roman" w:cs="Times New Roman"/>
          <w:szCs w:val="24"/>
          <w:lang w:val="en-GB"/>
        </w:rPr>
        <w:t xml:space="preserve">Similarly to the above examples, the Department for Work and Pensions has been designated the ESF Managing Authority in England; it manages the Operational Programme for England at the national level and coordinates the work with the European Commission in Brussels. The Operational Programme in the programming period (2007–2013) is worth GBP 5 billion, one half of which is provided by the EU. </w:t>
      </w:r>
    </w:p>
    <w:p w:rsidR="008E764F" w:rsidRPr="00E70705" w:rsidRDefault="00CF3769" w:rsidP="00CF3769">
      <w:pPr>
        <w:rPr>
          <w:szCs w:val="24"/>
        </w:rPr>
      </w:pPr>
      <w:r w:rsidRPr="00E70705">
        <w:rPr>
          <w:rFonts w:eastAsia="Times New Roman" w:cs="Times New Roman"/>
          <w:szCs w:val="24"/>
          <w:lang w:val="en-GB"/>
        </w:rPr>
        <w:t xml:space="preserve">The Department for Work and Pensions has delegated certain Operational Programme implementation tasks to the </w:t>
      </w:r>
      <w:r w:rsidRPr="00E70705">
        <w:rPr>
          <w:rFonts w:eastAsia="Times New Roman" w:cs="Times New Roman"/>
          <w:b/>
          <w:i/>
          <w:szCs w:val="24"/>
          <w:lang w:val="en-GB"/>
        </w:rPr>
        <w:t>Skills Funding Agency</w:t>
      </w:r>
      <w:r w:rsidRPr="00E70705">
        <w:rPr>
          <w:rFonts w:eastAsia="Times New Roman" w:cs="Times New Roman"/>
          <w:szCs w:val="24"/>
          <w:lang w:val="en-GB"/>
        </w:rPr>
        <w:t xml:space="preserve"> (the value of the measures implemented by it totals approximately GBP 680 million) and the </w:t>
      </w:r>
      <w:r w:rsidRPr="00E70705">
        <w:rPr>
          <w:rFonts w:eastAsia="Times New Roman" w:cs="Times New Roman"/>
          <w:b/>
          <w:i/>
          <w:szCs w:val="24"/>
          <w:lang w:val="en-GB"/>
        </w:rPr>
        <w:t>National Offender Management Service</w:t>
      </w:r>
      <w:r w:rsidRPr="00E70705">
        <w:rPr>
          <w:rFonts w:eastAsia="Times New Roman" w:cs="Times New Roman"/>
          <w:szCs w:val="24"/>
          <w:lang w:val="en-GB"/>
        </w:rPr>
        <w:t xml:space="preserve"> (for the activity to develop the employability and skills of offenders and ex-offenders, worth a total of GBP 90 million).</w:t>
      </w:r>
      <w:r w:rsidR="008E764F" w:rsidRPr="00E70705">
        <w:rPr>
          <w:szCs w:val="24"/>
          <w:lang w:val="sr-Cyrl-RS"/>
        </w:rPr>
        <w:t xml:space="preserve"> </w:t>
      </w:r>
    </w:p>
    <w:p w:rsidR="00182D71" w:rsidRDefault="00182D71" w:rsidP="00E70705">
      <w:pPr>
        <w:pStyle w:val="Heading3"/>
        <w:tabs>
          <w:tab w:val="left" w:pos="2964"/>
        </w:tabs>
        <w:rPr>
          <w:szCs w:val="24"/>
          <w:lang w:val="en-GB"/>
        </w:rPr>
      </w:pPr>
      <w:bookmarkStart w:id="33" w:name="_Toc353200777"/>
    </w:p>
    <w:p w:rsidR="00DB2113" w:rsidRPr="00182D71" w:rsidRDefault="008E764F" w:rsidP="00182D71">
      <w:pPr>
        <w:pStyle w:val="Heading3"/>
      </w:pPr>
      <w:r w:rsidRPr="00182D71">
        <w:t>3</w:t>
      </w:r>
      <w:r w:rsidR="00DB2113" w:rsidRPr="00182D71">
        <w:t>.4.</w:t>
      </w:r>
      <w:r w:rsidRPr="00182D71">
        <w:t>5</w:t>
      </w:r>
      <w:r w:rsidR="00DB2113" w:rsidRPr="00182D71">
        <w:t>. Croatia</w:t>
      </w:r>
      <w:bookmarkEnd w:id="33"/>
      <w:r w:rsidR="00A07B29" w:rsidRPr="00182D71">
        <w:tab/>
      </w:r>
    </w:p>
    <w:p w:rsidR="00CF3769" w:rsidRPr="00E70705" w:rsidRDefault="00CF3769" w:rsidP="00CF3769">
      <w:pPr>
        <w:pStyle w:val="CommentText"/>
        <w:spacing w:line="276" w:lineRule="auto"/>
        <w:rPr>
          <w:rFonts w:cs="Times New Roman"/>
          <w:sz w:val="24"/>
          <w:szCs w:val="24"/>
          <w:lang w:val="en-GB"/>
        </w:rPr>
      </w:pPr>
      <w:r w:rsidRPr="00E70705">
        <w:rPr>
          <w:rFonts w:eastAsia="Times New Roman" w:cs="Times New Roman"/>
          <w:sz w:val="24"/>
          <w:szCs w:val="24"/>
          <w:lang w:val="en-GB"/>
        </w:rPr>
        <w:t>The organisation of the decentralised implementation system for the management of EU funds in the Republic of Croatia is often cited as an example of good practice in managing pre-accession funds. The Republic of Croatia, which has implemented pre-accession assistance in a decentralised manner since early 2006, has several contracting authorities within operating structures since, during the implementation of pre-IPA programmes, it was concluded that a single central contracting authority could not have sufficient administrative, technical and professional capacities and a sufficient number of qualified staff to contract and monitor the implementation of all approved projects and operations covered by operational programmes.</w:t>
      </w:r>
    </w:p>
    <w:p w:rsidR="00CF3769" w:rsidRPr="00E70705" w:rsidRDefault="00CF3769" w:rsidP="00CF3769">
      <w:pPr>
        <w:rPr>
          <w:rFonts w:cs="Times New Roman"/>
          <w:szCs w:val="24"/>
          <w:lang w:val="en-GB"/>
        </w:rPr>
      </w:pPr>
      <w:r w:rsidRPr="00E70705">
        <w:rPr>
          <w:rFonts w:eastAsia="Times New Roman" w:cs="Times New Roman"/>
          <w:szCs w:val="24"/>
          <w:lang w:val="en-GB"/>
        </w:rPr>
        <w:t>Further decentralisation of EU programmes/projects implementation through delegation of powers for contracting operational programmes' priorities and measures to specialised implementing bodies has contributed to strengthening institutional capacities of the national structures to absorb the available EU funds.</w:t>
      </w:r>
    </w:p>
    <w:p w:rsidR="00CF3769" w:rsidRPr="00E70705" w:rsidRDefault="00CF3769" w:rsidP="00CF3769">
      <w:pPr>
        <w:pStyle w:val="CommentText"/>
        <w:spacing w:line="276" w:lineRule="auto"/>
        <w:rPr>
          <w:rFonts w:cs="Times New Roman"/>
          <w:color w:val="FF0000"/>
          <w:sz w:val="24"/>
          <w:szCs w:val="24"/>
          <w:lang w:val="en-GB"/>
        </w:rPr>
      </w:pPr>
      <w:r w:rsidRPr="00E70705">
        <w:rPr>
          <w:rFonts w:eastAsia="Times New Roman" w:cs="Times New Roman"/>
          <w:sz w:val="24"/>
          <w:szCs w:val="24"/>
          <w:lang w:val="en-GB"/>
        </w:rPr>
        <w:t>In the Republic of Croatia, there are currently several accredited bodies that have been delegated powers for contracting and implementing programmes within the Instrument for Pre-accession Assistance (IPA). The responsibilities have been divided with a view to facilitating more efficient preparation of high-quality tendering documentation for conducting public procurement procedures, contracting projects with the best bidders as assessed by the relevant representatives of the professional field concerned and in conformity with the Practical Guide to Contract Procedures for EU External Actions (PRAG), and subsequently also managing the contracted projects in conformity with the said Guide and best professional practices. The Central Finance and Contracting Agency, with about 120 staff, is responsible for contracting and implementing IPA component I, priorities 2 and 3 from the Transportation Operational Programme, technical assistance within the Environmental Operational Programme and the Regional Competitiveness Operational Programme, whereas contracting for other priorities within the operational programmes for IPA components II, III and IV has been delegated to other agencies and institutions with appropriate professional and administrative capacities to discharge these affairs.</w:t>
      </w:r>
    </w:p>
    <w:p w:rsidR="00CF3769" w:rsidRPr="00E70705" w:rsidRDefault="00CF3769" w:rsidP="00CF3769">
      <w:pPr>
        <w:rPr>
          <w:rFonts w:cs="Times New Roman"/>
          <w:szCs w:val="24"/>
          <w:lang w:val="en-GB"/>
        </w:rPr>
      </w:pPr>
      <w:r w:rsidRPr="00E70705">
        <w:rPr>
          <w:rFonts w:eastAsia="Times New Roman" w:cs="Times New Roman"/>
          <w:szCs w:val="24"/>
          <w:lang w:val="en-GB"/>
        </w:rPr>
        <w:t>The division of competences for contracting and implementing the first four components of the Instrument for Pre-accession Assistance in the Republic of Croatia in the period 2007–2012 is shown in figure 2.</w:t>
      </w:r>
    </w:p>
    <w:p w:rsidR="008E764F" w:rsidRPr="004D067E" w:rsidRDefault="00AB3FAF" w:rsidP="008E764F">
      <w:pPr>
        <w:spacing w:after="0"/>
        <w:rPr>
          <w:sz w:val="22"/>
          <w:lang w:val="sr-Cyrl-CS"/>
        </w:rPr>
      </w:pPr>
      <w:r>
        <w:object w:dxaOrig="14177" w:dyaOrig="9939">
          <v:shape id="_x0000_i1026" type="#_x0000_t75" style="width:473pt;height:341.6pt" o:ole="">
            <v:imagedata r:id="rId15" o:title=""/>
          </v:shape>
          <o:OLEObject Type="Embed" ProgID="Visio.Drawing.11" ShapeID="_x0000_i1026" DrawAspect="Content" ObjectID="_1427888884" r:id="rId16"/>
        </w:object>
      </w:r>
    </w:p>
    <w:p w:rsidR="00AB3FAF" w:rsidRPr="00182D71" w:rsidRDefault="00AB3FAF" w:rsidP="00DB2113">
      <w:pPr>
        <w:spacing w:after="0"/>
        <w:rPr>
          <w:rFonts w:eastAsia="Times New Roman" w:cs="Times New Roman"/>
          <w:sz w:val="22"/>
          <w:lang w:val="en-GB"/>
        </w:rPr>
      </w:pPr>
      <w:r w:rsidRPr="00182D71">
        <w:rPr>
          <w:rFonts w:eastAsia="Times New Roman" w:cs="Times New Roman"/>
          <w:b/>
          <w:sz w:val="22"/>
          <w:lang w:val="en-GB"/>
        </w:rPr>
        <w:t>Figure 2:</w:t>
      </w:r>
      <w:r w:rsidRPr="00182D71">
        <w:rPr>
          <w:rFonts w:eastAsia="Times New Roman" w:cs="Times New Roman"/>
          <w:sz w:val="22"/>
          <w:lang w:val="en-GB"/>
        </w:rPr>
        <w:t xml:space="preserve"> The division of competences for contracting and implementing the first four components of the Instrument for Pre-accession Assistance in the Republic of Croatia in the period 2007–2012</w:t>
      </w:r>
    </w:p>
    <w:p w:rsidR="00DB2113" w:rsidRDefault="00DB2113" w:rsidP="00DB2113">
      <w:pPr>
        <w:spacing w:after="0"/>
        <w:rPr>
          <w:rFonts w:cs="Times New Roman"/>
          <w:szCs w:val="24"/>
          <w:lang w:val="en-GB"/>
        </w:rPr>
      </w:pPr>
      <w:r w:rsidRPr="005B5F57">
        <w:rPr>
          <w:rFonts w:cs="Times New Roman"/>
          <w:szCs w:val="24"/>
          <w:lang w:val="en-GB"/>
        </w:rPr>
        <w:t>The allocation from the IPA component IV for the Operational Programme “Human Resources Development” totals 69.97 ml</w:t>
      </w:r>
      <w:r w:rsidR="00E166E1">
        <w:rPr>
          <w:rFonts w:cs="Times New Roman"/>
          <w:szCs w:val="24"/>
          <w:lang w:val="en-GB"/>
        </w:rPr>
        <w:t>n</w:t>
      </w:r>
      <w:r w:rsidRPr="005B5F57">
        <w:rPr>
          <w:rFonts w:cs="Times New Roman"/>
          <w:szCs w:val="24"/>
          <w:lang w:val="en-GB"/>
        </w:rPr>
        <w:t xml:space="preserve"> EUR for the programming period (2007-201</w:t>
      </w:r>
      <w:r>
        <w:rPr>
          <w:rFonts w:cs="Times New Roman"/>
          <w:szCs w:val="24"/>
        </w:rPr>
        <w:t>3</w:t>
      </w:r>
      <w:r w:rsidRPr="005B5F57">
        <w:rPr>
          <w:rFonts w:cs="Times New Roman"/>
          <w:szCs w:val="24"/>
          <w:lang w:val="en-GB"/>
        </w:rPr>
        <w:t xml:space="preserve">). The State Secretary from the Ministry of Economy, Labour and Entrepreneurship is head of the Operating Structure. There are two </w:t>
      </w:r>
      <w:r>
        <w:rPr>
          <w:rFonts w:cs="Times New Roman"/>
          <w:szCs w:val="24"/>
          <w:lang w:val="en-GB"/>
        </w:rPr>
        <w:t>Intermediate</w:t>
      </w:r>
      <w:r w:rsidRPr="005B5F57">
        <w:rPr>
          <w:rFonts w:cs="Times New Roman"/>
          <w:szCs w:val="24"/>
          <w:lang w:val="en-GB"/>
        </w:rPr>
        <w:t xml:space="preserve"> bodies for the purposes of the OP.</w:t>
      </w:r>
    </w:p>
    <w:p w:rsidR="00D5220A" w:rsidRPr="005B5F57" w:rsidRDefault="00D5220A" w:rsidP="00DB2113">
      <w:pPr>
        <w:spacing w:after="0"/>
        <w:rPr>
          <w:rFonts w:cs="Times New Roman"/>
          <w:szCs w:val="24"/>
          <w:lang w:val="en-GB"/>
        </w:rPr>
      </w:pPr>
    </w:p>
    <w:tbl>
      <w:tblPr>
        <w:tblStyle w:val="TableGrid"/>
        <w:tblW w:w="0" w:type="auto"/>
        <w:tblLook w:val="04A0" w:firstRow="1" w:lastRow="0" w:firstColumn="1" w:lastColumn="0" w:noHBand="0" w:noVBand="1"/>
      </w:tblPr>
      <w:tblGrid>
        <w:gridCol w:w="5203"/>
        <w:gridCol w:w="4040"/>
      </w:tblGrid>
      <w:tr w:rsidR="00DB2113" w:rsidRPr="005B5F57" w:rsidTr="00DB2113">
        <w:trPr>
          <w:trHeight w:val="296"/>
        </w:trPr>
        <w:tc>
          <w:tcPr>
            <w:tcW w:w="5203" w:type="dxa"/>
          </w:tcPr>
          <w:p w:rsidR="00DB2113" w:rsidRPr="005B5F57" w:rsidRDefault="00DB2113" w:rsidP="00360BA6">
            <w:pPr>
              <w:spacing w:before="0" w:after="0" w:line="276" w:lineRule="auto"/>
              <w:jc w:val="center"/>
              <w:rPr>
                <w:rFonts w:cs="Times New Roman"/>
                <w:szCs w:val="24"/>
                <w:lang w:val="en-GB"/>
              </w:rPr>
            </w:pPr>
            <w:r w:rsidRPr="005B5F57">
              <w:rPr>
                <w:rFonts w:cs="Times New Roman"/>
                <w:szCs w:val="24"/>
                <w:lang w:val="en-GB"/>
              </w:rPr>
              <w:t>OP  Human Resources Development</w:t>
            </w:r>
            <w:r w:rsidR="001C32D9">
              <w:rPr>
                <w:rStyle w:val="FootnoteReference"/>
                <w:rFonts w:cs="Times New Roman"/>
                <w:szCs w:val="24"/>
                <w:lang w:val="en-GB"/>
              </w:rPr>
              <w:footnoteReference w:id="34"/>
            </w:r>
          </w:p>
        </w:tc>
        <w:tc>
          <w:tcPr>
            <w:tcW w:w="4040" w:type="dxa"/>
          </w:tcPr>
          <w:p w:rsidR="00DB2113" w:rsidRPr="005B5F57" w:rsidRDefault="00E70705" w:rsidP="00360BA6">
            <w:pPr>
              <w:spacing w:before="0" w:after="0" w:line="276" w:lineRule="auto"/>
              <w:jc w:val="center"/>
              <w:rPr>
                <w:rFonts w:cs="Times New Roman"/>
                <w:szCs w:val="24"/>
                <w:lang w:val="en-GB"/>
              </w:rPr>
            </w:pPr>
            <w:r>
              <w:rPr>
                <w:rFonts w:cs="Times New Roman"/>
                <w:szCs w:val="24"/>
                <w:lang w:val="en-GB"/>
              </w:rPr>
              <w:t>Contracting</w:t>
            </w:r>
            <w:r w:rsidR="00DB2113" w:rsidRPr="005B5F57">
              <w:rPr>
                <w:rFonts w:cs="Times New Roman"/>
                <w:szCs w:val="24"/>
                <w:lang w:val="en-GB"/>
              </w:rPr>
              <w:t xml:space="preserve"> Body</w:t>
            </w:r>
          </w:p>
        </w:tc>
      </w:tr>
      <w:tr w:rsidR="00DB2113" w:rsidRPr="005B5F57" w:rsidTr="00DB2113">
        <w:trPr>
          <w:trHeight w:val="430"/>
        </w:trPr>
        <w:tc>
          <w:tcPr>
            <w:tcW w:w="5203" w:type="dxa"/>
          </w:tcPr>
          <w:p w:rsidR="00DB2113" w:rsidRPr="005B5F57" w:rsidRDefault="00DB2113" w:rsidP="00360BA6">
            <w:pPr>
              <w:spacing w:before="0" w:after="0"/>
              <w:rPr>
                <w:rFonts w:cs="Times New Roman"/>
                <w:b/>
                <w:szCs w:val="24"/>
                <w:lang w:val="en-GB"/>
              </w:rPr>
            </w:pPr>
            <w:r w:rsidRPr="005B5F57">
              <w:rPr>
                <w:rFonts w:cs="Times New Roman"/>
                <w:b/>
                <w:szCs w:val="24"/>
                <w:lang w:val="en-GB"/>
              </w:rPr>
              <w:t>Priority axis: “Enhancing access to employment and sustainable inclusion in the labour market”</w:t>
            </w:r>
          </w:p>
          <w:p w:rsidR="00DB2113" w:rsidRPr="005B5F57" w:rsidRDefault="00DB2113" w:rsidP="00360BA6">
            <w:pPr>
              <w:spacing w:before="0" w:after="0"/>
              <w:rPr>
                <w:rFonts w:cs="Times New Roman"/>
                <w:i/>
                <w:szCs w:val="24"/>
                <w:lang w:val="en-GB"/>
              </w:rPr>
            </w:pPr>
            <w:r w:rsidRPr="005B5F57">
              <w:rPr>
                <w:rFonts w:cs="Times New Roman"/>
                <w:i/>
                <w:szCs w:val="24"/>
                <w:lang w:val="en-GB"/>
              </w:rPr>
              <w:t>Measures</w:t>
            </w:r>
          </w:p>
          <w:p w:rsidR="00DB2113" w:rsidRPr="005B5F57" w:rsidRDefault="00DB2113" w:rsidP="00351681">
            <w:pPr>
              <w:pStyle w:val="ListParagraph"/>
              <w:numPr>
                <w:ilvl w:val="0"/>
                <w:numId w:val="15"/>
              </w:numPr>
              <w:autoSpaceDE w:val="0"/>
              <w:autoSpaceDN w:val="0"/>
              <w:adjustRightInd w:val="0"/>
              <w:spacing w:before="0" w:after="0"/>
              <w:rPr>
                <w:rFonts w:cs="Times New Roman"/>
                <w:szCs w:val="24"/>
                <w:lang w:val="en-GB"/>
              </w:rPr>
            </w:pPr>
            <w:r w:rsidRPr="005B5F57">
              <w:rPr>
                <w:rFonts w:cs="Times New Roman"/>
                <w:szCs w:val="24"/>
                <w:lang w:val="en-GB"/>
              </w:rPr>
              <w:t>Supporting the design and implementation of active and preventative labour market policy</w:t>
            </w:r>
          </w:p>
          <w:p w:rsidR="00DB2113" w:rsidRPr="005B5F57" w:rsidRDefault="00DB2113" w:rsidP="00351681">
            <w:pPr>
              <w:pStyle w:val="ListParagraph"/>
              <w:numPr>
                <w:ilvl w:val="0"/>
                <w:numId w:val="15"/>
              </w:numPr>
              <w:autoSpaceDE w:val="0"/>
              <w:autoSpaceDN w:val="0"/>
              <w:adjustRightInd w:val="0"/>
              <w:spacing w:before="0" w:after="0"/>
              <w:rPr>
                <w:rFonts w:cs="Times New Roman"/>
                <w:szCs w:val="24"/>
                <w:lang w:val="en-GB"/>
              </w:rPr>
            </w:pPr>
            <w:r w:rsidRPr="005B5F57">
              <w:rPr>
                <w:rFonts w:cs="Times New Roman"/>
                <w:szCs w:val="24"/>
                <w:lang w:val="en-GB"/>
              </w:rPr>
              <w:t>Supporting the effectiveness and quality of Croatia's public employment services</w:t>
            </w:r>
          </w:p>
          <w:p w:rsidR="00DB2113" w:rsidRPr="005B5F57" w:rsidRDefault="00DB2113" w:rsidP="00360BA6">
            <w:pPr>
              <w:pStyle w:val="ListParagraph"/>
              <w:autoSpaceDE w:val="0"/>
              <w:autoSpaceDN w:val="0"/>
              <w:adjustRightInd w:val="0"/>
              <w:spacing w:before="0" w:after="0"/>
              <w:rPr>
                <w:rFonts w:cs="Times New Roman"/>
                <w:szCs w:val="24"/>
                <w:lang w:val="en-GB"/>
              </w:rPr>
            </w:pPr>
          </w:p>
        </w:tc>
        <w:tc>
          <w:tcPr>
            <w:tcW w:w="4040" w:type="dxa"/>
          </w:tcPr>
          <w:p w:rsidR="00DB2113" w:rsidRPr="005B5F57" w:rsidRDefault="00DB2113" w:rsidP="00360BA6">
            <w:pPr>
              <w:spacing w:before="0" w:after="0" w:line="276" w:lineRule="auto"/>
              <w:jc w:val="center"/>
              <w:rPr>
                <w:rFonts w:cs="Times New Roman"/>
                <w:b/>
                <w:szCs w:val="24"/>
                <w:lang w:val="en-GB"/>
              </w:rPr>
            </w:pPr>
            <w:r w:rsidRPr="005B5F57">
              <w:rPr>
                <w:rFonts w:cs="Times New Roman"/>
                <w:b/>
                <w:szCs w:val="24"/>
                <w:lang w:val="en-GB"/>
              </w:rPr>
              <w:t>Croatian Employment service (CES)</w:t>
            </w:r>
          </w:p>
        </w:tc>
      </w:tr>
      <w:tr w:rsidR="00DB2113" w:rsidRPr="005B5F57" w:rsidTr="00DB2113">
        <w:trPr>
          <w:trHeight w:val="430"/>
        </w:trPr>
        <w:tc>
          <w:tcPr>
            <w:tcW w:w="5203" w:type="dxa"/>
          </w:tcPr>
          <w:p w:rsidR="00DB2113" w:rsidRPr="005B5F57" w:rsidRDefault="00DB2113" w:rsidP="00360BA6">
            <w:pPr>
              <w:spacing w:before="0" w:after="0"/>
              <w:rPr>
                <w:rFonts w:cs="Times New Roman"/>
                <w:b/>
                <w:szCs w:val="24"/>
                <w:lang w:val="en-GB"/>
              </w:rPr>
            </w:pPr>
            <w:r w:rsidRPr="005B5F57">
              <w:rPr>
                <w:rFonts w:cs="Times New Roman"/>
                <w:b/>
                <w:szCs w:val="24"/>
                <w:lang w:val="en-GB"/>
              </w:rPr>
              <w:t>Priority axis: “Reinforcing social inclusion and integration of people at a disadvantage”</w:t>
            </w:r>
          </w:p>
          <w:p w:rsidR="00DB2113" w:rsidRPr="005B5F57" w:rsidRDefault="00DB2113" w:rsidP="00360BA6">
            <w:pPr>
              <w:spacing w:before="0" w:after="0"/>
              <w:rPr>
                <w:rFonts w:cs="Times New Roman"/>
                <w:i/>
                <w:szCs w:val="24"/>
                <w:lang w:val="en-GB"/>
              </w:rPr>
            </w:pPr>
            <w:r w:rsidRPr="005B5F57">
              <w:rPr>
                <w:rFonts w:cs="Times New Roman"/>
                <w:i/>
                <w:szCs w:val="24"/>
                <w:lang w:val="en-GB"/>
              </w:rPr>
              <w:t>Measures</w:t>
            </w:r>
          </w:p>
          <w:p w:rsidR="00DB2113" w:rsidRPr="005B5F57" w:rsidRDefault="00DB2113" w:rsidP="00351681">
            <w:pPr>
              <w:pStyle w:val="ListParagraph"/>
              <w:numPr>
                <w:ilvl w:val="0"/>
                <w:numId w:val="16"/>
              </w:numPr>
              <w:spacing w:before="0" w:after="0"/>
              <w:rPr>
                <w:rFonts w:cs="Times New Roman"/>
                <w:szCs w:val="24"/>
                <w:lang w:val="en-GB"/>
              </w:rPr>
            </w:pPr>
            <w:r w:rsidRPr="005B5F57">
              <w:rPr>
                <w:rFonts w:cs="Times New Roman"/>
                <w:szCs w:val="24"/>
                <w:lang w:val="en-GB"/>
              </w:rPr>
              <w:t>Supporting access to employment by disadvantaged groups</w:t>
            </w:r>
          </w:p>
          <w:p w:rsidR="00DB2113" w:rsidRPr="005B5F57" w:rsidRDefault="00DB2113" w:rsidP="00351681">
            <w:pPr>
              <w:pStyle w:val="ListParagraph"/>
              <w:numPr>
                <w:ilvl w:val="0"/>
                <w:numId w:val="16"/>
              </w:numPr>
              <w:spacing w:before="0" w:after="0"/>
              <w:rPr>
                <w:rFonts w:cs="Times New Roman"/>
                <w:szCs w:val="24"/>
                <w:lang w:val="en-GB"/>
              </w:rPr>
            </w:pPr>
            <w:r w:rsidRPr="005B5F57">
              <w:rPr>
                <w:rFonts w:cs="Times New Roman"/>
                <w:szCs w:val="24"/>
                <w:lang w:val="en-GB"/>
              </w:rPr>
              <w:t>Supporting access to education by disadvantaged groups</w:t>
            </w:r>
          </w:p>
          <w:p w:rsidR="00DB2113" w:rsidRPr="005B5F57" w:rsidRDefault="00DB2113" w:rsidP="00360BA6">
            <w:pPr>
              <w:pStyle w:val="ListParagraph"/>
              <w:spacing w:before="0" w:after="0"/>
              <w:rPr>
                <w:rFonts w:cs="Times New Roman"/>
                <w:szCs w:val="24"/>
                <w:lang w:val="en-GB"/>
              </w:rPr>
            </w:pPr>
          </w:p>
        </w:tc>
        <w:tc>
          <w:tcPr>
            <w:tcW w:w="4040" w:type="dxa"/>
          </w:tcPr>
          <w:p w:rsidR="00DB2113" w:rsidRPr="005B5F57" w:rsidRDefault="00DB2113" w:rsidP="00360BA6">
            <w:pPr>
              <w:spacing w:before="0" w:after="0" w:line="276" w:lineRule="auto"/>
              <w:jc w:val="center"/>
              <w:rPr>
                <w:rFonts w:cs="Times New Roman"/>
                <w:b/>
                <w:szCs w:val="24"/>
                <w:lang w:val="en-GB"/>
              </w:rPr>
            </w:pPr>
            <w:r w:rsidRPr="005B5F57">
              <w:rPr>
                <w:rFonts w:cs="Times New Roman"/>
                <w:b/>
                <w:szCs w:val="24"/>
                <w:lang w:val="en-GB"/>
              </w:rPr>
              <w:t>Croatian Employment service (CES)</w:t>
            </w:r>
          </w:p>
          <w:p w:rsidR="00DB2113" w:rsidRPr="00EB0373" w:rsidRDefault="00DB2113" w:rsidP="00360BA6">
            <w:pPr>
              <w:spacing w:before="0" w:after="0" w:line="276" w:lineRule="auto"/>
              <w:jc w:val="center"/>
              <w:rPr>
                <w:rFonts w:cs="Times New Roman"/>
                <w:b/>
                <w:szCs w:val="24"/>
                <w:lang w:val="en-GB"/>
              </w:rPr>
            </w:pPr>
            <w:r w:rsidRPr="00EB0373">
              <w:rPr>
                <w:rFonts w:cs="Times New Roman"/>
                <w:b/>
                <w:szCs w:val="24"/>
                <w:lang w:val="en-GB"/>
              </w:rPr>
              <w:t>Agency for Vocational Education and Training (AVET)</w:t>
            </w:r>
          </w:p>
        </w:tc>
      </w:tr>
      <w:tr w:rsidR="00DB2113" w:rsidRPr="005B5F57" w:rsidTr="00DB2113">
        <w:trPr>
          <w:trHeight w:val="430"/>
        </w:trPr>
        <w:tc>
          <w:tcPr>
            <w:tcW w:w="5203" w:type="dxa"/>
          </w:tcPr>
          <w:p w:rsidR="00DB2113" w:rsidRPr="005B5F57" w:rsidRDefault="00DB2113" w:rsidP="00360BA6">
            <w:pPr>
              <w:spacing w:before="0" w:after="0"/>
              <w:rPr>
                <w:rFonts w:cs="Times New Roman"/>
                <w:b/>
                <w:szCs w:val="24"/>
                <w:lang w:val="en-GB"/>
              </w:rPr>
            </w:pPr>
            <w:r w:rsidRPr="005B5F57">
              <w:rPr>
                <w:rFonts w:cs="Times New Roman"/>
                <w:b/>
                <w:szCs w:val="24"/>
                <w:lang w:val="en-GB"/>
              </w:rPr>
              <w:t>Priority axis: “Enhancing human capital and employability”</w:t>
            </w:r>
          </w:p>
          <w:p w:rsidR="00DB2113" w:rsidRPr="005B5F57" w:rsidRDefault="00DB2113" w:rsidP="00360BA6">
            <w:pPr>
              <w:spacing w:before="0" w:after="0"/>
              <w:rPr>
                <w:rFonts w:cs="Times New Roman"/>
                <w:i/>
                <w:szCs w:val="24"/>
                <w:lang w:val="en-GB"/>
              </w:rPr>
            </w:pPr>
            <w:r w:rsidRPr="005B5F57">
              <w:rPr>
                <w:rFonts w:cs="Times New Roman"/>
                <w:i/>
                <w:szCs w:val="24"/>
                <w:lang w:val="en-GB"/>
              </w:rPr>
              <w:t>Measures</w:t>
            </w:r>
          </w:p>
          <w:p w:rsidR="00DB2113" w:rsidRPr="005B5F57" w:rsidRDefault="00DB2113" w:rsidP="00351681">
            <w:pPr>
              <w:pStyle w:val="ListParagraph"/>
              <w:numPr>
                <w:ilvl w:val="0"/>
                <w:numId w:val="17"/>
              </w:numPr>
              <w:spacing w:before="0" w:after="0"/>
              <w:rPr>
                <w:rFonts w:cs="Times New Roman"/>
                <w:szCs w:val="24"/>
                <w:lang w:val="en-GB"/>
              </w:rPr>
            </w:pPr>
            <w:r w:rsidRPr="005B5F57">
              <w:rPr>
                <w:rFonts w:cs="Times New Roman"/>
                <w:szCs w:val="24"/>
                <w:lang w:val="en-GB"/>
              </w:rPr>
              <w:t>Further development of the Croatian Qualifications Framework</w:t>
            </w:r>
          </w:p>
          <w:p w:rsidR="00DB2113" w:rsidRPr="005B5F57" w:rsidRDefault="00DB2113" w:rsidP="00351681">
            <w:pPr>
              <w:pStyle w:val="ListParagraph"/>
              <w:numPr>
                <w:ilvl w:val="0"/>
                <w:numId w:val="17"/>
              </w:numPr>
              <w:spacing w:before="0" w:after="0" w:line="276" w:lineRule="auto"/>
              <w:rPr>
                <w:rFonts w:cs="Times New Roman"/>
                <w:szCs w:val="24"/>
                <w:lang w:val="en-GB"/>
              </w:rPr>
            </w:pPr>
            <w:r w:rsidRPr="005B5F57">
              <w:rPr>
                <w:rFonts w:cs="Times New Roman"/>
                <w:szCs w:val="24"/>
                <w:lang w:val="en-GB"/>
              </w:rPr>
              <w:t>Supporting the development of institutions and their partners responsible for the provision of vocational education and training, and adult education</w:t>
            </w:r>
          </w:p>
        </w:tc>
        <w:tc>
          <w:tcPr>
            <w:tcW w:w="4040" w:type="dxa"/>
          </w:tcPr>
          <w:p w:rsidR="00DB2113" w:rsidRPr="005B5F57" w:rsidRDefault="00DB2113" w:rsidP="00360BA6">
            <w:pPr>
              <w:spacing w:before="0" w:after="0" w:line="276" w:lineRule="auto"/>
              <w:jc w:val="center"/>
              <w:rPr>
                <w:rFonts w:cs="Times New Roman"/>
                <w:szCs w:val="24"/>
                <w:lang w:val="en-GB"/>
              </w:rPr>
            </w:pPr>
            <w:r w:rsidRPr="005B5F57">
              <w:rPr>
                <w:rFonts w:cs="Times New Roman"/>
                <w:b/>
                <w:szCs w:val="24"/>
                <w:lang w:val="en-GB"/>
              </w:rPr>
              <w:t>Agency for Vocational Education and Training (AVET</w:t>
            </w:r>
            <w:r w:rsidRPr="005B5F57">
              <w:rPr>
                <w:rFonts w:cs="Times New Roman"/>
                <w:szCs w:val="24"/>
                <w:lang w:val="en-GB"/>
              </w:rPr>
              <w:t>)</w:t>
            </w:r>
          </w:p>
        </w:tc>
      </w:tr>
    </w:tbl>
    <w:p w:rsidR="00DB2113" w:rsidRDefault="00DB2113" w:rsidP="00DB2113">
      <w:pPr>
        <w:rPr>
          <w:rFonts w:cs="Times New Roman"/>
          <w:b/>
          <w:szCs w:val="24"/>
          <w:lang w:val="en-GB"/>
        </w:rPr>
      </w:pPr>
    </w:p>
    <w:p w:rsidR="00CF3769" w:rsidRPr="00701D9F" w:rsidRDefault="00CF3769" w:rsidP="00CF3769">
      <w:pPr>
        <w:rPr>
          <w:rFonts w:cs="Times New Roman"/>
          <w:szCs w:val="24"/>
          <w:lang w:val="en-GB"/>
        </w:rPr>
      </w:pPr>
      <w:r w:rsidRPr="00701D9F">
        <w:rPr>
          <w:rFonts w:eastAsia="Times New Roman" w:cs="Times New Roman"/>
          <w:szCs w:val="24"/>
          <w:lang w:val="en-GB"/>
        </w:rPr>
        <w:t>By the Regulation on the Scope and Content of Responsibilities and the Authorisations of the Bodies Responsible for Management of the Instrument for Pre-accession Assistance</w:t>
      </w:r>
      <w:r w:rsidRPr="00701D9F">
        <w:rPr>
          <w:rStyle w:val="FootnoteReference"/>
          <w:rFonts w:cs="Times New Roman"/>
          <w:szCs w:val="24"/>
          <w:lang w:val="en-GB"/>
        </w:rPr>
        <w:footnoteReference w:id="35"/>
      </w:r>
      <w:r w:rsidRPr="00701D9F">
        <w:rPr>
          <w:rFonts w:eastAsia="Times New Roman" w:cs="Times New Roman"/>
          <w:szCs w:val="24"/>
          <w:lang w:val="en-GB"/>
        </w:rPr>
        <w:t xml:space="preserve">, the Government of the Republic of Croatia established the competences of the bodies for managing and implementing specific components, priorities and/or measures through which the EU pre-accession assistance is implemented. </w:t>
      </w:r>
    </w:p>
    <w:p w:rsidR="00CF3769" w:rsidRPr="00701D9F" w:rsidRDefault="00CF3769" w:rsidP="00CF3769">
      <w:pPr>
        <w:rPr>
          <w:rFonts w:cs="Times New Roman"/>
          <w:noProof/>
          <w:szCs w:val="24"/>
          <w:lang w:val="en-GB"/>
        </w:rPr>
      </w:pPr>
      <w:r w:rsidRPr="00701D9F">
        <w:rPr>
          <w:rFonts w:eastAsia="Times New Roman" w:cs="Times New Roman"/>
          <w:szCs w:val="24"/>
          <w:lang w:val="en-GB"/>
        </w:rPr>
        <w:t xml:space="preserve">In addition to the competences and a detailed description of tasks of the bodies within the Operating Structure for IPA component IV, article 15 of this Regulation also designates the Ministry of Economy, Labour and Entrepreneurship as the body responsible for managing and implementing the IPA Human Potentials Development Operational Programme; the unit in charge of preparing and implementing EU programmes and projects in the field of labour and the labour market within the same Ministry is the body responsible for priorities 1 and 4 of the Operational Programme; the Ministry of Health and Social Welfare is the body responsible for the management of measure 2.1; the Ministry of Science, Education and Sports is the body responsible for the management of measure 2.2 within priority 2 and also for the management of priority 3. </w:t>
      </w:r>
    </w:p>
    <w:p w:rsidR="008E764F" w:rsidRDefault="00CF3769" w:rsidP="00CF3769">
      <w:pPr>
        <w:rPr>
          <w:noProof/>
          <w:szCs w:val="24"/>
        </w:rPr>
      </w:pPr>
      <w:r w:rsidRPr="00701D9F">
        <w:rPr>
          <w:rFonts w:eastAsia="Times New Roman" w:cs="Times New Roman"/>
          <w:szCs w:val="24"/>
          <w:lang w:val="en-GB"/>
        </w:rPr>
        <w:t>Under the same article, the Croatian Employment Service is designated as the body responsible for the implementation and/or contracting of operations for the implementation of measures covered by priority 1, priority 4 and measure 2.1 within priority 2, while the Agency for Vocational Education and Training and Adult Education is designated as the body responsible for the implementation of measure 2.2 within priority 2 and priority 3 of the Human Potentials Development Operational Programme</w:t>
      </w:r>
      <w:r w:rsidR="008E764F" w:rsidRPr="00701D9F">
        <w:rPr>
          <w:noProof/>
          <w:szCs w:val="24"/>
          <w:lang w:val="sr-Cyrl-CS"/>
        </w:rPr>
        <w:t>.</w:t>
      </w:r>
    </w:p>
    <w:p w:rsidR="00182D71" w:rsidRDefault="00182D71" w:rsidP="00CF3769">
      <w:pPr>
        <w:rPr>
          <w:noProof/>
          <w:szCs w:val="24"/>
        </w:rPr>
      </w:pPr>
    </w:p>
    <w:p w:rsidR="00182D71" w:rsidRPr="00182D71" w:rsidRDefault="00182D71" w:rsidP="00CF3769">
      <w:pPr>
        <w:rPr>
          <w:noProof/>
          <w:szCs w:val="24"/>
        </w:rPr>
      </w:pPr>
    </w:p>
    <w:p w:rsidR="008E764F" w:rsidRPr="00701D9F" w:rsidRDefault="00CF3769" w:rsidP="00701D9F">
      <w:pPr>
        <w:pBdr>
          <w:top w:val="single" w:sz="4" w:space="1" w:color="auto"/>
          <w:left w:val="single" w:sz="4" w:space="4" w:color="auto"/>
          <w:bottom w:val="single" w:sz="4" w:space="1" w:color="auto"/>
          <w:right w:val="single" w:sz="4" w:space="4" w:color="auto"/>
        </w:pBdr>
        <w:rPr>
          <w:b/>
          <w:szCs w:val="24"/>
          <w:highlight w:val="yellow"/>
          <w:lang w:val="sr-Cyrl-CS"/>
        </w:rPr>
      </w:pPr>
      <w:r w:rsidRPr="00701D9F">
        <w:rPr>
          <w:rFonts w:eastAsia="Times New Roman" w:cs="Times New Roman"/>
          <w:b/>
          <w:szCs w:val="24"/>
          <w:lang w:val="en-GB"/>
        </w:rPr>
        <w:t xml:space="preserve">Box 5: </w:t>
      </w:r>
      <w:r w:rsidRPr="00E10D96">
        <w:rPr>
          <w:rFonts w:eastAsia="Times New Roman" w:cs="Times New Roman"/>
          <w:b/>
          <w:szCs w:val="24"/>
          <w:u w:val="single"/>
          <w:lang w:val="en-GB"/>
        </w:rPr>
        <w:t>Agency for Vocational Education and Training and Adult Education of the Republic of Croatia</w:t>
      </w:r>
    </w:p>
    <w:p w:rsidR="00CF3769" w:rsidRPr="00701D9F" w:rsidRDefault="00CF3769" w:rsidP="00701D9F">
      <w:pPr>
        <w:pBdr>
          <w:top w:val="single" w:sz="4" w:space="1" w:color="auto"/>
          <w:left w:val="single" w:sz="4" w:space="4" w:color="auto"/>
          <w:bottom w:val="single" w:sz="4" w:space="1" w:color="auto"/>
          <w:right w:val="single" w:sz="4" w:space="4" w:color="auto"/>
        </w:pBdr>
        <w:rPr>
          <w:rFonts w:cs="Times New Roman"/>
          <w:szCs w:val="24"/>
          <w:lang w:val="en-GB"/>
        </w:rPr>
      </w:pPr>
      <w:r w:rsidRPr="00701D9F">
        <w:rPr>
          <w:rFonts w:eastAsia="Times New Roman" w:cs="Times New Roman"/>
          <w:szCs w:val="24"/>
          <w:lang w:val="en-GB"/>
        </w:rPr>
        <w:t xml:space="preserve">The Agency for Vocational Education and Training and Adult Education (AVETAE) was established under the Act on the Agency for Vocational Education and Training and Adult Education and its purview includes planning, development, organisation, implementation, monitoring and advancement of the vocational and adult education system. As one of the central bodies in charge of the education sector in the Republic of Croatia, the AVETAE endeavours to develop an education and qualification system based on competences and learning outcomes, to align the education sector with the labour market needs and to build a vocational education system that will facilitate life-long learning and mobility. </w:t>
      </w:r>
    </w:p>
    <w:p w:rsidR="008E764F" w:rsidRPr="008A5061" w:rsidRDefault="00CF3769" w:rsidP="00701D9F">
      <w:pPr>
        <w:pBdr>
          <w:top w:val="single" w:sz="4" w:space="1" w:color="auto"/>
          <w:left w:val="single" w:sz="4" w:space="4" w:color="auto"/>
          <w:bottom w:val="single" w:sz="4" w:space="1" w:color="auto"/>
          <w:right w:val="single" w:sz="4" w:space="4" w:color="auto"/>
        </w:pBdr>
        <w:rPr>
          <w:szCs w:val="24"/>
          <w:highlight w:val="yellow"/>
          <w:lang w:val="sr-Cyrl-CS"/>
        </w:rPr>
      </w:pPr>
      <w:r w:rsidRPr="00701D9F">
        <w:rPr>
          <w:rFonts w:eastAsia="Times New Roman" w:cs="Times New Roman"/>
          <w:szCs w:val="24"/>
          <w:lang w:val="en-GB"/>
        </w:rPr>
        <w:t xml:space="preserve">In view of the scope of professional tasks under the competence of the AVETAE, the professional capacities of its staff and the years of experience and knowledge of educational issues, the EU requirements in terms of education system reform and the need to align and implement policies in the sphere of education and vocational training, the Agency has been included in the Operational Structure for IPA component III – Human Resources Development, in the preparatory stage for obtaining the accreditation for managing the Instrument for Pre-accession Assistance in Croatia. The </w:t>
      </w:r>
      <w:r w:rsidRPr="00701D9F">
        <w:rPr>
          <w:rFonts w:eastAsia="Times New Roman" w:cs="Times New Roman"/>
          <w:b/>
          <w:szCs w:val="24"/>
          <w:lang w:val="en-GB"/>
        </w:rPr>
        <w:t>Department for Financing and Contracting of IPA Programmes</w:t>
      </w:r>
      <w:r w:rsidRPr="00701D9F">
        <w:rPr>
          <w:rFonts w:eastAsia="Times New Roman" w:cs="Times New Roman"/>
          <w:szCs w:val="24"/>
          <w:lang w:val="en-GB"/>
        </w:rPr>
        <w:t xml:space="preserve"> was established in 2007 as a separate organisational unit within the Agency, which assumed the function previously performed by the present Central Finance and Contracting Agency. By taking over the competence for preparing and conducing tender procedures, assessing submitted proposals, contracting, monitoring and reporting on project implementation and effecting payments, the Agency assumed the position of the Implementing Body or Contracting Authority for measure 2.2 within priority 2 and for priority 3 of the Human Potentials Development Operational Programme in the period 2007–2009. The funding contracted by the Agency in this period totalled slightly more than </w:t>
      </w:r>
      <w:r w:rsidRPr="00701D9F">
        <w:rPr>
          <w:rFonts w:eastAsia="Times New Roman" w:cs="Times New Roman"/>
          <w:b/>
          <w:i/>
          <w:szCs w:val="24"/>
          <w:lang w:val="en-GB"/>
        </w:rPr>
        <w:t>EUR 21 million</w:t>
      </w:r>
      <w:r w:rsidRPr="00701D9F">
        <w:rPr>
          <w:rFonts w:eastAsia="Times New Roman" w:cs="Times New Roman"/>
          <w:szCs w:val="24"/>
          <w:lang w:val="en-GB"/>
        </w:rPr>
        <w:t xml:space="preserve"> (including the national contribution) and was intended for strengthening social inclusion of persons belonging to vulnerable groups, in particular access to education for persons in disadvantaged situations, as well as strengthening human capital and employability. The work within the Department is organised in four lower organisational units – divisions, which, in line with the principle of division of tasks and responsibilities, carry out all professional work of the Contracting Authority in the decentralised implementation system for managing EU funds</w:t>
      </w:r>
      <w:r w:rsidR="008E764F" w:rsidRPr="00AB3FAF">
        <w:rPr>
          <w:szCs w:val="24"/>
          <w:lang w:val="sr-Cyrl-CS"/>
        </w:rPr>
        <w:t>.</w:t>
      </w:r>
      <w:r w:rsidR="008E764F" w:rsidRPr="00AB3FAF">
        <w:rPr>
          <w:szCs w:val="24"/>
          <w:highlight w:val="green"/>
          <w:lang w:val="sr-Cyrl-CS"/>
        </w:rPr>
        <w:t xml:space="preserve"> </w:t>
      </w:r>
    </w:p>
    <w:p w:rsidR="00CF3769" w:rsidRPr="00701D9F" w:rsidRDefault="00CF3769" w:rsidP="00701D9F">
      <w:pPr>
        <w:pBdr>
          <w:top w:val="single" w:sz="4" w:space="1" w:color="auto"/>
          <w:left w:val="single" w:sz="4" w:space="4" w:color="auto"/>
          <w:bottom w:val="single" w:sz="4" w:space="1" w:color="auto"/>
          <w:right w:val="single" w:sz="4" w:space="4" w:color="auto"/>
        </w:pBdr>
        <w:rPr>
          <w:rFonts w:cs="Times New Roman"/>
          <w:b/>
          <w:szCs w:val="24"/>
          <w:lang w:val="en-GB"/>
        </w:rPr>
      </w:pPr>
      <w:r w:rsidRPr="00701D9F">
        <w:rPr>
          <w:rFonts w:eastAsia="Times New Roman" w:cs="Times New Roman"/>
          <w:szCs w:val="24"/>
          <w:lang w:val="en-GB"/>
        </w:rPr>
        <w:t xml:space="preserve">The Agency is currently implementing </w:t>
      </w:r>
      <w:r w:rsidRPr="00701D9F">
        <w:rPr>
          <w:rFonts w:eastAsia="Times New Roman" w:cs="Times New Roman"/>
          <w:b/>
          <w:i/>
          <w:szCs w:val="24"/>
          <w:lang w:val="en-GB"/>
        </w:rPr>
        <w:t>three grant schemes totalling EUR 9 million</w:t>
      </w:r>
      <w:r w:rsidRPr="00701D9F">
        <w:rPr>
          <w:rFonts w:eastAsia="Times New Roman" w:cs="Times New Roman"/>
          <w:szCs w:val="24"/>
          <w:lang w:val="en-GB"/>
        </w:rPr>
        <w:t xml:space="preserve">, aimed at the inclusion of students with learning difficulties in the education system, implementation of new curricula and development of a regional network of local learning institutions. The practice of delegating the tasks of implementing EU-funded programmes and projects to competent and professional organisations has proved to be highly successful since, as a result of knowledge of policies and goals in the intervention areas, it is </w:t>
      </w:r>
      <w:r w:rsidRPr="00701D9F">
        <w:rPr>
          <w:rFonts w:eastAsia="Times New Roman" w:cs="Times New Roman"/>
          <w:b/>
          <w:szCs w:val="24"/>
          <w:lang w:val="en-GB"/>
        </w:rPr>
        <w:t xml:space="preserve">far easier to focus objectives and manage project activities </w:t>
      </w:r>
      <w:r w:rsidRPr="00701D9F">
        <w:rPr>
          <w:rFonts w:eastAsia="Times New Roman" w:cs="Times New Roman"/>
          <w:szCs w:val="24"/>
          <w:lang w:val="en-GB"/>
        </w:rPr>
        <w:t xml:space="preserve">aimed at the achievement of those objectives. In addition to the fact that decentralisation of the contracting function and delegation of EU-funded project implementation activities make implementation itself at the central level and coordination of implementation at the local level considerably easier, they also contribute to strengthening the capacities of national and professional structures to apply EU rules in conducting public procurements, which is necessary for the adoption of working methods and developing capacities for the management of European Social Fund resources in the future. Since the Agency was accredited as one of the two Human Potentials Development Operational Programme implementing bodies, it has considerably contributed to human resources development through efficient management of EU funds, thus strengthening the quality and effectiveness of the Croatian educational system and its alignment with the labour market. </w:t>
      </w:r>
    </w:p>
    <w:p w:rsidR="00D5220A" w:rsidRPr="00701D9F" w:rsidRDefault="00D5220A" w:rsidP="00DB2113">
      <w:pPr>
        <w:rPr>
          <w:rFonts w:cs="Times New Roman"/>
          <w:b/>
          <w:szCs w:val="24"/>
          <w:lang w:val="en-GB"/>
        </w:rPr>
      </w:pPr>
    </w:p>
    <w:p w:rsidR="00D5220A" w:rsidRDefault="00D5220A" w:rsidP="00DB2113">
      <w:pPr>
        <w:rPr>
          <w:rFonts w:cs="Times New Roman"/>
          <w:b/>
          <w:szCs w:val="24"/>
          <w:lang w:val="en-GB"/>
        </w:rPr>
      </w:pPr>
    </w:p>
    <w:p w:rsidR="00182D71" w:rsidRDefault="00182D71">
      <w:pPr>
        <w:spacing w:before="0" w:after="200"/>
        <w:jc w:val="left"/>
        <w:rPr>
          <w:rFonts w:asciiTheme="majorHAnsi" w:eastAsiaTheme="majorEastAsia" w:hAnsiTheme="majorHAnsi" w:cstheme="majorBidi"/>
          <w:b/>
          <w:bCs/>
          <w:color w:val="000000" w:themeColor="text1"/>
          <w:sz w:val="28"/>
          <w:szCs w:val="28"/>
          <w:u w:val="single"/>
        </w:rPr>
      </w:pPr>
      <w:bookmarkStart w:id="34" w:name="_Toc353200778"/>
      <w:r>
        <w:rPr>
          <w:caps/>
        </w:rPr>
        <w:br w:type="page"/>
      </w:r>
    </w:p>
    <w:p w:rsidR="00444EA0" w:rsidRPr="00182D71" w:rsidRDefault="00360BA6" w:rsidP="00182D71">
      <w:pPr>
        <w:pStyle w:val="Heading1"/>
      </w:pPr>
      <w:r w:rsidRPr="00182D71">
        <w:t>Steps towards the Establishment of the Social Inclusion Fund</w:t>
      </w:r>
      <w:bookmarkEnd w:id="34"/>
    </w:p>
    <w:p w:rsidR="00444EA0" w:rsidRPr="005B5F57" w:rsidRDefault="00153204" w:rsidP="00444EA0">
      <w:pPr>
        <w:pBdr>
          <w:top w:val="single" w:sz="4" w:space="1" w:color="auto"/>
          <w:left w:val="single" w:sz="4" w:space="4" w:color="auto"/>
          <w:bottom w:val="single" w:sz="4" w:space="1" w:color="auto"/>
          <w:right w:val="single" w:sz="4" w:space="4" w:color="auto"/>
        </w:pBdr>
        <w:spacing w:after="0"/>
        <w:rPr>
          <w:rFonts w:cs="Times New Roman"/>
          <w:i/>
          <w:szCs w:val="24"/>
          <w:lang w:val="en-GB"/>
        </w:rPr>
      </w:pPr>
      <w:r>
        <w:rPr>
          <w:rFonts w:cs="Times New Roman"/>
          <w:i/>
          <w:szCs w:val="24"/>
          <w:lang w:val="en-GB"/>
        </w:rPr>
        <w:t>I</w:t>
      </w:r>
      <w:r w:rsidR="00444EA0" w:rsidRPr="005B5F57">
        <w:rPr>
          <w:rFonts w:cs="Times New Roman"/>
          <w:i/>
          <w:szCs w:val="24"/>
          <w:lang w:val="en-GB"/>
        </w:rPr>
        <w:t xml:space="preserve">n order for the Social Inclusion Fund to be established, it is important to address </w:t>
      </w:r>
      <w:r w:rsidR="00444EA0">
        <w:rPr>
          <w:rFonts w:cs="Times New Roman"/>
          <w:i/>
          <w:szCs w:val="24"/>
          <w:lang w:val="en-GB"/>
        </w:rPr>
        <w:t>its</w:t>
      </w:r>
      <w:r w:rsidR="00444EA0" w:rsidRPr="005B5F57">
        <w:rPr>
          <w:rFonts w:cs="Times New Roman"/>
          <w:i/>
          <w:szCs w:val="24"/>
          <w:lang w:val="en-GB"/>
        </w:rPr>
        <w:t xml:space="preserve"> organisational structure</w:t>
      </w:r>
      <w:r w:rsidR="00444EA0">
        <w:rPr>
          <w:rFonts w:cs="Times New Roman"/>
          <w:i/>
          <w:szCs w:val="24"/>
          <w:lang w:val="en-GB"/>
        </w:rPr>
        <w:t>,</w:t>
      </w:r>
      <w:r w:rsidR="00444EA0" w:rsidRPr="005B5F57">
        <w:rPr>
          <w:rFonts w:cs="Times New Roman"/>
          <w:i/>
          <w:szCs w:val="24"/>
          <w:lang w:val="en-GB"/>
        </w:rPr>
        <w:t xml:space="preserve"> as well as the legal steps that need to be taken. </w:t>
      </w:r>
      <w:r w:rsidR="00444EA0" w:rsidRPr="00EA2511">
        <w:rPr>
          <w:rFonts w:cs="Times New Roman"/>
          <w:b/>
          <w:i/>
          <w:szCs w:val="24"/>
          <w:lang w:val="en-GB"/>
        </w:rPr>
        <w:t xml:space="preserve">This section therefore provides recommendations on the governance structure and legal grounding for the </w:t>
      </w:r>
      <w:r w:rsidR="00444EA0">
        <w:rPr>
          <w:rFonts w:cs="Times New Roman"/>
          <w:b/>
          <w:i/>
          <w:szCs w:val="24"/>
          <w:lang w:val="en-GB"/>
        </w:rPr>
        <w:t>Social Inclusion Fund</w:t>
      </w:r>
      <w:r w:rsidR="00444EA0" w:rsidRPr="005B5F57">
        <w:rPr>
          <w:rFonts w:cs="Times New Roman"/>
          <w:i/>
          <w:szCs w:val="24"/>
          <w:lang w:val="en-GB"/>
        </w:rPr>
        <w:t xml:space="preserve">. It also raises the issue of budget allocations for the </w:t>
      </w:r>
      <w:r w:rsidR="00444EA0">
        <w:rPr>
          <w:rFonts w:cs="Times New Roman"/>
          <w:i/>
          <w:szCs w:val="24"/>
          <w:lang w:val="en-GB"/>
        </w:rPr>
        <w:t>Social Inclusion Fund</w:t>
      </w:r>
      <w:r w:rsidR="00444EA0" w:rsidRPr="005B5F57">
        <w:rPr>
          <w:rFonts w:cs="Times New Roman"/>
          <w:i/>
          <w:szCs w:val="24"/>
          <w:lang w:val="en-GB"/>
        </w:rPr>
        <w:t>, however, this should be explored in further detail</w:t>
      </w:r>
      <w:r w:rsidR="00AB3FAF">
        <w:rPr>
          <w:rFonts w:cs="Times New Roman"/>
          <w:i/>
          <w:szCs w:val="24"/>
          <w:lang w:val="en-GB"/>
        </w:rPr>
        <w:t>.</w:t>
      </w:r>
      <w:r w:rsidR="00444EA0" w:rsidRPr="005B5F57">
        <w:rPr>
          <w:rFonts w:cs="Times New Roman"/>
          <w:i/>
          <w:szCs w:val="24"/>
          <w:lang w:val="en-GB"/>
        </w:rPr>
        <w:t xml:space="preserve">  </w:t>
      </w:r>
    </w:p>
    <w:p w:rsidR="00444EA0" w:rsidRPr="00182D71" w:rsidRDefault="008E764F" w:rsidP="00182D71">
      <w:pPr>
        <w:pStyle w:val="Heading2"/>
        <w:rPr>
          <w:rStyle w:val="IntenseReference"/>
          <w:b/>
          <w:bCs/>
          <w:smallCaps w:val="0"/>
          <w:color w:val="000000" w:themeColor="text1"/>
          <w:spacing w:val="0"/>
          <w:u w:val="none"/>
        </w:rPr>
      </w:pPr>
      <w:bookmarkStart w:id="35" w:name="_Toc353200779"/>
      <w:r w:rsidRPr="00182D71">
        <w:rPr>
          <w:rStyle w:val="IntenseReference"/>
          <w:b/>
          <w:bCs/>
          <w:smallCaps w:val="0"/>
          <w:color w:val="000000" w:themeColor="text1"/>
          <w:spacing w:val="0"/>
          <w:u w:val="none"/>
        </w:rPr>
        <w:t>4</w:t>
      </w:r>
      <w:r w:rsidR="00444EA0" w:rsidRPr="00182D71">
        <w:rPr>
          <w:rStyle w:val="IntenseReference"/>
          <w:b/>
          <w:bCs/>
          <w:smallCaps w:val="0"/>
          <w:color w:val="000000" w:themeColor="text1"/>
          <w:spacing w:val="0"/>
          <w:u w:val="none"/>
        </w:rPr>
        <w:t>.1. Governance Structure for the Future Social Inclusion Fund</w:t>
      </w:r>
      <w:bookmarkEnd w:id="35"/>
    </w:p>
    <w:p w:rsidR="00444EA0" w:rsidRPr="00701D9F" w:rsidRDefault="00444EA0" w:rsidP="00444EA0">
      <w:pPr>
        <w:spacing w:after="0"/>
        <w:rPr>
          <w:rFonts w:cs="Times New Roman"/>
          <w:szCs w:val="24"/>
          <w:lang w:val="en-GB"/>
        </w:rPr>
      </w:pPr>
      <w:r w:rsidRPr="005B5F57">
        <w:rPr>
          <w:rFonts w:cs="Times New Roman"/>
          <w:szCs w:val="24"/>
          <w:lang w:val="en-GB"/>
        </w:rPr>
        <w:t xml:space="preserve">Within the presented framework, </w:t>
      </w:r>
      <w:r>
        <w:rPr>
          <w:rFonts w:cs="Times New Roman"/>
          <w:szCs w:val="24"/>
          <w:lang w:val="en-GB"/>
        </w:rPr>
        <w:t xml:space="preserve">the establishment of the Social Inclusion Fund </w:t>
      </w:r>
      <w:r w:rsidRPr="005B5F57">
        <w:rPr>
          <w:rFonts w:cs="Times New Roman"/>
          <w:szCs w:val="24"/>
          <w:lang w:val="en-GB"/>
        </w:rPr>
        <w:t>require</w:t>
      </w:r>
      <w:r>
        <w:rPr>
          <w:rFonts w:cs="Times New Roman"/>
          <w:szCs w:val="24"/>
          <w:lang w:val="en-GB"/>
        </w:rPr>
        <w:t>s</w:t>
      </w:r>
      <w:r w:rsidRPr="005B5F57">
        <w:rPr>
          <w:rFonts w:cs="Times New Roman"/>
          <w:szCs w:val="24"/>
          <w:lang w:val="en-GB"/>
        </w:rPr>
        <w:t xml:space="preserve"> </w:t>
      </w:r>
      <w:r w:rsidRPr="00F84F1A">
        <w:rPr>
          <w:rFonts w:cs="Times New Roman"/>
          <w:b/>
          <w:szCs w:val="24"/>
          <w:lang w:val="en-GB"/>
        </w:rPr>
        <w:t>efficient governance structures</w:t>
      </w:r>
      <w:r w:rsidRPr="005B5F57">
        <w:rPr>
          <w:rFonts w:cs="Times New Roman"/>
          <w:szCs w:val="24"/>
          <w:lang w:val="en-GB"/>
        </w:rPr>
        <w:t xml:space="preserve"> that would enable </w:t>
      </w:r>
      <w:r>
        <w:rPr>
          <w:rFonts w:cs="Times New Roman"/>
          <w:szCs w:val="24"/>
          <w:lang w:val="en-GB"/>
        </w:rPr>
        <w:t>its adequate functioning</w:t>
      </w:r>
      <w:r w:rsidRPr="005B5F57">
        <w:rPr>
          <w:rFonts w:cs="Times New Roman"/>
          <w:szCs w:val="24"/>
          <w:lang w:val="en-GB"/>
        </w:rPr>
        <w:t xml:space="preserve">. Social inclusion policies are multisectoral and include public policies in the areas of education, employment and social welfare. These policies are </w:t>
      </w:r>
      <w:r>
        <w:rPr>
          <w:rFonts w:cs="Times New Roman"/>
          <w:szCs w:val="24"/>
          <w:lang w:val="en-GB"/>
        </w:rPr>
        <w:t>underlined and given priority over other policies</w:t>
      </w:r>
      <w:r w:rsidRPr="005B5F57">
        <w:rPr>
          <w:rFonts w:cs="Times New Roman"/>
          <w:szCs w:val="24"/>
          <w:lang w:val="en-GB"/>
        </w:rPr>
        <w:t xml:space="preserve"> </w:t>
      </w:r>
      <w:r>
        <w:rPr>
          <w:rFonts w:cs="Times New Roman"/>
          <w:szCs w:val="24"/>
          <w:lang w:val="en-GB"/>
        </w:rPr>
        <w:t xml:space="preserve">for the following </w:t>
      </w:r>
      <w:r w:rsidRPr="00701D9F">
        <w:rPr>
          <w:rFonts w:cs="Times New Roman"/>
          <w:szCs w:val="24"/>
          <w:lang w:val="en-GB"/>
        </w:rPr>
        <w:t xml:space="preserve">logic: </w:t>
      </w:r>
    </w:p>
    <w:p w:rsidR="00444EA0" w:rsidRPr="00701D9F" w:rsidRDefault="00444EA0" w:rsidP="00351681">
      <w:pPr>
        <w:pStyle w:val="ListParagraph"/>
        <w:numPr>
          <w:ilvl w:val="0"/>
          <w:numId w:val="3"/>
        </w:numPr>
        <w:rPr>
          <w:rFonts w:cs="Times New Roman"/>
          <w:szCs w:val="24"/>
          <w:lang w:val="en-GB"/>
        </w:rPr>
      </w:pPr>
      <w:r w:rsidRPr="00701D9F">
        <w:rPr>
          <w:rFonts w:cs="Times New Roman"/>
          <w:szCs w:val="24"/>
          <w:lang w:val="en-GB"/>
        </w:rPr>
        <w:t>Education system provides basic preconditions for social integration;</w:t>
      </w:r>
    </w:p>
    <w:p w:rsidR="00444EA0" w:rsidRPr="00701D9F" w:rsidRDefault="00444EA0" w:rsidP="00351681">
      <w:pPr>
        <w:pStyle w:val="ListParagraph"/>
        <w:numPr>
          <w:ilvl w:val="0"/>
          <w:numId w:val="3"/>
        </w:numPr>
        <w:rPr>
          <w:rFonts w:cs="Times New Roman"/>
          <w:szCs w:val="24"/>
          <w:lang w:val="en-GB"/>
        </w:rPr>
      </w:pPr>
      <w:r w:rsidRPr="00701D9F">
        <w:rPr>
          <w:rFonts w:cs="Times New Roman"/>
          <w:szCs w:val="24"/>
          <w:lang w:val="en-GB"/>
        </w:rPr>
        <w:t xml:space="preserve">Employment and/or integration into the labour market is a key channel for social integration; and </w:t>
      </w:r>
    </w:p>
    <w:p w:rsidR="008E764F" w:rsidRPr="00701D9F" w:rsidRDefault="00444EA0" w:rsidP="00351681">
      <w:pPr>
        <w:pStyle w:val="ListParagraph"/>
        <w:numPr>
          <w:ilvl w:val="0"/>
          <w:numId w:val="3"/>
        </w:numPr>
        <w:rPr>
          <w:rFonts w:cs="Times New Roman"/>
          <w:szCs w:val="24"/>
          <w:lang w:val="en-GB"/>
        </w:rPr>
      </w:pPr>
      <w:r w:rsidRPr="00701D9F">
        <w:rPr>
          <w:rFonts w:cs="Times New Roman"/>
          <w:szCs w:val="24"/>
          <w:lang w:val="en-GB"/>
        </w:rPr>
        <w:t>Social welfare policies provide mechanisms to support persons who have failed in an attempt to integrate into wider societ</w:t>
      </w:r>
      <w:r w:rsidR="008E764F" w:rsidRPr="00701D9F">
        <w:rPr>
          <w:rFonts w:cs="Times New Roman"/>
          <w:szCs w:val="24"/>
          <w:lang w:val="en-GB"/>
        </w:rPr>
        <w:t xml:space="preserve">y and </w:t>
      </w:r>
    </w:p>
    <w:p w:rsidR="00444EA0" w:rsidRPr="00701D9F" w:rsidRDefault="00701D9F" w:rsidP="00351681">
      <w:pPr>
        <w:pStyle w:val="ListParagraph"/>
        <w:numPr>
          <w:ilvl w:val="0"/>
          <w:numId w:val="3"/>
        </w:numPr>
        <w:rPr>
          <w:rFonts w:cs="Times New Roman"/>
          <w:szCs w:val="24"/>
          <w:lang w:val="en-GB"/>
        </w:rPr>
      </w:pPr>
      <w:r w:rsidRPr="00701D9F">
        <w:rPr>
          <w:rFonts w:cs="Times New Roman"/>
          <w:szCs w:val="24"/>
          <w:lang w:val="en-GB"/>
        </w:rPr>
        <w:t>The health care system provides preconditions both for education and labor, as well as social integration.</w:t>
      </w:r>
    </w:p>
    <w:p w:rsidR="00444EA0" w:rsidRPr="00701D9F" w:rsidRDefault="00444EA0" w:rsidP="00444EA0">
      <w:pPr>
        <w:rPr>
          <w:rFonts w:cs="Times New Roman"/>
          <w:szCs w:val="24"/>
          <w:lang w:val="en-GB"/>
        </w:rPr>
      </w:pPr>
      <w:r w:rsidRPr="00701D9F">
        <w:rPr>
          <w:rFonts w:cs="Times New Roman"/>
          <w:szCs w:val="24"/>
          <w:lang w:val="en-GB"/>
        </w:rPr>
        <w:t>Other policies are important as well, e.g. housing, migrations, human rights, minority rights etc. but these are the crucial ones especially having in mind the context of social exclusion in the Republic of Serbia: low education achievements, high unemployment, high discrepancies among regions and urban/rural population etc</w:t>
      </w:r>
      <w:r w:rsidRPr="00701D9F">
        <w:rPr>
          <w:rStyle w:val="FootnoteReference"/>
          <w:rFonts w:cs="Times New Roman"/>
          <w:szCs w:val="24"/>
          <w:lang w:val="en-GB"/>
        </w:rPr>
        <w:footnoteReference w:id="36"/>
      </w:r>
      <w:r w:rsidRPr="00701D9F">
        <w:rPr>
          <w:rFonts w:cs="Times New Roman"/>
          <w:szCs w:val="24"/>
          <w:lang w:val="en-GB"/>
        </w:rPr>
        <w:t xml:space="preserve">. </w:t>
      </w:r>
    </w:p>
    <w:p w:rsidR="00444EA0" w:rsidRPr="00701D9F" w:rsidRDefault="00444EA0" w:rsidP="00444EA0">
      <w:pPr>
        <w:rPr>
          <w:rFonts w:cs="Times New Roman"/>
          <w:szCs w:val="24"/>
          <w:lang w:val="en-GB"/>
        </w:rPr>
      </w:pPr>
      <w:r w:rsidRPr="00701D9F">
        <w:rPr>
          <w:rFonts w:cs="Times New Roman"/>
          <w:szCs w:val="24"/>
          <w:lang w:val="en-GB"/>
        </w:rPr>
        <w:t xml:space="preserve">In order to achieve an integration of sector policies, the governance structure of the Social Inclusion Fund would need to include high level representatives of at least: </w:t>
      </w:r>
    </w:p>
    <w:p w:rsidR="00444EA0" w:rsidRPr="00701D9F" w:rsidRDefault="00444EA0" w:rsidP="00351681">
      <w:pPr>
        <w:pStyle w:val="ListParagraph"/>
        <w:numPr>
          <w:ilvl w:val="0"/>
          <w:numId w:val="3"/>
        </w:numPr>
        <w:rPr>
          <w:rFonts w:cs="Times New Roman"/>
          <w:szCs w:val="24"/>
          <w:lang w:val="en-GB"/>
        </w:rPr>
      </w:pPr>
      <w:r w:rsidRPr="00701D9F">
        <w:rPr>
          <w:rFonts w:cs="Times New Roman"/>
          <w:szCs w:val="24"/>
          <w:lang w:val="en-GB"/>
        </w:rPr>
        <w:t>Ministry of Labour</w:t>
      </w:r>
      <w:r w:rsidR="00701D9F" w:rsidRPr="00701D9F">
        <w:rPr>
          <w:rFonts w:cs="Times New Roman"/>
          <w:szCs w:val="24"/>
          <w:lang w:val="en-GB"/>
        </w:rPr>
        <w:t>, Employment</w:t>
      </w:r>
      <w:r w:rsidRPr="00701D9F">
        <w:rPr>
          <w:rFonts w:cs="Times New Roman"/>
          <w:szCs w:val="24"/>
          <w:lang w:val="en-GB"/>
        </w:rPr>
        <w:t xml:space="preserve"> and Social Policy, </w:t>
      </w:r>
    </w:p>
    <w:p w:rsidR="00444EA0" w:rsidRPr="00701D9F" w:rsidRDefault="00701D9F" w:rsidP="00351681">
      <w:pPr>
        <w:pStyle w:val="ListParagraph"/>
        <w:numPr>
          <w:ilvl w:val="0"/>
          <w:numId w:val="3"/>
        </w:numPr>
        <w:rPr>
          <w:rFonts w:cs="Times New Roman"/>
          <w:szCs w:val="24"/>
          <w:lang w:val="en-GB"/>
        </w:rPr>
      </w:pPr>
      <w:r w:rsidRPr="00701D9F">
        <w:rPr>
          <w:rFonts w:cs="Times New Roman"/>
          <w:szCs w:val="24"/>
          <w:lang w:val="en-GB"/>
        </w:rPr>
        <w:t>Ministry of Education, Science and Tec</w:t>
      </w:r>
      <w:r w:rsidR="00AB3FAF">
        <w:rPr>
          <w:rFonts w:cs="Times New Roman"/>
          <w:szCs w:val="24"/>
          <w:lang w:val="en-GB"/>
        </w:rPr>
        <w:t>h</w:t>
      </w:r>
      <w:r w:rsidRPr="00701D9F">
        <w:rPr>
          <w:rFonts w:cs="Times New Roman"/>
          <w:szCs w:val="24"/>
          <w:lang w:val="en-GB"/>
        </w:rPr>
        <w:t>nological Development,</w:t>
      </w:r>
      <w:r w:rsidR="00444EA0" w:rsidRPr="00701D9F">
        <w:rPr>
          <w:rFonts w:cs="Times New Roman"/>
          <w:szCs w:val="24"/>
          <w:lang w:val="en-GB"/>
        </w:rPr>
        <w:t xml:space="preserve"> </w:t>
      </w:r>
    </w:p>
    <w:p w:rsidR="00701D9F" w:rsidRPr="00701D9F" w:rsidRDefault="00701D9F" w:rsidP="00351681">
      <w:pPr>
        <w:pStyle w:val="ListParagraph"/>
        <w:numPr>
          <w:ilvl w:val="0"/>
          <w:numId w:val="3"/>
        </w:numPr>
        <w:rPr>
          <w:rFonts w:cs="Times New Roman"/>
          <w:szCs w:val="24"/>
          <w:lang w:val="en-GB"/>
        </w:rPr>
      </w:pPr>
      <w:r w:rsidRPr="00701D9F">
        <w:rPr>
          <w:rFonts w:cs="Times New Roman"/>
          <w:szCs w:val="24"/>
          <w:lang w:val="en-GB"/>
        </w:rPr>
        <w:t xml:space="preserve">Ministry of Finance and Economy, </w:t>
      </w:r>
    </w:p>
    <w:p w:rsidR="00444EA0" w:rsidRPr="00701D9F" w:rsidRDefault="00444EA0" w:rsidP="00351681">
      <w:pPr>
        <w:pStyle w:val="ListParagraph"/>
        <w:numPr>
          <w:ilvl w:val="0"/>
          <w:numId w:val="3"/>
        </w:numPr>
        <w:rPr>
          <w:rFonts w:cs="Times New Roman"/>
          <w:szCs w:val="24"/>
          <w:lang w:val="en-GB"/>
        </w:rPr>
      </w:pPr>
      <w:r w:rsidRPr="00701D9F">
        <w:rPr>
          <w:rFonts w:cs="Times New Roman"/>
          <w:szCs w:val="24"/>
          <w:lang w:val="en-GB"/>
        </w:rPr>
        <w:t xml:space="preserve">Ministry of </w:t>
      </w:r>
      <w:r w:rsidR="00701D9F" w:rsidRPr="00701D9F">
        <w:rPr>
          <w:rFonts w:cs="Times New Roman"/>
          <w:szCs w:val="24"/>
          <w:lang w:val="en-GB"/>
        </w:rPr>
        <w:t>Regional Development and Local Self-Government,</w:t>
      </w:r>
    </w:p>
    <w:p w:rsidR="00701D9F" w:rsidRPr="00701D9F" w:rsidRDefault="00701D9F" w:rsidP="00351681">
      <w:pPr>
        <w:pStyle w:val="ListParagraph"/>
        <w:numPr>
          <w:ilvl w:val="0"/>
          <w:numId w:val="3"/>
        </w:numPr>
        <w:rPr>
          <w:rFonts w:cs="Times New Roman"/>
          <w:szCs w:val="24"/>
          <w:lang w:val="en-GB"/>
        </w:rPr>
      </w:pPr>
      <w:r w:rsidRPr="00701D9F">
        <w:rPr>
          <w:rFonts w:cs="Times New Roman"/>
          <w:szCs w:val="24"/>
          <w:lang w:val="en-GB"/>
        </w:rPr>
        <w:t xml:space="preserve">Ministry of Health, </w:t>
      </w:r>
    </w:p>
    <w:p w:rsidR="00701D9F" w:rsidRPr="00701D9F" w:rsidRDefault="00701D9F" w:rsidP="00351681">
      <w:pPr>
        <w:pStyle w:val="ListParagraph"/>
        <w:numPr>
          <w:ilvl w:val="0"/>
          <w:numId w:val="3"/>
        </w:numPr>
        <w:rPr>
          <w:rFonts w:cs="Times New Roman"/>
          <w:szCs w:val="24"/>
          <w:lang w:val="en-GB"/>
        </w:rPr>
      </w:pPr>
      <w:r w:rsidRPr="00701D9F">
        <w:rPr>
          <w:rFonts w:cs="Times New Roman"/>
          <w:szCs w:val="24"/>
          <w:lang w:val="en-GB"/>
        </w:rPr>
        <w:t xml:space="preserve">Ministry of Youth and Sports, </w:t>
      </w:r>
    </w:p>
    <w:p w:rsidR="00444EA0" w:rsidRPr="00701D9F" w:rsidRDefault="00701D9F" w:rsidP="00351681">
      <w:pPr>
        <w:pStyle w:val="ListParagraph"/>
        <w:numPr>
          <w:ilvl w:val="0"/>
          <w:numId w:val="3"/>
        </w:numPr>
        <w:rPr>
          <w:rFonts w:cs="Times New Roman"/>
          <w:szCs w:val="24"/>
          <w:lang w:val="en-GB"/>
        </w:rPr>
      </w:pPr>
      <w:r w:rsidRPr="00701D9F">
        <w:rPr>
          <w:rFonts w:cs="Times New Roman"/>
          <w:szCs w:val="24"/>
          <w:lang w:val="en-GB"/>
        </w:rPr>
        <w:t xml:space="preserve">Office for </w:t>
      </w:r>
      <w:r w:rsidR="00444EA0" w:rsidRPr="00701D9F">
        <w:rPr>
          <w:rFonts w:cs="Times New Roman"/>
          <w:szCs w:val="24"/>
          <w:lang w:val="en-GB"/>
        </w:rPr>
        <w:t xml:space="preserve">Human and Minority Rights, </w:t>
      </w:r>
    </w:p>
    <w:p w:rsidR="00444EA0" w:rsidRPr="00701D9F" w:rsidRDefault="00701D9F" w:rsidP="00351681">
      <w:pPr>
        <w:pStyle w:val="ListParagraph"/>
        <w:numPr>
          <w:ilvl w:val="0"/>
          <w:numId w:val="3"/>
        </w:numPr>
        <w:rPr>
          <w:rFonts w:cs="Times New Roman"/>
          <w:szCs w:val="24"/>
          <w:lang w:val="en-GB"/>
        </w:rPr>
      </w:pPr>
      <w:r w:rsidRPr="00701D9F">
        <w:rPr>
          <w:rFonts w:cs="Times New Roman"/>
          <w:szCs w:val="24"/>
          <w:lang w:val="en-GB"/>
        </w:rPr>
        <w:t>Office for Cooperation with Civil Society,</w:t>
      </w:r>
    </w:p>
    <w:p w:rsidR="00701D9F" w:rsidRPr="00701D9F" w:rsidRDefault="00701D9F" w:rsidP="00351681">
      <w:pPr>
        <w:pStyle w:val="ListParagraph"/>
        <w:numPr>
          <w:ilvl w:val="0"/>
          <w:numId w:val="3"/>
        </w:numPr>
        <w:rPr>
          <w:rFonts w:cs="Times New Roman"/>
          <w:szCs w:val="24"/>
          <w:lang w:val="en-GB"/>
        </w:rPr>
      </w:pPr>
      <w:r w:rsidRPr="00701D9F">
        <w:rPr>
          <w:rFonts w:cs="Times New Roman"/>
          <w:szCs w:val="24"/>
          <w:lang w:val="en-GB"/>
        </w:rPr>
        <w:t>Socio-economic Council of the Republic of Serbia and</w:t>
      </w:r>
    </w:p>
    <w:p w:rsidR="00E153F0" w:rsidRPr="00701D9F" w:rsidRDefault="00E153F0" w:rsidP="00351681">
      <w:pPr>
        <w:pStyle w:val="ListParagraph"/>
        <w:numPr>
          <w:ilvl w:val="0"/>
          <w:numId w:val="3"/>
        </w:numPr>
        <w:rPr>
          <w:rFonts w:cs="Times New Roman"/>
          <w:szCs w:val="24"/>
          <w:lang w:val="en-GB"/>
        </w:rPr>
      </w:pPr>
      <w:r w:rsidRPr="00701D9F">
        <w:rPr>
          <w:rFonts w:cs="Times New Roman"/>
          <w:szCs w:val="24"/>
          <w:lang w:val="en-GB"/>
        </w:rPr>
        <w:t>Standing Conference of Towns and Municipalities</w:t>
      </w:r>
      <w:r w:rsidR="00E46D2C" w:rsidRPr="00701D9F">
        <w:rPr>
          <w:rFonts w:cs="Times New Roman"/>
          <w:szCs w:val="24"/>
          <w:lang w:val="en-GB"/>
        </w:rPr>
        <w:t>.</w:t>
      </w:r>
    </w:p>
    <w:p w:rsidR="00444EA0" w:rsidRPr="005B5F57" w:rsidRDefault="00444EA0" w:rsidP="00444EA0">
      <w:pPr>
        <w:rPr>
          <w:rFonts w:cs="Times New Roman"/>
          <w:szCs w:val="24"/>
          <w:lang w:val="en-GB"/>
        </w:rPr>
      </w:pPr>
      <w:r w:rsidRPr="00701D9F">
        <w:rPr>
          <w:rFonts w:cs="Times New Roman"/>
          <w:szCs w:val="24"/>
          <w:lang w:val="en-GB"/>
        </w:rPr>
        <w:t>This is a means for integration of policies in the areas of education</w:t>
      </w:r>
      <w:r w:rsidRPr="005B5F57">
        <w:rPr>
          <w:rFonts w:cs="Times New Roman"/>
          <w:szCs w:val="24"/>
          <w:lang w:val="en-GB"/>
        </w:rPr>
        <w:t xml:space="preserve">, welfare, employment and </w:t>
      </w:r>
      <w:r>
        <w:rPr>
          <w:rFonts w:cs="Times New Roman"/>
          <w:szCs w:val="24"/>
          <w:lang w:val="en-GB"/>
        </w:rPr>
        <w:t>health</w:t>
      </w:r>
      <w:r w:rsidRPr="005B5F57">
        <w:rPr>
          <w:rFonts w:cs="Times New Roman"/>
          <w:szCs w:val="24"/>
          <w:lang w:val="en-GB"/>
        </w:rPr>
        <w:t xml:space="preserve">. </w:t>
      </w:r>
    </w:p>
    <w:p w:rsidR="00444EA0" w:rsidRPr="00182D71" w:rsidRDefault="00A07B29" w:rsidP="00182D71">
      <w:pPr>
        <w:pStyle w:val="Heading2"/>
        <w:rPr>
          <w:rStyle w:val="IntenseReference"/>
          <w:b/>
          <w:bCs/>
          <w:smallCaps w:val="0"/>
          <w:color w:val="000000" w:themeColor="text1"/>
          <w:spacing w:val="0"/>
          <w:u w:val="none"/>
        </w:rPr>
      </w:pPr>
      <w:bookmarkStart w:id="36" w:name="_Toc353200780"/>
      <w:r w:rsidRPr="00182D71">
        <w:rPr>
          <w:rStyle w:val="IntenseReference"/>
          <w:b/>
          <w:bCs/>
          <w:smallCaps w:val="0"/>
          <w:color w:val="000000" w:themeColor="text1"/>
          <w:spacing w:val="0"/>
          <w:u w:val="none"/>
        </w:rPr>
        <w:t>4</w:t>
      </w:r>
      <w:r w:rsidR="00444EA0" w:rsidRPr="00182D71">
        <w:rPr>
          <w:rStyle w:val="IntenseReference"/>
          <w:b/>
          <w:bCs/>
          <w:smallCaps w:val="0"/>
          <w:color w:val="000000" w:themeColor="text1"/>
          <w:spacing w:val="0"/>
          <w:u w:val="none"/>
        </w:rPr>
        <w:t xml:space="preserve">.2. Possible Legal Grounding of the </w:t>
      </w:r>
      <w:r w:rsidR="00701D9F" w:rsidRPr="00182D71">
        <w:rPr>
          <w:rStyle w:val="IntenseReference"/>
          <w:b/>
          <w:bCs/>
          <w:smallCaps w:val="0"/>
          <w:color w:val="000000" w:themeColor="text1"/>
          <w:spacing w:val="0"/>
          <w:u w:val="none"/>
        </w:rPr>
        <w:t>Social Inclusion Fund</w:t>
      </w:r>
      <w:bookmarkEnd w:id="36"/>
    </w:p>
    <w:p w:rsidR="00444EA0" w:rsidRPr="00F0193B" w:rsidRDefault="00444EA0" w:rsidP="00444EA0">
      <w:pPr>
        <w:rPr>
          <w:rFonts w:cs="Times New Roman"/>
          <w:szCs w:val="24"/>
          <w:lang w:val="en-GB"/>
        </w:rPr>
      </w:pPr>
      <w:r w:rsidRPr="005B5F57">
        <w:rPr>
          <w:rFonts w:cs="Times New Roman"/>
          <w:szCs w:val="24"/>
          <w:lang w:val="en-GB"/>
        </w:rPr>
        <w:t>In order to be able to manage</w:t>
      </w:r>
      <w:r>
        <w:rPr>
          <w:rFonts w:cs="Times New Roman"/>
          <w:szCs w:val="24"/>
          <w:lang w:val="en-GB"/>
        </w:rPr>
        <w:t xml:space="preserve"> the</w:t>
      </w:r>
      <w:r w:rsidRPr="005B5F57">
        <w:rPr>
          <w:rFonts w:cs="Times New Roman"/>
          <w:szCs w:val="24"/>
          <w:lang w:val="en-GB"/>
        </w:rPr>
        <w:t xml:space="preserve"> </w:t>
      </w:r>
      <w:r w:rsidR="00153204">
        <w:rPr>
          <w:rFonts w:cs="Times New Roman"/>
          <w:szCs w:val="24"/>
          <w:lang w:val="en-GB"/>
        </w:rPr>
        <w:t xml:space="preserve">national </w:t>
      </w:r>
      <w:r w:rsidRPr="005B5F57">
        <w:rPr>
          <w:rFonts w:cs="Times New Roman"/>
          <w:szCs w:val="24"/>
          <w:lang w:val="en-GB"/>
        </w:rPr>
        <w:t xml:space="preserve">budget and </w:t>
      </w:r>
      <w:r w:rsidR="00153204">
        <w:rPr>
          <w:rFonts w:cs="Times New Roman"/>
          <w:szCs w:val="24"/>
          <w:lang w:val="en-GB"/>
        </w:rPr>
        <w:t xml:space="preserve">potentially </w:t>
      </w:r>
      <w:r w:rsidRPr="005B5F57">
        <w:rPr>
          <w:rFonts w:cs="Times New Roman"/>
          <w:szCs w:val="24"/>
          <w:lang w:val="en-GB"/>
        </w:rPr>
        <w:t>EU resources and serve as a grant-</w:t>
      </w:r>
      <w:r>
        <w:rPr>
          <w:rFonts w:cs="Times New Roman"/>
          <w:szCs w:val="24"/>
          <w:lang w:val="en-GB"/>
        </w:rPr>
        <w:t>management</w:t>
      </w:r>
      <w:r w:rsidRPr="005B5F57">
        <w:rPr>
          <w:rFonts w:cs="Times New Roman"/>
          <w:szCs w:val="24"/>
          <w:lang w:val="en-GB"/>
        </w:rPr>
        <w:t xml:space="preserve"> mechanism, </w:t>
      </w:r>
      <w:r>
        <w:rPr>
          <w:rFonts w:cs="Times New Roman"/>
          <w:szCs w:val="24"/>
          <w:lang w:val="en-GB"/>
        </w:rPr>
        <w:t xml:space="preserve">the </w:t>
      </w:r>
      <w:r w:rsidRPr="005B5F57">
        <w:rPr>
          <w:rFonts w:cs="Times New Roman"/>
          <w:szCs w:val="24"/>
          <w:lang w:val="en-GB"/>
        </w:rPr>
        <w:t xml:space="preserve">Social Inclusion Fund </w:t>
      </w:r>
      <w:r w:rsidRPr="00F0193B">
        <w:rPr>
          <w:rFonts w:cs="Times New Roman"/>
          <w:szCs w:val="24"/>
          <w:lang w:val="en-GB"/>
        </w:rPr>
        <w:t>would need to have</w:t>
      </w:r>
      <w:r w:rsidRPr="00F0193B">
        <w:rPr>
          <w:rFonts w:cs="Times New Roman"/>
          <w:b/>
          <w:szCs w:val="24"/>
          <w:lang w:val="en-GB"/>
        </w:rPr>
        <w:t xml:space="preserve"> a legal status </w:t>
      </w:r>
      <w:r w:rsidRPr="00F0193B">
        <w:rPr>
          <w:rFonts w:cs="Times New Roman"/>
          <w:szCs w:val="24"/>
          <w:lang w:val="en-GB"/>
        </w:rPr>
        <w:t xml:space="preserve">(Serbian: </w:t>
      </w:r>
      <w:r w:rsidRPr="00F0193B">
        <w:rPr>
          <w:rFonts w:cs="Times New Roman"/>
          <w:i/>
          <w:szCs w:val="24"/>
          <w:lang w:val="en-GB"/>
        </w:rPr>
        <w:t>pravno lice</w:t>
      </w:r>
      <w:r>
        <w:rPr>
          <w:rFonts w:cs="Times New Roman"/>
          <w:szCs w:val="24"/>
          <w:lang w:val="en-GB"/>
        </w:rPr>
        <w:t xml:space="preserve">) and </w:t>
      </w:r>
      <w:r w:rsidRPr="00F0193B">
        <w:rPr>
          <w:rFonts w:cs="Times New Roman"/>
          <w:b/>
          <w:szCs w:val="24"/>
          <w:lang w:val="en-GB"/>
        </w:rPr>
        <w:t xml:space="preserve">to </w:t>
      </w:r>
      <w:r>
        <w:rPr>
          <w:rFonts w:cs="Times New Roman"/>
          <w:b/>
          <w:szCs w:val="24"/>
          <w:lang w:val="en-GB"/>
        </w:rPr>
        <w:t>maintain</w:t>
      </w:r>
      <w:r w:rsidRPr="00F0193B">
        <w:rPr>
          <w:rFonts w:cs="Times New Roman"/>
          <w:b/>
          <w:szCs w:val="24"/>
          <w:lang w:val="en-GB"/>
        </w:rPr>
        <w:t xml:space="preserve"> close ties to relevant stakeholders </w:t>
      </w:r>
      <w:r w:rsidRPr="00F0193B">
        <w:rPr>
          <w:rFonts w:cs="Times New Roman"/>
          <w:szCs w:val="24"/>
          <w:lang w:val="en-GB"/>
        </w:rPr>
        <w:t xml:space="preserve">(ministries, civil society organisations etc.). </w:t>
      </w:r>
    </w:p>
    <w:p w:rsidR="00444EA0" w:rsidRPr="005B5F57" w:rsidRDefault="00444EA0" w:rsidP="00444EA0">
      <w:pPr>
        <w:rPr>
          <w:rFonts w:cs="Times New Roman"/>
          <w:szCs w:val="24"/>
          <w:lang w:val="en-GB"/>
        </w:rPr>
      </w:pPr>
      <w:r w:rsidRPr="005B5F57">
        <w:rPr>
          <w:rFonts w:cs="Times New Roman"/>
          <w:szCs w:val="24"/>
          <w:lang w:val="en-GB"/>
        </w:rPr>
        <w:t xml:space="preserve">This approach is selected due to the </w:t>
      </w:r>
      <w:r>
        <w:rPr>
          <w:rFonts w:cs="Times New Roman"/>
          <w:szCs w:val="24"/>
          <w:lang w:val="en-GB"/>
        </w:rPr>
        <w:t xml:space="preserve">need for a </w:t>
      </w:r>
      <w:r w:rsidRPr="005B5F57">
        <w:rPr>
          <w:rFonts w:cs="Times New Roman"/>
          <w:szCs w:val="24"/>
          <w:lang w:val="en-GB"/>
        </w:rPr>
        <w:t xml:space="preserve">flexibility of </w:t>
      </w:r>
      <w:r>
        <w:rPr>
          <w:rFonts w:cs="Times New Roman"/>
          <w:szCs w:val="24"/>
          <w:lang w:val="en-GB"/>
        </w:rPr>
        <w:t xml:space="preserve">the </w:t>
      </w:r>
      <w:r w:rsidRPr="005B5F57">
        <w:rPr>
          <w:rFonts w:cs="Times New Roman"/>
          <w:szCs w:val="24"/>
          <w:lang w:val="en-GB"/>
        </w:rPr>
        <w:t xml:space="preserve">system and characteristics relevant for </w:t>
      </w:r>
      <w:r>
        <w:rPr>
          <w:rFonts w:cs="Times New Roman"/>
          <w:szCs w:val="24"/>
          <w:lang w:val="en-GB"/>
        </w:rPr>
        <w:t xml:space="preserve">the </w:t>
      </w:r>
      <w:r w:rsidRPr="005B5F57">
        <w:rPr>
          <w:rFonts w:cs="Times New Roman"/>
          <w:szCs w:val="24"/>
          <w:lang w:val="en-GB"/>
        </w:rPr>
        <w:t>management of EU funds:</w:t>
      </w:r>
    </w:p>
    <w:p w:rsidR="00444EA0" w:rsidRPr="005B5F57" w:rsidRDefault="00444EA0" w:rsidP="00351681">
      <w:pPr>
        <w:pStyle w:val="ListParagraph"/>
        <w:numPr>
          <w:ilvl w:val="0"/>
          <w:numId w:val="4"/>
        </w:numPr>
        <w:rPr>
          <w:rFonts w:cs="Times New Roman"/>
          <w:szCs w:val="24"/>
          <w:lang w:val="en-GB"/>
        </w:rPr>
      </w:pPr>
      <w:r>
        <w:rPr>
          <w:rFonts w:cs="Times New Roman"/>
          <w:b/>
          <w:szCs w:val="24"/>
          <w:lang w:val="en-GB"/>
        </w:rPr>
        <w:t xml:space="preserve">The Fund would have its </w:t>
      </w:r>
      <w:r w:rsidRPr="00F0193B">
        <w:rPr>
          <w:rFonts w:cs="Times New Roman"/>
          <w:b/>
          <w:szCs w:val="24"/>
          <w:lang w:val="en-GB"/>
        </w:rPr>
        <w:t>separate record account</w:t>
      </w:r>
      <w:r>
        <w:rPr>
          <w:rFonts w:cs="Times New Roman"/>
          <w:szCs w:val="24"/>
          <w:lang w:val="en-GB"/>
        </w:rPr>
        <w:t xml:space="preserve"> </w:t>
      </w:r>
      <w:r w:rsidR="00E46D2C">
        <w:rPr>
          <w:rFonts w:cs="Times New Roman"/>
          <w:szCs w:val="24"/>
          <w:lang w:val="en-GB"/>
        </w:rPr>
        <w:t>–</w:t>
      </w:r>
      <w:r>
        <w:rPr>
          <w:rFonts w:cs="Times New Roman"/>
          <w:szCs w:val="24"/>
          <w:lang w:val="en-GB"/>
        </w:rPr>
        <w:t xml:space="preserve"> This </w:t>
      </w:r>
      <w:r w:rsidRPr="005B5F57">
        <w:rPr>
          <w:rFonts w:cs="Times New Roman"/>
          <w:szCs w:val="24"/>
          <w:lang w:val="en-GB"/>
        </w:rPr>
        <w:t>enables adequate traceability</w:t>
      </w:r>
      <w:r>
        <w:rPr>
          <w:rFonts w:cs="Times New Roman"/>
          <w:szCs w:val="24"/>
          <w:lang w:val="en-GB"/>
        </w:rPr>
        <w:t>,</w:t>
      </w:r>
    </w:p>
    <w:p w:rsidR="00444EA0" w:rsidRPr="00D964DB" w:rsidRDefault="00444EA0" w:rsidP="00351681">
      <w:pPr>
        <w:pStyle w:val="ListParagraph"/>
        <w:numPr>
          <w:ilvl w:val="0"/>
          <w:numId w:val="4"/>
        </w:numPr>
        <w:rPr>
          <w:rFonts w:cs="Times New Roman"/>
          <w:szCs w:val="24"/>
          <w:lang w:val="en-GB"/>
        </w:rPr>
      </w:pPr>
      <w:r w:rsidRPr="00D964DB">
        <w:rPr>
          <w:rFonts w:cs="Times New Roman"/>
          <w:b/>
          <w:szCs w:val="24"/>
          <w:lang w:val="en-GB"/>
        </w:rPr>
        <w:t xml:space="preserve">It is defined </w:t>
      </w:r>
      <w:r w:rsidR="00AB3FAF">
        <w:rPr>
          <w:rFonts w:cs="Times New Roman"/>
          <w:b/>
          <w:szCs w:val="24"/>
          <w:lang w:val="en-GB"/>
        </w:rPr>
        <w:t xml:space="preserve">(also) </w:t>
      </w:r>
      <w:r w:rsidRPr="00D964DB">
        <w:rPr>
          <w:rFonts w:cs="Times New Roman"/>
          <w:b/>
          <w:szCs w:val="24"/>
          <w:lang w:val="en-GB"/>
        </w:rPr>
        <w:t>for the purpose to co-finance EU assistance</w:t>
      </w:r>
      <w:r w:rsidRPr="00D964DB">
        <w:rPr>
          <w:rFonts w:cs="Times New Roman"/>
          <w:szCs w:val="24"/>
          <w:lang w:val="en-GB"/>
        </w:rPr>
        <w:t xml:space="preserve"> – It is not related to a single project, as it is the case in current system established in the Instruction for budget preparation,</w:t>
      </w:r>
    </w:p>
    <w:p w:rsidR="00444EA0" w:rsidRPr="005B5F57" w:rsidRDefault="00444EA0" w:rsidP="00351681">
      <w:pPr>
        <w:pStyle w:val="ListParagraph"/>
        <w:numPr>
          <w:ilvl w:val="0"/>
          <w:numId w:val="4"/>
        </w:numPr>
        <w:rPr>
          <w:rFonts w:cs="Times New Roman"/>
          <w:szCs w:val="24"/>
          <w:lang w:val="en-GB"/>
        </w:rPr>
      </w:pPr>
      <w:r w:rsidRPr="00FA2F9B">
        <w:rPr>
          <w:b/>
        </w:rPr>
        <w:t>Line ministers are appointed to manage it through the steering committee</w:t>
      </w:r>
      <w:r>
        <w:t xml:space="preserve"> </w:t>
      </w:r>
      <w:r>
        <w:rPr>
          <w:rFonts w:cs="Times New Roman"/>
          <w:szCs w:val="24"/>
          <w:lang w:val="en-GB"/>
        </w:rPr>
        <w:t>– This gives the p</w:t>
      </w:r>
      <w:r w:rsidRPr="005B5F57">
        <w:rPr>
          <w:rFonts w:cs="Times New Roman"/>
          <w:szCs w:val="24"/>
          <w:lang w:val="en-GB"/>
        </w:rPr>
        <w:t>ossibility to clearly define procedures in accordance with EU regulation</w:t>
      </w:r>
      <w:r>
        <w:rPr>
          <w:rFonts w:cs="Times New Roman"/>
          <w:szCs w:val="24"/>
          <w:lang w:val="en-GB"/>
        </w:rPr>
        <w:t>s,</w:t>
      </w:r>
    </w:p>
    <w:p w:rsidR="00444EA0" w:rsidRPr="005B5F57" w:rsidRDefault="00444EA0" w:rsidP="00351681">
      <w:pPr>
        <w:pStyle w:val="ListParagraph"/>
        <w:numPr>
          <w:ilvl w:val="0"/>
          <w:numId w:val="4"/>
        </w:numPr>
        <w:rPr>
          <w:rFonts w:cs="Times New Roman"/>
          <w:szCs w:val="24"/>
          <w:lang w:val="en-GB"/>
        </w:rPr>
      </w:pPr>
      <w:r w:rsidRPr="00D964DB">
        <w:rPr>
          <w:rFonts w:cs="Times New Roman"/>
          <w:b/>
          <w:szCs w:val="24"/>
          <w:lang w:val="en-GB"/>
        </w:rPr>
        <w:t>It</w:t>
      </w:r>
      <w:r>
        <w:rPr>
          <w:rFonts w:cs="Times New Roman"/>
          <w:b/>
          <w:szCs w:val="24"/>
          <w:lang w:val="en-GB"/>
        </w:rPr>
        <w:t xml:space="preserve"> is established by a separate law</w:t>
      </w:r>
      <w:r>
        <w:rPr>
          <w:rFonts w:cs="Times New Roman"/>
          <w:szCs w:val="24"/>
          <w:lang w:val="en-GB"/>
        </w:rPr>
        <w:t xml:space="preserve"> – This </w:t>
      </w:r>
      <w:r w:rsidRPr="005B5F57">
        <w:rPr>
          <w:rFonts w:cs="Times New Roman"/>
          <w:szCs w:val="24"/>
          <w:lang w:val="en-GB"/>
        </w:rPr>
        <w:t xml:space="preserve">provides flexibility necessary for fine-tuning of </w:t>
      </w:r>
      <w:r w:rsidR="00AE734E">
        <w:rPr>
          <w:rFonts w:cs="Times New Roman"/>
          <w:szCs w:val="24"/>
          <w:lang w:val="en-GB"/>
        </w:rPr>
        <w:t xml:space="preserve">the </w:t>
      </w:r>
      <w:r w:rsidR="00153204">
        <w:rPr>
          <w:rFonts w:cs="Times New Roman"/>
          <w:szCs w:val="24"/>
          <w:lang w:val="en-GB"/>
        </w:rPr>
        <w:t xml:space="preserve">established </w:t>
      </w:r>
      <w:r w:rsidRPr="005B5F57">
        <w:rPr>
          <w:rFonts w:cs="Times New Roman"/>
          <w:szCs w:val="24"/>
          <w:lang w:val="en-GB"/>
        </w:rPr>
        <w:t>system</w:t>
      </w:r>
      <w:r>
        <w:rPr>
          <w:rFonts w:cs="Times New Roman"/>
          <w:szCs w:val="24"/>
          <w:lang w:val="en-GB"/>
        </w:rPr>
        <w:t>,</w:t>
      </w:r>
    </w:p>
    <w:p w:rsidR="00444EA0" w:rsidRPr="005B5F57" w:rsidRDefault="00444EA0" w:rsidP="00351681">
      <w:pPr>
        <w:pStyle w:val="ListParagraph"/>
        <w:numPr>
          <w:ilvl w:val="0"/>
          <w:numId w:val="4"/>
        </w:numPr>
        <w:rPr>
          <w:rFonts w:cs="Times New Roman"/>
          <w:szCs w:val="24"/>
          <w:lang w:val="en-GB"/>
        </w:rPr>
      </w:pPr>
      <w:r w:rsidRPr="00D964DB">
        <w:rPr>
          <w:rFonts w:cs="Times New Roman"/>
          <w:b/>
          <w:szCs w:val="24"/>
          <w:lang w:val="en-GB"/>
        </w:rPr>
        <w:t>At the end of current year, unused resources from its account shall be carried over to the next year</w:t>
      </w:r>
      <w:r>
        <w:rPr>
          <w:rFonts w:cs="Times New Roman"/>
          <w:szCs w:val="24"/>
          <w:lang w:val="en-GB"/>
        </w:rPr>
        <w:t xml:space="preserve"> – A</w:t>
      </w:r>
      <w:r w:rsidRPr="005B5F57">
        <w:rPr>
          <w:rFonts w:cs="Times New Roman"/>
          <w:szCs w:val="24"/>
          <w:lang w:val="en-GB"/>
        </w:rPr>
        <w:t>gain</w:t>
      </w:r>
      <w:r>
        <w:rPr>
          <w:rFonts w:cs="Times New Roman"/>
          <w:szCs w:val="24"/>
          <w:lang w:val="en-GB"/>
        </w:rPr>
        <w:t>, this</w:t>
      </w:r>
      <w:r w:rsidRPr="005B5F57">
        <w:rPr>
          <w:rFonts w:cs="Times New Roman"/>
          <w:szCs w:val="24"/>
          <w:lang w:val="en-GB"/>
        </w:rPr>
        <w:t xml:space="preserve"> provides</w:t>
      </w:r>
      <w:r>
        <w:rPr>
          <w:rFonts w:cs="Times New Roman"/>
          <w:szCs w:val="24"/>
          <w:lang w:val="en-GB"/>
        </w:rPr>
        <w:t xml:space="preserve"> for</w:t>
      </w:r>
      <w:r w:rsidRPr="005B5F57">
        <w:rPr>
          <w:rFonts w:cs="Times New Roman"/>
          <w:szCs w:val="24"/>
          <w:lang w:val="en-GB"/>
        </w:rPr>
        <w:t xml:space="preserve"> flexibility in project financing and enabling prompt respond to eventual changes in the project implementation.</w:t>
      </w:r>
    </w:p>
    <w:p w:rsidR="00444EA0" w:rsidRDefault="00A07B29" w:rsidP="00027216">
      <w:pPr>
        <w:spacing w:after="0"/>
        <w:rPr>
          <w:lang w:val="sr-Cyrl-CS"/>
        </w:rPr>
      </w:pPr>
      <w:r>
        <w:rPr>
          <w:noProof/>
        </w:rPr>
        <mc:AlternateContent>
          <mc:Choice Requires="wps">
            <w:drawing>
              <wp:anchor distT="0" distB="0" distL="114300" distR="114300" simplePos="0" relativeHeight="251700224" behindDoc="0" locked="0" layoutInCell="1" allowOverlap="1" wp14:anchorId="6FCAF8C8" wp14:editId="58B71461">
                <wp:simplePos x="0" y="0"/>
                <wp:positionH relativeFrom="column">
                  <wp:posOffset>0</wp:posOffset>
                </wp:positionH>
                <wp:positionV relativeFrom="paragraph">
                  <wp:posOffset>1283970</wp:posOffset>
                </wp:positionV>
                <wp:extent cx="5835650" cy="1143000"/>
                <wp:effectExtent l="0" t="0" r="12700" b="19050"/>
                <wp:wrapSquare wrapText="bothSides"/>
                <wp:docPr id="13"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1143000"/>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227A2" w:rsidRPr="00E93AA7" w:rsidRDefault="008227A2" w:rsidP="00E46D2C">
                            <w:pPr>
                              <w:rPr>
                                <w:b/>
                                <w:i/>
                                <w:lang w:val="en-GB"/>
                              </w:rPr>
                            </w:pPr>
                            <w:r w:rsidRPr="00E93AA7">
                              <w:rPr>
                                <w:b/>
                                <w:i/>
                                <w:lang w:val="en-GB"/>
                              </w:rPr>
                              <w:t xml:space="preserve">In order to manage </w:t>
                            </w:r>
                            <w:r>
                              <w:rPr>
                                <w:b/>
                                <w:i/>
                                <w:lang w:val="en-GB"/>
                              </w:rPr>
                              <w:t xml:space="preserve">national </w:t>
                            </w:r>
                            <w:r w:rsidRPr="00E93AA7">
                              <w:rPr>
                                <w:b/>
                                <w:i/>
                                <w:lang w:val="en-GB"/>
                              </w:rPr>
                              <w:t xml:space="preserve">budget and </w:t>
                            </w:r>
                            <w:r>
                              <w:rPr>
                                <w:b/>
                                <w:i/>
                                <w:lang w:val="en-GB"/>
                              </w:rPr>
                              <w:t xml:space="preserve">potentially </w:t>
                            </w:r>
                            <w:r w:rsidRPr="00E93AA7">
                              <w:rPr>
                                <w:b/>
                                <w:i/>
                                <w:lang w:val="en-GB"/>
                              </w:rPr>
                              <w:t xml:space="preserve">EU resources and serve as a grant-providing mechanism, the Social Inclusion Fund would need to have a legal status and have close ties to relevant stakeholders (ministries, civil society organisations etc). Aiming to reduce administrative burden, the Fund could absorb some of the employees from the existing structures, including other active Funds.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ounded Rectangle 14" o:spid="_x0000_s1032" style="position:absolute;left:0;text-align:left;margin-left:0;margin-top:101.1pt;width:459.5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" fillcolor="#d8d8d8 [2732]" strokecolor="black [3213]" strokeweight="1pt">
                <v:shadow color="black" opacity="24903f" origin=",.5" offset="0,.55556mm"/>
                <v:path arrowok="t"/>
                <v:textbox>
                  <w:txbxContent>
                    <w:p w:rsidR="008227A2" w:rsidRPr="00E93AA7" w:rsidRDefault="008227A2" w:rsidP="00E46D2C">
                      <w:pPr>
                        <w:rPr>
                          <w:b/>
                          <w:i/>
                          <w:lang w:val="en-GB"/>
                        </w:rPr>
                      </w:pPr>
                      <w:r w:rsidRPr="00E93AA7">
                        <w:rPr>
                          <w:b/>
                          <w:i/>
                          <w:lang w:val="en-GB"/>
                        </w:rPr>
                        <w:t xml:space="preserve">In order to manage </w:t>
                      </w:r>
                      <w:r>
                        <w:rPr>
                          <w:b/>
                          <w:i/>
                          <w:lang w:val="en-GB"/>
                        </w:rPr>
                        <w:t xml:space="preserve">national </w:t>
                      </w:r>
                      <w:r w:rsidRPr="00E93AA7">
                        <w:rPr>
                          <w:b/>
                          <w:i/>
                          <w:lang w:val="en-GB"/>
                        </w:rPr>
                        <w:t xml:space="preserve">budget and </w:t>
                      </w:r>
                      <w:r>
                        <w:rPr>
                          <w:b/>
                          <w:i/>
                          <w:lang w:val="en-GB"/>
                        </w:rPr>
                        <w:t xml:space="preserve">potentially </w:t>
                      </w:r>
                      <w:r w:rsidRPr="00E93AA7">
                        <w:rPr>
                          <w:b/>
                          <w:i/>
                          <w:lang w:val="en-GB"/>
                        </w:rPr>
                        <w:t xml:space="preserve">EU resources and serve as a grant-providing mechanism, the Social Inclusion Fund would need to have a legal status and have close ties to relevant stakeholders (ministries, civil society organisations etc). Aiming to reduce administrative burden, the Fund could absorb some of the employees from the existing structures, including other active Funds. </w:t>
                      </w:r>
                    </w:p>
                  </w:txbxContent>
                </v:textbox>
                <w10:wrap type="square"/>
              </v:rect>
            </w:pict>
          </mc:Fallback>
        </mc:AlternateContent>
      </w:r>
      <w:r w:rsidR="00444EA0" w:rsidRPr="005B5F57">
        <w:rPr>
          <w:lang w:val="en-GB"/>
        </w:rPr>
        <w:t xml:space="preserve">Therefore, the most suitable institutional structure for the future Social Inclusion Fund is to establish an independent organization with </w:t>
      </w:r>
      <w:r w:rsidR="00444EA0">
        <w:rPr>
          <w:lang w:val="en-GB"/>
        </w:rPr>
        <w:t xml:space="preserve">a </w:t>
      </w:r>
      <w:r w:rsidR="00444EA0" w:rsidRPr="005B5F57">
        <w:rPr>
          <w:lang w:val="en-GB"/>
        </w:rPr>
        <w:t xml:space="preserve">strong legal background. In order to utilise existing resources, the </w:t>
      </w:r>
      <w:r w:rsidR="00153204">
        <w:rPr>
          <w:lang w:val="en-GB"/>
        </w:rPr>
        <w:t>underl</w:t>
      </w:r>
      <w:r w:rsidR="009E7F08">
        <w:rPr>
          <w:lang w:val="en-GB"/>
        </w:rPr>
        <w:t>y</w:t>
      </w:r>
      <w:r w:rsidR="00153204">
        <w:rPr>
          <w:lang w:val="en-GB"/>
        </w:rPr>
        <w:t xml:space="preserve">ing principle for the establishment of the Fund should be to embrace existing structures (e.g. </w:t>
      </w:r>
      <w:r w:rsidR="00AE734E">
        <w:rPr>
          <w:lang w:val="en-GB"/>
        </w:rPr>
        <w:t xml:space="preserve">budgetary </w:t>
      </w:r>
      <w:r w:rsidR="00153204">
        <w:rPr>
          <w:lang w:val="en-GB"/>
        </w:rPr>
        <w:t>funds)</w:t>
      </w:r>
      <w:r w:rsidR="00D56E5E">
        <w:rPr>
          <w:lang w:val="en-GB"/>
        </w:rPr>
        <w:t>,</w:t>
      </w:r>
      <w:r w:rsidR="00153204">
        <w:rPr>
          <w:lang w:val="en-GB"/>
        </w:rPr>
        <w:t xml:space="preserve"> under one strong and well positioned </w:t>
      </w:r>
      <w:r w:rsidR="00D56E5E">
        <w:rPr>
          <w:lang w:val="en-GB"/>
        </w:rPr>
        <w:t xml:space="preserve">umbrella institution and consequently </w:t>
      </w:r>
      <w:r w:rsidR="00444EA0" w:rsidRPr="005B5F57">
        <w:rPr>
          <w:lang w:val="en-GB"/>
        </w:rPr>
        <w:t xml:space="preserve">absorb some of the employees from the existing structures. </w:t>
      </w:r>
    </w:p>
    <w:p w:rsidR="00444EA0" w:rsidRDefault="00444EA0" w:rsidP="00027216">
      <w:pPr>
        <w:rPr>
          <w:lang w:val="en-GB"/>
        </w:rPr>
      </w:pPr>
      <w:r w:rsidRPr="005B5F57">
        <w:rPr>
          <w:lang w:val="en-GB"/>
        </w:rPr>
        <w:t xml:space="preserve">There are three legal options for establishing </w:t>
      </w:r>
      <w:r>
        <w:rPr>
          <w:lang w:val="en-GB"/>
        </w:rPr>
        <w:t>a</w:t>
      </w:r>
      <w:r w:rsidRPr="005B5F57">
        <w:rPr>
          <w:lang w:val="en-GB"/>
        </w:rPr>
        <w:t xml:space="preserve"> future Social Inclusion Fund: </w:t>
      </w:r>
    </w:p>
    <w:p w:rsidR="00444EA0" w:rsidRDefault="00444EA0" w:rsidP="00027216">
      <w:pPr>
        <w:pStyle w:val="ListParagraph"/>
        <w:rPr>
          <w:lang w:val="en-GB"/>
        </w:rPr>
      </w:pPr>
      <w:r w:rsidRPr="005B5F57">
        <w:rPr>
          <w:lang w:val="en-GB"/>
        </w:rPr>
        <w:t xml:space="preserve">(1) </w:t>
      </w:r>
      <w:r>
        <w:rPr>
          <w:lang w:val="en-GB"/>
        </w:rPr>
        <w:t>Amendments to a sector-specific</w:t>
      </w:r>
      <w:r w:rsidRPr="005B5F57">
        <w:rPr>
          <w:lang w:val="en-GB"/>
        </w:rPr>
        <w:t xml:space="preserve"> law, </w:t>
      </w:r>
    </w:p>
    <w:p w:rsidR="00444EA0" w:rsidRDefault="00444EA0" w:rsidP="00027216">
      <w:pPr>
        <w:pStyle w:val="ListParagraph"/>
        <w:rPr>
          <w:lang w:val="en-GB"/>
        </w:rPr>
      </w:pPr>
      <w:r w:rsidRPr="005B5F57">
        <w:rPr>
          <w:lang w:val="en-GB"/>
        </w:rPr>
        <w:t xml:space="preserve">(2) </w:t>
      </w:r>
      <w:r>
        <w:rPr>
          <w:lang w:val="en-GB"/>
        </w:rPr>
        <w:t xml:space="preserve">A </w:t>
      </w:r>
      <w:r w:rsidRPr="005B5F57">
        <w:rPr>
          <w:lang w:val="en-GB"/>
        </w:rPr>
        <w:t xml:space="preserve">specific law on </w:t>
      </w:r>
      <w:r>
        <w:rPr>
          <w:lang w:val="en-GB"/>
        </w:rPr>
        <w:t xml:space="preserve">the </w:t>
      </w:r>
      <w:r w:rsidRPr="005B5F57">
        <w:rPr>
          <w:lang w:val="en-GB"/>
        </w:rPr>
        <w:t xml:space="preserve">Social Inclusion Fund, and </w:t>
      </w:r>
    </w:p>
    <w:p w:rsidR="00444EA0" w:rsidRDefault="00444EA0" w:rsidP="00027216">
      <w:pPr>
        <w:pStyle w:val="ListParagraph"/>
        <w:rPr>
          <w:lang w:val="en-GB"/>
        </w:rPr>
      </w:pPr>
      <w:r>
        <w:rPr>
          <w:lang w:val="en-GB"/>
        </w:rPr>
        <w:t>(3) The Law on Public Agencies, which would establish the Social Inclusion Fund</w:t>
      </w:r>
      <w:r w:rsidRPr="005B5F57">
        <w:rPr>
          <w:lang w:val="en-GB"/>
        </w:rPr>
        <w:t xml:space="preserve"> as a public agency. </w:t>
      </w:r>
    </w:p>
    <w:p w:rsidR="00444EA0" w:rsidRPr="005B5F57" w:rsidRDefault="00444EA0" w:rsidP="00444EA0">
      <w:pPr>
        <w:rPr>
          <w:rFonts w:cs="Times New Roman"/>
          <w:szCs w:val="24"/>
          <w:lang w:val="en-GB"/>
        </w:rPr>
      </w:pPr>
      <w:r w:rsidRPr="005B5F57">
        <w:rPr>
          <w:rFonts w:cs="Times New Roman"/>
          <w:szCs w:val="24"/>
          <w:lang w:val="en-GB"/>
        </w:rPr>
        <w:t>The analysis summarises</w:t>
      </w:r>
      <w:r>
        <w:rPr>
          <w:rFonts w:cs="Times New Roman"/>
          <w:szCs w:val="24"/>
          <w:lang w:val="en-GB"/>
        </w:rPr>
        <w:t xml:space="preserve"> the</w:t>
      </w:r>
      <w:r w:rsidRPr="005B5F57">
        <w:rPr>
          <w:rFonts w:cs="Times New Roman"/>
          <w:szCs w:val="24"/>
          <w:lang w:val="en-GB"/>
        </w:rPr>
        <w:t xml:space="preserve"> pros and cons of each solution in the following key areas: administrative and political costs, governance structure and multisector</w:t>
      </w:r>
      <w:r w:rsidR="00AE734E">
        <w:rPr>
          <w:rFonts w:cs="Times New Roman"/>
          <w:szCs w:val="24"/>
          <w:lang w:val="en-GB"/>
        </w:rPr>
        <w:t>al</w:t>
      </w:r>
      <w:r w:rsidRPr="005B5F57">
        <w:rPr>
          <w:rFonts w:cs="Times New Roman"/>
          <w:szCs w:val="24"/>
          <w:lang w:val="en-GB"/>
        </w:rPr>
        <w:t xml:space="preserve"> </w:t>
      </w:r>
      <w:r>
        <w:rPr>
          <w:rFonts w:cs="Times New Roman"/>
          <w:szCs w:val="24"/>
          <w:lang w:val="en-GB"/>
        </w:rPr>
        <w:t>issues</w:t>
      </w:r>
      <w:r w:rsidR="00701D9F">
        <w:rPr>
          <w:rFonts w:cs="Times New Roman"/>
          <w:szCs w:val="24"/>
          <w:lang w:val="en-GB"/>
        </w:rPr>
        <w:t>. Since all the solutions imply a legislative procedure conducted by the National Assembly at the motion of the Government, a common challenge is the opportunity to amend the draft legal instrument, previously adopted by the Government, in the Parliament procedure through amendments.</w:t>
      </w:r>
    </w:p>
    <w:p w:rsidR="00444EA0" w:rsidRPr="005909A6" w:rsidRDefault="00444EA0" w:rsidP="00444EA0">
      <w:pPr>
        <w:rPr>
          <w:rFonts w:cs="Times New Roman"/>
          <w:b/>
          <w:szCs w:val="24"/>
          <w:lang w:val="en-GB"/>
        </w:rPr>
      </w:pPr>
      <w:r w:rsidRPr="005909A6">
        <w:rPr>
          <w:rFonts w:cs="Times New Roman"/>
          <w:b/>
          <w:szCs w:val="24"/>
          <w:lang w:val="en-GB"/>
        </w:rPr>
        <w:t xml:space="preserve">Option 1. </w:t>
      </w:r>
      <w:r>
        <w:rPr>
          <w:rFonts w:cs="Times New Roman"/>
          <w:b/>
          <w:szCs w:val="24"/>
          <w:lang w:val="en-GB"/>
        </w:rPr>
        <w:t>Establishment of the</w:t>
      </w:r>
      <w:r w:rsidRPr="005909A6">
        <w:rPr>
          <w:rFonts w:cs="Times New Roman"/>
          <w:b/>
          <w:szCs w:val="24"/>
          <w:lang w:val="en-GB"/>
        </w:rPr>
        <w:t xml:space="preserve"> Social Inclusion Fund through amendments to </w:t>
      </w:r>
      <w:r>
        <w:rPr>
          <w:rFonts w:cs="Times New Roman"/>
          <w:b/>
          <w:szCs w:val="24"/>
          <w:lang w:val="en-GB"/>
        </w:rPr>
        <w:t>a</w:t>
      </w:r>
      <w:r w:rsidRPr="005909A6">
        <w:rPr>
          <w:rFonts w:cs="Times New Roman"/>
          <w:b/>
          <w:szCs w:val="24"/>
          <w:lang w:val="en-GB"/>
        </w:rPr>
        <w:t xml:space="preserve"> sector</w:t>
      </w:r>
      <w:r>
        <w:rPr>
          <w:rFonts w:cs="Times New Roman"/>
          <w:b/>
          <w:szCs w:val="24"/>
          <w:lang w:val="en-GB"/>
        </w:rPr>
        <w:t>-specific</w:t>
      </w:r>
      <w:r w:rsidRPr="005909A6">
        <w:rPr>
          <w:rFonts w:cs="Times New Roman"/>
          <w:b/>
          <w:szCs w:val="24"/>
          <w:lang w:val="en-GB"/>
        </w:rPr>
        <w:t xml:space="preserve"> law (e.g. Law on Social Protection). </w:t>
      </w:r>
    </w:p>
    <w:tbl>
      <w:tblPr>
        <w:tblStyle w:val="TableGrid"/>
        <w:tblW w:w="9480" w:type="dxa"/>
        <w:tblLook w:val="04A0" w:firstRow="1" w:lastRow="0" w:firstColumn="1" w:lastColumn="0" w:noHBand="0" w:noVBand="1"/>
      </w:tblPr>
      <w:tblGrid>
        <w:gridCol w:w="4709"/>
        <w:gridCol w:w="4771"/>
      </w:tblGrid>
      <w:tr w:rsidR="00444EA0" w:rsidRPr="00027216" w:rsidTr="00444EA0">
        <w:tc>
          <w:tcPr>
            <w:tcW w:w="4709" w:type="dxa"/>
            <w:hideMark/>
          </w:tcPr>
          <w:p w:rsidR="00444EA0" w:rsidRPr="00027216" w:rsidRDefault="00444EA0" w:rsidP="00027216">
            <w:pPr>
              <w:spacing w:before="0" w:after="200" w:line="276" w:lineRule="auto"/>
              <w:jc w:val="center"/>
              <w:rPr>
                <w:rFonts w:cs="Times New Roman"/>
                <w:b/>
                <w:lang w:val="en-GB"/>
              </w:rPr>
            </w:pPr>
            <w:r w:rsidRPr="00027216">
              <w:rPr>
                <w:rFonts w:cs="Times New Roman"/>
                <w:b/>
                <w:lang w:val="en-GB"/>
              </w:rPr>
              <w:t>Pros</w:t>
            </w:r>
          </w:p>
        </w:tc>
        <w:tc>
          <w:tcPr>
            <w:tcW w:w="4771" w:type="dxa"/>
            <w:hideMark/>
          </w:tcPr>
          <w:p w:rsidR="00444EA0" w:rsidRPr="00027216" w:rsidRDefault="00444EA0" w:rsidP="00027216">
            <w:pPr>
              <w:spacing w:before="0" w:after="200" w:line="276" w:lineRule="auto"/>
              <w:jc w:val="center"/>
              <w:rPr>
                <w:rFonts w:cs="Times New Roman"/>
                <w:b/>
                <w:lang w:val="en-GB"/>
              </w:rPr>
            </w:pPr>
            <w:r w:rsidRPr="00027216">
              <w:rPr>
                <w:rFonts w:cs="Times New Roman"/>
                <w:b/>
                <w:lang w:val="en-GB"/>
              </w:rPr>
              <w:t>Cons</w:t>
            </w:r>
          </w:p>
        </w:tc>
      </w:tr>
      <w:tr w:rsidR="00444EA0" w:rsidRPr="00027216" w:rsidTr="00444EA0">
        <w:trPr>
          <w:trHeight w:val="547"/>
        </w:trPr>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Fairly simple and quick administrative procedure</w:t>
            </w: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Affiliation and dependence on a single sector</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Politically simple solution as the Fund remains within the line of responsibility of a single ministry</w:t>
            </w: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Inadequate governance structure, since the Fund is accountable to a single ministry</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Questionable ability to step beyond sectoral boundaries and tackle multisectoral issues</w:t>
            </w:r>
          </w:p>
        </w:tc>
      </w:tr>
    </w:tbl>
    <w:p w:rsidR="00027216" w:rsidRDefault="00027216" w:rsidP="00444EA0">
      <w:pPr>
        <w:rPr>
          <w:rFonts w:cs="Times New Roman"/>
          <w:b/>
          <w:szCs w:val="24"/>
          <w:lang w:val="en-GB"/>
        </w:rPr>
      </w:pPr>
    </w:p>
    <w:p w:rsidR="00444EA0" w:rsidRPr="005909A6" w:rsidRDefault="00444EA0" w:rsidP="00444EA0">
      <w:pPr>
        <w:rPr>
          <w:rFonts w:cs="Times New Roman"/>
          <w:b/>
          <w:szCs w:val="24"/>
          <w:lang w:val="en-GB"/>
        </w:rPr>
      </w:pPr>
      <w:r w:rsidRPr="005909A6">
        <w:rPr>
          <w:rFonts w:cs="Times New Roman"/>
          <w:b/>
          <w:szCs w:val="24"/>
          <w:lang w:val="en-GB"/>
        </w:rPr>
        <w:t xml:space="preserve">Option 2. </w:t>
      </w:r>
      <w:r>
        <w:rPr>
          <w:rFonts w:cs="Times New Roman"/>
          <w:b/>
          <w:szCs w:val="24"/>
          <w:lang w:val="en-GB"/>
        </w:rPr>
        <w:t>Establishment of the</w:t>
      </w:r>
      <w:r w:rsidRPr="005909A6">
        <w:rPr>
          <w:rFonts w:cs="Times New Roman"/>
          <w:b/>
          <w:szCs w:val="24"/>
          <w:lang w:val="en-GB"/>
        </w:rPr>
        <w:t xml:space="preserve"> Social Inclusion Fund </w:t>
      </w:r>
      <w:r>
        <w:rPr>
          <w:rFonts w:cs="Times New Roman"/>
          <w:b/>
          <w:szCs w:val="24"/>
          <w:lang w:val="en-GB"/>
        </w:rPr>
        <w:t>by means of</w:t>
      </w:r>
      <w:r w:rsidRPr="005909A6">
        <w:rPr>
          <w:rFonts w:cs="Times New Roman"/>
          <w:b/>
          <w:szCs w:val="24"/>
          <w:lang w:val="en-GB"/>
        </w:rPr>
        <w:t xml:space="preserve"> a separate law. </w:t>
      </w:r>
    </w:p>
    <w:tbl>
      <w:tblPr>
        <w:tblStyle w:val="TableGrid"/>
        <w:tblW w:w="9480" w:type="dxa"/>
        <w:tblLook w:val="04A0" w:firstRow="1" w:lastRow="0" w:firstColumn="1" w:lastColumn="0" w:noHBand="0" w:noVBand="1"/>
      </w:tblPr>
      <w:tblGrid>
        <w:gridCol w:w="4709"/>
        <w:gridCol w:w="4771"/>
      </w:tblGrid>
      <w:tr w:rsidR="00444EA0" w:rsidRPr="00027216" w:rsidTr="00444EA0">
        <w:tc>
          <w:tcPr>
            <w:tcW w:w="4709" w:type="dxa"/>
            <w:hideMark/>
          </w:tcPr>
          <w:p w:rsidR="00444EA0" w:rsidRPr="00027216" w:rsidRDefault="00444EA0" w:rsidP="00027216">
            <w:pPr>
              <w:spacing w:before="0"/>
              <w:jc w:val="center"/>
              <w:rPr>
                <w:rFonts w:cs="Times New Roman"/>
                <w:b/>
                <w:lang w:val="sr-Cyrl-CS"/>
              </w:rPr>
            </w:pPr>
            <w:r w:rsidRPr="00027216">
              <w:rPr>
                <w:rFonts w:cs="Times New Roman"/>
                <w:b/>
                <w:lang w:val="en-GB"/>
              </w:rPr>
              <w:t>Pros</w:t>
            </w:r>
          </w:p>
          <w:p w:rsidR="00444EA0" w:rsidRPr="00027216" w:rsidRDefault="00444EA0" w:rsidP="00027216">
            <w:pPr>
              <w:spacing w:before="0"/>
              <w:jc w:val="center"/>
              <w:rPr>
                <w:rFonts w:cs="Times New Roman"/>
                <w:b/>
                <w:lang w:val="sr-Cyrl-CS"/>
              </w:rPr>
            </w:pPr>
          </w:p>
        </w:tc>
        <w:tc>
          <w:tcPr>
            <w:tcW w:w="4771" w:type="dxa"/>
            <w:hideMark/>
          </w:tcPr>
          <w:p w:rsidR="00444EA0" w:rsidRPr="00027216" w:rsidRDefault="00444EA0" w:rsidP="00027216">
            <w:pPr>
              <w:spacing w:before="0"/>
              <w:jc w:val="center"/>
              <w:rPr>
                <w:rFonts w:cs="Times New Roman"/>
                <w:b/>
                <w:lang w:val="en-GB"/>
              </w:rPr>
            </w:pPr>
            <w:r w:rsidRPr="00027216">
              <w:rPr>
                <w:rFonts w:cs="Times New Roman"/>
                <w:b/>
                <w:lang w:val="en-GB"/>
              </w:rPr>
              <w:t>Cons</w:t>
            </w:r>
          </w:p>
        </w:tc>
      </w:tr>
      <w:tr w:rsidR="00444EA0" w:rsidRPr="00027216" w:rsidTr="00444EA0">
        <w:trPr>
          <w:trHeight w:val="457"/>
        </w:trPr>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Strong legal grounding</w:t>
            </w: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Long and demanding administrative procedure</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Opportunity to design an appropriate governance structure</w:t>
            </w: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Politically costly solution as it requires coordination across various sectors in the phase of establishing</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Better prospects in tackling multisectoral issues once the fund is established</w:t>
            </w:r>
          </w:p>
        </w:tc>
        <w:tc>
          <w:tcPr>
            <w:tcW w:w="4771" w:type="dxa"/>
            <w:hideMark/>
          </w:tcPr>
          <w:p w:rsidR="00444EA0" w:rsidRPr="00027216" w:rsidRDefault="00444EA0" w:rsidP="00027216">
            <w:pPr>
              <w:spacing w:before="0"/>
              <w:jc w:val="center"/>
              <w:rPr>
                <w:rFonts w:cs="Times New Roman"/>
                <w:lang w:val="en-GB"/>
              </w:rPr>
            </w:pPr>
          </w:p>
        </w:tc>
      </w:tr>
    </w:tbl>
    <w:p w:rsidR="00444EA0" w:rsidRPr="005B5F57" w:rsidRDefault="00444EA0" w:rsidP="00444EA0">
      <w:pPr>
        <w:rPr>
          <w:rFonts w:cs="Times New Roman"/>
          <w:szCs w:val="24"/>
          <w:lang w:val="en-GB"/>
        </w:rPr>
      </w:pPr>
    </w:p>
    <w:p w:rsidR="00444EA0" w:rsidRPr="005909A6" w:rsidRDefault="00444EA0" w:rsidP="00444EA0">
      <w:pPr>
        <w:rPr>
          <w:rFonts w:cs="Times New Roman"/>
          <w:b/>
          <w:szCs w:val="24"/>
          <w:lang w:val="en-GB"/>
        </w:rPr>
      </w:pPr>
      <w:r w:rsidRPr="005909A6">
        <w:rPr>
          <w:rFonts w:cs="Times New Roman"/>
          <w:b/>
          <w:szCs w:val="24"/>
          <w:lang w:val="en-GB"/>
        </w:rPr>
        <w:t xml:space="preserve">Option 3. </w:t>
      </w:r>
      <w:r>
        <w:rPr>
          <w:rFonts w:cs="Times New Roman"/>
          <w:b/>
          <w:szCs w:val="24"/>
          <w:lang w:val="en-GB"/>
        </w:rPr>
        <w:t>Establishment of the</w:t>
      </w:r>
      <w:r w:rsidRPr="005909A6">
        <w:rPr>
          <w:rFonts w:cs="Times New Roman"/>
          <w:b/>
          <w:szCs w:val="24"/>
          <w:lang w:val="en-GB"/>
        </w:rPr>
        <w:t xml:space="preserve"> Social Inclusion Fund as a public agency by the Law on Public Agencies</w:t>
      </w:r>
      <w:r w:rsidR="00AB3FAF">
        <w:rPr>
          <w:rFonts w:cs="Times New Roman"/>
          <w:b/>
          <w:szCs w:val="24"/>
          <w:lang w:val="en-GB"/>
        </w:rPr>
        <w:t>.</w:t>
      </w:r>
      <w:r w:rsidRPr="005909A6">
        <w:rPr>
          <w:rFonts w:cs="Times New Roman"/>
          <w:b/>
          <w:szCs w:val="24"/>
          <w:lang w:val="en-GB"/>
        </w:rPr>
        <w:t xml:space="preserve"> </w:t>
      </w:r>
    </w:p>
    <w:tbl>
      <w:tblPr>
        <w:tblStyle w:val="TableGrid"/>
        <w:tblW w:w="9480" w:type="dxa"/>
        <w:tblLook w:val="04A0" w:firstRow="1" w:lastRow="0" w:firstColumn="1" w:lastColumn="0" w:noHBand="0" w:noVBand="1"/>
      </w:tblPr>
      <w:tblGrid>
        <w:gridCol w:w="4709"/>
        <w:gridCol w:w="4771"/>
      </w:tblGrid>
      <w:tr w:rsidR="00444EA0" w:rsidRPr="00027216" w:rsidTr="00444EA0">
        <w:tc>
          <w:tcPr>
            <w:tcW w:w="4709" w:type="dxa"/>
            <w:hideMark/>
          </w:tcPr>
          <w:p w:rsidR="00444EA0" w:rsidRPr="00027216" w:rsidRDefault="00444EA0" w:rsidP="00027216">
            <w:pPr>
              <w:spacing w:before="0"/>
              <w:jc w:val="center"/>
              <w:rPr>
                <w:rFonts w:cs="Times New Roman"/>
                <w:b/>
                <w:lang w:val="sr-Cyrl-CS"/>
              </w:rPr>
            </w:pPr>
            <w:r w:rsidRPr="00027216">
              <w:rPr>
                <w:rFonts w:cs="Times New Roman"/>
                <w:b/>
                <w:lang w:val="en-GB"/>
              </w:rPr>
              <w:t>Pros</w:t>
            </w:r>
          </w:p>
          <w:p w:rsidR="00444EA0" w:rsidRPr="00027216" w:rsidRDefault="00444EA0" w:rsidP="00027216">
            <w:pPr>
              <w:spacing w:before="0"/>
              <w:jc w:val="center"/>
              <w:rPr>
                <w:rFonts w:cs="Times New Roman"/>
                <w:b/>
                <w:lang w:val="sr-Cyrl-CS"/>
              </w:rPr>
            </w:pPr>
          </w:p>
        </w:tc>
        <w:tc>
          <w:tcPr>
            <w:tcW w:w="4771" w:type="dxa"/>
            <w:hideMark/>
          </w:tcPr>
          <w:p w:rsidR="00444EA0" w:rsidRPr="00027216" w:rsidRDefault="00444EA0" w:rsidP="00027216">
            <w:pPr>
              <w:spacing w:before="0"/>
              <w:jc w:val="center"/>
              <w:rPr>
                <w:rFonts w:cs="Times New Roman"/>
                <w:b/>
                <w:lang w:val="en-GB"/>
              </w:rPr>
            </w:pPr>
            <w:r w:rsidRPr="00027216">
              <w:rPr>
                <w:rFonts w:cs="Times New Roman"/>
                <w:b/>
                <w:lang w:val="en-GB"/>
              </w:rPr>
              <w:t>Cons</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Opportunity to design an appropriate governance structure</w:t>
            </w: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Longer administrative procedure and possible higher political costs in present circumstances</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Questionable ability to step beyond sectoral boundaries and tackle multisectoral issues</w:t>
            </w:r>
          </w:p>
        </w:tc>
      </w:tr>
    </w:tbl>
    <w:p w:rsidR="00444EA0" w:rsidRPr="00182D71" w:rsidRDefault="00A07B29" w:rsidP="00182D71">
      <w:pPr>
        <w:pStyle w:val="Heading2"/>
      </w:pPr>
      <w:bookmarkStart w:id="37" w:name="_Toc353200781"/>
      <w:r w:rsidRPr="00182D71">
        <w:t>4</w:t>
      </w:r>
      <w:r w:rsidR="00444EA0" w:rsidRPr="00182D71">
        <w:t xml:space="preserve">.3. </w:t>
      </w:r>
      <w:r w:rsidR="00895D67" w:rsidRPr="00182D71">
        <w:t xml:space="preserve">Policy Options and </w:t>
      </w:r>
      <w:r w:rsidR="00444EA0" w:rsidRPr="00182D71">
        <w:t>Recommendations Regarding the Key Functions of the Social Inclusion Fund</w:t>
      </w:r>
      <w:bookmarkEnd w:id="37"/>
    </w:p>
    <w:p w:rsidR="00895D67" w:rsidRPr="00895D67" w:rsidRDefault="00895D67" w:rsidP="00895D67">
      <w:pPr>
        <w:rPr>
          <w:rFonts w:cs="Times New Roman"/>
          <w:szCs w:val="24"/>
          <w:lang w:val="en-GB"/>
        </w:rPr>
      </w:pPr>
      <w:r>
        <w:rPr>
          <w:rFonts w:cs="Times New Roman"/>
          <w:b/>
          <w:szCs w:val="24"/>
          <w:lang w:val="en-GB"/>
        </w:rPr>
        <w:t>S</w:t>
      </w:r>
      <w:r w:rsidRPr="00A63902">
        <w:rPr>
          <w:rFonts w:cs="Times New Roman"/>
          <w:b/>
          <w:szCs w:val="24"/>
          <w:lang w:val="en-GB"/>
        </w:rPr>
        <w:t>ince the Serbian Government will have to tackle the issue of public policy coordination</w:t>
      </w:r>
      <w:r>
        <w:rPr>
          <w:rFonts w:cs="Times New Roman"/>
          <w:b/>
          <w:szCs w:val="24"/>
          <w:lang w:val="en-GB"/>
        </w:rPr>
        <w:t xml:space="preserve"> and implementation</w:t>
      </w:r>
      <w:r w:rsidRPr="00A63902">
        <w:rPr>
          <w:rFonts w:cs="Times New Roman"/>
          <w:b/>
          <w:szCs w:val="24"/>
          <w:lang w:val="en-GB"/>
        </w:rPr>
        <w:t xml:space="preserve"> in the field of social inclusion,</w:t>
      </w:r>
      <w:r w:rsidRPr="00F055D6">
        <w:rPr>
          <w:rFonts w:cs="Times New Roman"/>
          <w:szCs w:val="24"/>
          <w:lang w:val="en-GB"/>
        </w:rPr>
        <w:t xml:space="preserve"> two solutions </w:t>
      </w:r>
      <w:r>
        <w:rPr>
          <w:rFonts w:cs="Times New Roman"/>
          <w:szCs w:val="24"/>
          <w:lang w:val="en-GB"/>
        </w:rPr>
        <w:t xml:space="preserve">concerning the core functions of the Social Inclusion Fund </w:t>
      </w:r>
      <w:r w:rsidRPr="00F055D6">
        <w:rPr>
          <w:rFonts w:cs="Times New Roman"/>
          <w:szCs w:val="24"/>
          <w:lang w:val="en-GB"/>
        </w:rPr>
        <w:t>and their pros and cons are explored in brief:</w:t>
      </w:r>
    </w:p>
    <w:p w:rsidR="00895D67" w:rsidRPr="00833871" w:rsidRDefault="00895D67" w:rsidP="00351681">
      <w:pPr>
        <w:pStyle w:val="ListParagraph"/>
        <w:numPr>
          <w:ilvl w:val="0"/>
          <w:numId w:val="7"/>
        </w:numPr>
        <w:rPr>
          <w:rFonts w:cs="Times New Roman"/>
          <w:b/>
          <w:szCs w:val="24"/>
          <w:lang w:val="en-GB"/>
        </w:rPr>
      </w:pPr>
      <w:r w:rsidRPr="00FC6194">
        <w:rPr>
          <w:rFonts w:cs="Times New Roman"/>
          <w:b/>
          <w:szCs w:val="24"/>
          <w:u w:val="single"/>
          <w:lang w:val="en-GB"/>
        </w:rPr>
        <w:t xml:space="preserve">Placing the policy coordination </w:t>
      </w:r>
      <w:r>
        <w:rPr>
          <w:rFonts w:cs="Times New Roman"/>
          <w:b/>
          <w:szCs w:val="24"/>
          <w:u w:val="single"/>
          <w:lang w:val="en-GB"/>
        </w:rPr>
        <w:t xml:space="preserve">and implementation </w:t>
      </w:r>
      <w:r w:rsidRPr="00FC6194">
        <w:rPr>
          <w:rFonts w:cs="Times New Roman"/>
          <w:b/>
          <w:szCs w:val="24"/>
          <w:u w:val="single"/>
          <w:lang w:val="en-GB"/>
        </w:rPr>
        <w:t>function in the Social Inclusion Fund and using the new-born mechanism to bridge the existing gap in coordinating public policies</w:t>
      </w:r>
      <w:r w:rsidRPr="00833871">
        <w:rPr>
          <w:rFonts w:cs="Times New Roman"/>
          <w:b/>
          <w:szCs w:val="24"/>
          <w:lang w:val="en-GB"/>
        </w:rPr>
        <w:t xml:space="preserve">. </w:t>
      </w:r>
    </w:p>
    <w:p w:rsidR="00895D67" w:rsidRPr="00833871" w:rsidRDefault="00895D67" w:rsidP="00895D67">
      <w:pPr>
        <w:rPr>
          <w:rFonts w:cs="Times New Roman"/>
          <w:szCs w:val="24"/>
          <w:lang w:val="en-GB"/>
        </w:rPr>
      </w:pPr>
      <w:r w:rsidRPr="00833871">
        <w:rPr>
          <w:rFonts w:cs="Times New Roman"/>
          <w:szCs w:val="24"/>
          <w:lang w:val="en-GB"/>
        </w:rPr>
        <w:t>Key positive s</w:t>
      </w:r>
      <w:r>
        <w:rPr>
          <w:rFonts w:cs="Times New Roman"/>
          <w:szCs w:val="24"/>
          <w:lang w:val="en-GB"/>
        </w:rPr>
        <w:t>ides of this solution are short-</w:t>
      </w:r>
      <w:r w:rsidRPr="00833871">
        <w:rPr>
          <w:rFonts w:cs="Times New Roman"/>
          <w:szCs w:val="24"/>
          <w:lang w:val="en-GB"/>
        </w:rPr>
        <w:t>term</w:t>
      </w:r>
      <w:r>
        <w:rPr>
          <w:rFonts w:cs="Times New Roman"/>
          <w:szCs w:val="24"/>
          <w:lang w:val="en-GB"/>
        </w:rPr>
        <w:t>, while negative ones are longer-</w:t>
      </w:r>
      <w:r w:rsidRPr="00833871">
        <w:rPr>
          <w:rFonts w:cs="Times New Roman"/>
          <w:szCs w:val="24"/>
          <w:lang w:val="en-GB"/>
        </w:rPr>
        <w:t xml:space="preserve">term. </w:t>
      </w:r>
    </w:p>
    <w:tbl>
      <w:tblPr>
        <w:tblStyle w:val="TableGrid"/>
        <w:tblW w:w="0" w:type="auto"/>
        <w:tblLook w:val="04A0" w:firstRow="1" w:lastRow="0" w:firstColumn="1" w:lastColumn="0" w:noHBand="0" w:noVBand="1"/>
      </w:tblPr>
      <w:tblGrid>
        <w:gridCol w:w="4428"/>
        <w:gridCol w:w="4410"/>
      </w:tblGrid>
      <w:tr w:rsidR="00895D67" w:rsidRPr="00027216" w:rsidTr="00253B51">
        <w:tc>
          <w:tcPr>
            <w:tcW w:w="4428" w:type="dxa"/>
          </w:tcPr>
          <w:p w:rsidR="00895D67" w:rsidRPr="00027216" w:rsidRDefault="00895D67" w:rsidP="00253B51">
            <w:pPr>
              <w:pStyle w:val="ListParagraph"/>
              <w:spacing w:before="0"/>
              <w:ind w:left="0"/>
              <w:jc w:val="center"/>
              <w:rPr>
                <w:rFonts w:cs="Times New Roman"/>
                <w:b/>
                <w:lang w:val="sr-Cyrl-CS"/>
              </w:rPr>
            </w:pPr>
            <w:r w:rsidRPr="00027216">
              <w:rPr>
                <w:rFonts w:cs="Times New Roman"/>
                <w:b/>
                <w:lang w:val="en-GB"/>
              </w:rPr>
              <w:t>Pros</w:t>
            </w:r>
          </w:p>
          <w:p w:rsidR="00895D67" w:rsidRPr="00027216" w:rsidRDefault="00895D67" w:rsidP="00253B51">
            <w:pPr>
              <w:pStyle w:val="ListParagraph"/>
              <w:spacing w:before="0"/>
              <w:ind w:left="0"/>
              <w:jc w:val="center"/>
              <w:rPr>
                <w:rFonts w:cs="Times New Roman"/>
                <w:b/>
                <w:lang w:val="sr-Cyrl-CS"/>
              </w:rPr>
            </w:pPr>
          </w:p>
        </w:tc>
        <w:tc>
          <w:tcPr>
            <w:tcW w:w="4410" w:type="dxa"/>
          </w:tcPr>
          <w:p w:rsidR="00895D67" w:rsidRPr="00027216" w:rsidRDefault="00895D67" w:rsidP="00253B51">
            <w:pPr>
              <w:pStyle w:val="ListParagraph"/>
              <w:spacing w:before="0"/>
              <w:ind w:left="0"/>
              <w:jc w:val="center"/>
              <w:rPr>
                <w:rFonts w:cs="Times New Roman"/>
                <w:b/>
                <w:lang w:val="en-GB"/>
              </w:rPr>
            </w:pPr>
            <w:r w:rsidRPr="00027216">
              <w:rPr>
                <w:rFonts w:cs="Times New Roman"/>
                <w:b/>
                <w:lang w:val="en-GB"/>
              </w:rPr>
              <w:t>Cons</w:t>
            </w:r>
          </w:p>
        </w:tc>
      </w:tr>
      <w:tr w:rsidR="00895D67" w:rsidRPr="00027216" w:rsidTr="00253B51">
        <w:tc>
          <w:tcPr>
            <w:tcW w:w="4428" w:type="dxa"/>
          </w:tcPr>
          <w:p w:rsidR="00895D67" w:rsidRPr="00027216" w:rsidRDefault="00895D67" w:rsidP="00253B51">
            <w:pPr>
              <w:rPr>
                <w:rFonts w:cs="Times New Roman"/>
                <w:lang w:val="en-GB"/>
              </w:rPr>
            </w:pPr>
            <w:r w:rsidRPr="00027216">
              <w:rPr>
                <w:rFonts w:cs="Times New Roman"/>
                <w:lang w:val="en-GB"/>
              </w:rPr>
              <w:t xml:space="preserve">Easy to achieve in terms of management, administration and politics </w:t>
            </w:r>
          </w:p>
        </w:tc>
        <w:tc>
          <w:tcPr>
            <w:tcW w:w="4410" w:type="dxa"/>
          </w:tcPr>
          <w:p w:rsidR="00895D67" w:rsidRPr="00027216" w:rsidRDefault="00895D67" w:rsidP="00253B51">
            <w:pPr>
              <w:pStyle w:val="ListParagraph"/>
              <w:ind w:left="0"/>
              <w:rPr>
                <w:rFonts w:cs="Times New Roman"/>
                <w:lang w:val="en-GB"/>
              </w:rPr>
            </w:pPr>
            <w:r w:rsidRPr="00027216">
              <w:rPr>
                <w:rFonts w:cs="Times New Roman"/>
                <w:lang w:val="en-GB"/>
              </w:rPr>
              <w:t xml:space="preserve">Long-term unsustainability due to the lack of incentives for coordination on the level of ministries and agencies </w:t>
            </w:r>
          </w:p>
        </w:tc>
      </w:tr>
      <w:tr w:rsidR="00895D67" w:rsidRPr="00027216" w:rsidTr="00253B51">
        <w:tc>
          <w:tcPr>
            <w:tcW w:w="4428" w:type="dxa"/>
          </w:tcPr>
          <w:p w:rsidR="00895D67" w:rsidRPr="00027216" w:rsidRDefault="00895D67" w:rsidP="00253B51">
            <w:pPr>
              <w:pStyle w:val="ListParagraph"/>
              <w:ind w:left="0"/>
              <w:rPr>
                <w:rFonts w:cs="Times New Roman"/>
                <w:lang w:val="en-GB"/>
              </w:rPr>
            </w:pPr>
            <w:r w:rsidRPr="00027216">
              <w:rPr>
                <w:rFonts w:cs="Times New Roman"/>
                <w:lang w:val="en-GB"/>
              </w:rPr>
              <w:t xml:space="preserve">Easy to link financing of local projects with policies and </w:t>
            </w:r>
            <w:r w:rsidRPr="00027216">
              <w:rPr>
                <w:rFonts w:cs="Times New Roman"/>
                <w:i/>
                <w:lang w:val="en-GB"/>
              </w:rPr>
              <w:t>vice versa</w:t>
            </w:r>
            <w:r w:rsidRPr="00027216">
              <w:rPr>
                <w:rFonts w:cs="Times New Roman"/>
                <w:lang w:val="en-GB"/>
              </w:rPr>
              <w:t xml:space="preserve"> </w:t>
            </w:r>
          </w:p>
        </w:tc>
        <w:tc>
          <w:tcPr>
            <w:tcW w:w="4410" w:type="dxa"/>
          </w:tcPr>
          <w:p w:rsidR="00895D67" w:rsidRPr="00027216" w:rsidRDefault="00895D67" w:rsidP="00253B51">
            <w:pPr>
              <w:pStyle w:val="ListParagraph"/>
              <w:spacing w:after="200" w:line="276" w:lineRule="auto"/>
              <w:ind w:left="0"/>
              <w:rPr>
                <w:rFonts w:cs="Times New Roman"/>
                <w:lang w:val="en-GB"/>
              </w:rPr>
            </w:pPr>
            <w:r w:rsidRPr="00027216">
              <w:rPr>
                <w:rFonts w:cs="Times New Roman"/>
                <w:lang w:val="en-GB"/>
              </w:rPr>
              <w:t>Danger of creating a cumbersome social inclusion ministry</w:t>
            </w:r>
            <w:r w:rsidRPr="00027216">
              <w:rPr>
                <w:rStyle w:val="FootnoteReference"/>
                <w:rFonts w:cs="Times New Roman"/>
                <w:lang w:val="en-GB"/>
              </w:rPr>
              <w:footnoteReference w:id="37"/>
            </w:r>
            <w:r w:rsidRPr="00027216">
              <w:rPr>
                <w:rFonts w:cs="Times New Roman"/>
                <w:lang w:val="en-GB"/>
              </w:rPr>
              <w:t xml:space="preserve"> that can hardly fit the government structure and cooperate with other ministries </w:t>
            </w:r>
          </w:p>
        </w:tc>
      </w:tr>
      <w:tr w:rsidR="00895D67" w:rsidRPr="00027216" w:rsidTr="00253B51">
        <w:tc>
          <w:tcPr>
            <w:tcW w:w="4428" w:type="dxa"/>
          </w:tcPr>
          <w:p w:rsidR="00895D67" w:rsidRPr="00027216" w:rsidRDefault="00895D67" w:rsidP="00253B51">
            <w:pPr>
              <w:pStyle w:val="ListParagraph"/>
              <w:ind w:left="0"/>
              <w:rPr>
                <w:rFonts w:cs="Times New Roman"/>
                <w:lang w:val="en-GB"/>
              </w:rPr>
            </w:pPr>
          </w:p>
        </w:tc>
        <w:tc>
          <w:tcPr>
            <w:tcW w:w="4410" w:type="dxa"/>
          </w:tcPr>
          <w:p w:rsidR="00895D67" w:rsidRPr="00027216" w:rsidRDefault="00895D67" w:rsidP="00253B51">
            <w:pPr>
              <w:pStyle w:val="ListParagraph"/>
              <w:ind w:left="0"/>
              <w:rPr>
                <w:rFonts w:cs="Times New Roman"/>
                <w:lang w:val="en-GB"/>
              </w:rPr>
            </w:pPr>
            <w:r w:rsidRPr="00027216">
              <w:rPr>
                <w:rFonts w:cs="Times New Roman"/>
                <w:lang w:val="en-GB"/>
              </w:rPr>
              <w:t xml:space="preserve">Putting different missions into a single organization requires resources: financial, human, time etc. </w:t>
            </w:r>
          </w:p>
        </w:tc>
      </w:tr>
    </w:tbl>
    <w:p w:rsidR="00895D67" w:rsidRPr="005B5F57" w:rsidRDefault="00895D67" w:rsidP="00895D67">
      <w:pPr>
        <w:pStyle w:val="ListParagraph"/>
        <w:rPr>
          <w:rFonts w:cs="Times New Roman"/>
          <w:szCs w:val="24"/>
          <w:lang w:val="en-GB"/>
        </w:rPr>
      </w:pPr>
    </w:p>
    <w:p w:rsidR="00895D67" w:rsidRPr="00FC6194" w:rsidRDefault="00895D67" w:rsidP="00351681">
      <w:pPr>
        <w:pStyle w:val="ListParagraph"/>
        <w:numPr>
          <w:ilvl w:val="0"/>
          <w:numId w:val="7"/>
        </w:numPr>
        <w:rPr>
          <w:rFonts w:cs="Times New Roman"/>
          <w:b/>
          <w:szCs w:val="24"/>
          <w:lang w:val="en-GB"/>
        </w:rPr>
      </w:pPr>
      <w:r w:rsidRPr="00FC6194">
        <w:rPr>
          <w:rFonts w:cs="Times New Roman"/>
          <w:b/>
          <w:szCs w:val="24"/>
          <w:u w:val="single"/>
          <w:lang w:val="en-GB"/>
        </w:rPr>
        <w:t>Insisting on strengthening</w:t>
      </w:r>
      <w:r>
        <w:rPr>
          <w:rFonts w:cs="Times New Roman"/>
          <w:b/>
          <w:szCs w:val="24"/>
          <w:u w:val="single"/>
          <w:lang w:val="en-GB"/>
        </w:rPr>
        <w:t xml:space="preserve"> the</w:t>
      </w:r>
      <w:r w:rsidRPr="00FC6194">
        <w:rPr>
          <w:rFonts w:cs="Times New Roman"/>
          <w:b/>
          <w:szCs w:val="24"/>
          <w:u w:val="single"/>
          <w:lang w:val="en-GB"/>
        </w:rPr>
        <w:t xml:space="preserve"> policy coordination function o</w:t>
      </w:r>
      <w:r>
        <w:rPr>
          <w:rFonts w:cs="Times New Roman"/>
          <w:b/>
          <w:szCs w:val="24"/>
          <w:u w:val="single"/>
          <w:lang w:val="en-GB"/>
        </w:rPr>
        <w:t>n</w:t>
      </w:r>
      <w:r w:rsidRPr="00FC6194">
        <w:rPr>
          <w:rFonts w:cs="Times New Roman"/>
          <w:b/>
          <w:szCs w:val="24"/>
          <w:u w:val="single"/>
          <w:lang w:val="en-GB"/>
        </w:rPr>
        <w:t xml:space="preserve"> the central </w:t>
      </w:r>
      <w:r>
        <w:rPr>
          <w:rFonts w:cs="Times New Roman"/>
          <w:b/>
          <w:szCs w:val="24"/>
          <w:u w:val="single"/>
          <w:lang w:val="en-GB"/>
        </w:rPr>
        <w:t>level</w:t>
      </w:r>
      <w:r w:rsidRPr="00FC6194">
        <w:rPr>
          <w:rFonts w:cs="Times New Roman"/>
          <w:b/>
          <w:szCs w:val="24"/>
          <w:u w:val="single"/>
          <w:lang w:val="en-GB"/>
        </w:rPr>
        <w:t xml:space="preserve"> </w:t>
      </w:r>
      <w:r>
        <w:rPr>
          <w:rFonts w:cs="Times New Roman"/>
          <w:b/>
          <w:szCs w:val="24"/>
          <w:u w:val="single"/>
          <w:lang w:val="en-GB"/>
        </w:rPr>
        <w:t>while</w:t>
      </w:r>
      <w:r w:rsidRPr="00FC6194">
        <w:rPr>
          <w:rFonts w:cs="Times New Roman"/>
          <w:b/>
          <w:szCs w:val="24"/>
          <w:u w:val="single"/>
          <w:lang w:val="en-GB"/>
        </w:rPr>
        <w:t xml:space="preserve"> fund disbursement </w:t>
      </w:r>
      <w:r>
        <w:rPr>
          <w:rFonts w:cs="Times New Roman"/>
          <w:b/>
          <w:szCs w:val="24"/>
          <w:u w:val="single"/>
          <w:lang w:val="en-GB"/>
        </w:rPr>
        <w:t>remains</w:t>
      </w:r>
      <w:r w:rsidRPr="00FC6194">
        <w:rPr>
          <w:rFonts w:cs="Times New Roman"/>
          <w:b/>
          <w:szCs w:val="24"/>
          <w:u w:val="single"/>
          <w:lang w:val="en-GB"/>
        </w:rPr>
        <w:t xml:space="preserve"> </w:t>
      </w:r>
      <w:r>
        <w:rPr>
          <w:rFonts w:cs="Times New Roman"/>
          <w:b/>
          <w:szCs w:val="24"/>
          <w:u w:val="single"/>
          <w:lang w:val="en-GB"/>
        </w:rPr>
        <w:t xml:space="preserve">a </w:t>
      </w:r>
      <w:r w:rsidRPr="00FC6194">
        <w:rPr>
          <w:rFonts w:cs="Times New Roman"/>
          <w:b/>
          <w:szCs w:val="24"/>
          <w:u w:val="single"/>
          <w:lang w:val="en-GB"/>
        </w:rPr>
        <w:t>key function of the Social Inclusion Fund</w:t>
      </w:r>
      <w:r>
        <w:rPr>
          <w:rFonts w:cs="Times New Roman"/>
          <w:b/>
          <w:szCs w:val="24"/>
          <w:lang w:val="en-GB"/>
        </w:rPr>
        <w:t>.</w:t>
      </w:r>
    </w:p>
    <w:tbl>
      <w:tblPr>
        <w:tblStyle w:val="TableGrid"/>
        <w:tblW w:w="0" w:type="auto"/>
        <w:tblLook w:val="04A0" w:firstRow="1" w:lastRow="0" w:firstColumn="1" w:lastColumn="0" w:noHBand="0" w:noVBand="1"/>
      </w:tblPr>
      <w:tblGrid>
        <w:gridCol w:w="4422"/>
        <w:gridCol w:w="4434"/>
      </w:tblGrid>
      <w:tr w:rsidR="00895D67" w:rsidRPr="00027216" w:rsidTr="00253B51">
        <w:tc>
          <w:tcPr>
            <w:tcW w:w="4422" w:type="dxa"/>
          </w:tcPr>
          <w:p w:rsidR="00895D67" w:rsidRPr="00027216" w:rsidRDefault="00895D67" w:rsidP="00253B51">
            <w:pPr>
              <w:pStyle w:val="ListParagraph"/>
              <w:ind w:left="0"/>
              <w:jc w:val="center"/>
              <w:rPr>
                <w:rFonts w:cs="Times New Roman"/>
                <w:b/>
                <w:lang w:val="sr-Cyrl-CS"/>
              </w:rPr>
            </w:pPr>
            <w:r w:rsidRPr="00027216">
              <w:rPr>
                <w:rFonts w:cs="Times New Roman"/>
                <w:b/>
                <w:lang w:val="en-GB"/>
              </w:rPr>
              <w:t>Pros</w:t>
            </w:r>
          </w:p>
          <w:p w:rsidR="00895D67" w:rsidRPr="00027216" w:rsidRDefault="00895D67" w:rsidP="00253B51">
            <w:pPr>
              <w:pStyle w:val="ListParagraph"/>
              <w:ind w:left="0"/>
              <w:jc w:val="center"/>
              <w:rPr>
                <w:rFonts w:cs="Times New Roman"/>
                <w:b/>
                <w:lang w:val="sr-Cyrl-CS"/>
              </w:rPr>
            </w:pPr>
          </w:p>
        </w:tc>
        <w:tc>
          <w:tcPr>
            <w:tcW w:w="4434" w:type="dxa"/>
          </w:tcPr>
          <w:p w:rsidR="00895D67" w:rsidRPr="00027216" w:rsidRDefault="00895D67" w:rsidP="00253B51">
            <w:pPr>
              <w:pStyle w:val="ListParagraph"/>
              <w:ind w:left="0"/>
              <w:jc w:val="center"/>
              <w:rPr>
                <w:rFonts w:cs="Times New Roman"/>
                <w:b/>
                <w:lang w:val="en-GB"/>
              </w:rPr>
            </w:pPr>
            <w:r w:rsidRPr="00027216">
              <w:rPr>
                <w:rFonts w:cs="Times New Roman"/>
                <w:b/>
                <w:lang w:val="en-GB"/>
              </w:rPr>
              <w:t>Cons</w:t>
            </w:r>
          </w:p>
        </w:tc>
      </w:tr>
      <w:tr w:rsidR="00895D67" w:rsidRPr="00027216" w:rsidTr="00253B51">
        <w:tc>
          <w:tcPr>
            <w:tcW w:w="4422" w:type="dxa"/>
          </w:tcPr>
          <w:p w:rsidR="00895D67" w:rsidRPr="00027216" w:rsidRDefault="00895D67" w:rsidP="00253B51">
            <w:pPr>
              <w:rPr>
                <w:rFonts w:cs="Times New Roman"/>
                <w:lang w:val="en-GB"/>
              </w:rPr>
            </w:pPr>
            <w:r w:rsidRPr="00027216">
              <w:rPr>
                <w:rFonts w:cs="Times New Roman"/>
                <w:lang w:val="en-GB"/>
              </w:rPr>
              <w:t>Sustainable solution in a longer run, meaning creating an efficient and effective government structure that links various ministries, funding mechanisms and central government office</w:t>
            </w:r>
          </w:p>
        </w:tc>
        <w:tc>
          <w:tcPr>
            <w:tcW w:w="4434" w:type="dxa"/>
          </w:tcPr>
          <w:p w:rsidR="00895D67" w:rsidRPr="00027216" w:rsidRDefault="00895D67" w:rsidP="00253B51">
            <w:pPr>
              <w:pStyle w:val="ListParagraph"/>
              <w:spacing w:before="0"/>
              <w:ind w:left="0"/>
              <w:rPr>
                <w:rFonts w:cs="Times New Roman"/>
                <w:lang w:val="en-GB"/>
              </w:rPr>
            </w:pPr>
            <w:r w:rsidRPr="00027216">
              <w:rPr>
                <w:rFonts w:cs="Times New Roman"/>
                <w:lang w:val="en-GB"/>
              </w:rPr>
              <w:t xml:space="preserve">Time consuming and requires significant workload. </w:t>
            </w:r>
          </w:p>
        </w:tc>
      </w:tr>
      <w:tr w:rsidR="00895D67" w:rsidRPr="00027216" w:rsidTr="00253B51">
        <w:tc>
          <w:tcPr>
            <w:tcW w:w="4422" w:type="dxa"/>
          </w:tcPr>
          <w:p w:rsidR="00895D67" w:rsidRPr="00027216" w:rsidRDefault="00895D67" w:rsidP="00253B51">
            <w:pPr>
              <w:pStyle w:val="ListParagraph"/>
              <w:spacing w:before="0"/>
              <w:ind w:left="0"/>
              <w:rPr>
                <w:rFonts w:cs="Times New Roman"/>
                <w:lang w:val="en-GB"/>
              </w:rPr>
            </w:pPr>
            <w:r w:rsidRPr="00027216">
              <w:rPr>
                <w:rFonts w:cs="Times New Roman"/>
                <w:lang w:val="en-GB"/>
              </w:rPr>
              <w:t xml:space="preserve">Each organization keeps focus and a simple mission </w:t>
            </w:r>
          </w:p>
        </w:tc>
        <w:tc>
          <w:tcPr>
            <w:tcW w:w="4434" w:type="dxa"/>
          </w:tcPr>
          <w:p w:rsidR="00895D67" w:rsidRPr="00027216" w:rsidRDefault="00895D67" w:rsidP="00253B51">
            <w:pPr>
              <w:pStyle w:val="ListParagraph"/>
              <w:spacing w:before="0"/>
              <w:ind w:left="0"/>
              <w:rPr>
                <w:rFonts w:cs="Times New Roman"/>
                <w:lang w:val="en-GB"/>
              </w:rPr>
            </w:pPr>
            <w:r w:rsidRPr="00027216">
              <w:rPr>
                <w:rFonts w:cs="Times New Roman"/>
                <w:lang w:val="en-GB"/>
              </w:rPr>
              <w:t xml:space="preserve">Requires political commitment </w:t>
            </w:r>
          </w:p>
        </w:tc>
      </w:tr>
      <w:tr w:rsidR="00895D67" w:rsidRPr="00027216" w:rsidTr="00253B51">
        <w:tc>
          <w:tcPr>
            <w:tcW w:w="4422" w:type="dxa"/>
          </w:tcPr>
          <w:p w:rsidR="00895D67" w:rsidRPr="00027216" w:rsidRDefault="00895D67" w:rsidP="00253B51">
            <w:pPr>
              <w:pStyle w:val="ListParagraph"/>
              <w:spacing w:before="0"/>
              <w:ind w:left="0"/>
              <w:rPr>
                <w:rFonts w:cs="Times New Roman"/>
                <w:lang w:val="en-GB"/>
              </w:rPr>
            </w:pPr>
          </w:p>
        </w:tc>
        <w:tc>
          <w:tcPr>
            <w:tcW w:w="4434" w:type="dxa"/>
          </w:tcPr>
          <w:p w:rsidR="00895D67" w:rsidRPr="00027216" w:rsidRDefault="00895D67" w:rsidP="00253B51">
            <w:pPr>
              <w:pStyle w:val="ListParagraph"/>
              <w:spacing w:before="0"/>
              <w:ind w:left="0"/>
              <w:rPr>
                <w:rFonts w:cs="Times New Roman"/>
                <w:lang w:val="en-GB"/>
              </w:rPr>
            </w:pPr>
            <w:r w:rsidRPr="00027216">
              <w:rPr>
                <w:rFonts w:cs="Times New Roman"/>
                <w:lang w:val="en-GB"/>
              </w:rPr>
              <w:t>Requires a clear division of competencies and lines of coordination</w:t>
            </w:r>
          </w:p>
        </w:tc>
      </w:tr>
    </w:tbl>
    <w:p w:rsidR="00444EA0" w:rsidRDefault="00FB06B0" w:rsidP="00444EA0">
      <w:pPr>
        <w:rPr>
          <w:lang w:val="en-GB"/>
        </w:rPr>
      </w:pPr>
      <w:r>
        <w:rPr>
          <w:lang w:val="en-GB"/>
        </w:rPr>
        <w:t xml:space="preserve">Taking into account </w:t>
      </w:r>
      <w:r w:rsidR="00444EA0">
        <w:rPr>
          <w:lang w:val="en-GB"/>
        </w:rPr>
        <w:t xml:space="preserve">previously analysed experiences </w:t>
      </w:r>
      <w:r>
        <w:rPr>
          <w:lang w:val="en-GB"/>
        </w:rPr>
        <w:t xml:space="preserve">in Serbia, national and EU legislative framework, </w:t>
      </w:r>
      <w:r w:rsidR="00895D67">
        <w:rPr>
          <w:lang w:val="en-GB"/>
        </w:rPr>
        <w:t xml:space="preserve">the key functions of the </w:t>
      </w:r>
      <w:r w:rsidR="00444EA0">
        <w:rPr>
          <w:lang w:val="en-GB"/>
        </w:rPr>
        <w:t>Social Inclusion Fund</w:t>
      </w:r>
      <w:r>
        <w:rPr>
          <w:lang w:val="en-GB"/>
        </w:rPr>
        <w:t xml:space="preserve"> </w:t>
      </w:r>
      <w:r w:rsidR="00895D67">
        <w:rPr>
          <w:lang w:val="en-GB"/>
        </w:rPr>
        <w:t>may include and are not limited to</w:t>
      </w:r>
      <w:r w:rsidR="00701D9F" w:rsidRPr="00364F43">
        <w:rPr>
          <w:rStyle w:val="FootnoteReference"/>
          <w:sz w:val="22"/>
          <w:lang w:val="sr-Cyrl-RS"/>
        </w:rPr>
        <w:footnoteReference w:id="38"/>
      </w:r>
      <w:r w:rsidR="00895D67">
        <w:rPr>
          <w:lang w:val="en-GB"/>
        </w:rPr>
        <w:t xml:space="preserve">: </w:t>
      </w:r>
    </w:p>
    <w:p w:rsidR="00444EA0" w:rsidRPr="00B26241" w:rsidRDefault="00444EA0" w:rsidP="00351681">
      <w:pPr>
        <w:pStyle w:val="ListParagraph"/>
        <w:numPr>
          <w:ilvl w:val="0"/>
          <w:numId w:val="20"/>
        </w:numPr>
        <w:rPr>
          <w:szCs w:val="24"/>
          <w:lang w:val="en-GB"/>
        </w:rPr>
      </w:pPr>
      <w:r w:rsidRPr="00B26241">
        <w:rPr>
          <w:szCs w:val="24"/>
          <w:lang w:val="en-GB"/>
        </w:rPr>
        <w:t xml:space="preserve">Verification of tender documents/guidelines for calls for proposals received from line ministries </w:t>
      </w:r>
      <w:r w:rsidR="00D85B04">
        <w:rPr>
          <w:szCs w:val="24"/>
          <w:lang w:val="en-GB"/>
        </w:rPr>
        <w:t xml:space="preserve">dealing with social inclusion </w:t>
      </w:r>
      <w:r w:rsidRPr="00B26241">
        <w:rPr>
          <w:szCs w:val="24"/>
          <w:lang w:val="en-GB"/>
        </w:rPr>
        <w:t xml:space="preserve">and preparation of complete </w:t>
      </w:r>
      <w:r w:rsidRPr="00B26241">
        <w:rPr>
          <w:b/>
          <w:szCs w:val="24"/>
          <w:lang w:val="en-GB"/>
        </w:rPr>
        <w:t>tender dossier/application packages</w:t>
      </w:r>
      <w:r w:rsidRPr="00B26241">
        <w:rPr>
          <w:szCs w:val="24"/>
          <w:lang w:val="en-GB"/>
        </w:rPr>
        <w:t>;</w:t>
      </w:r>
    </w:p>
    <w:p w:rsidR="00444EA0" w:rsidRPr="00B26241" w:rsidRDefault="00444EA0" w:rsidP="00351681">
      <w:pPr>
        <w:pStyle w:val="ListParagraph"/>
        <w:numPr>
          <w:ilvl w:val="0"/>
          <w:numId w:val="20"/>
        </w:numPr>
        <w:rPr>
          <w:szCs w:val="24"/>
          <w:lang w:val="en-GB"/>
        </w:rPr>
      </w:pPr>
      <w:r>
        <w:rPr>
          <w:szCs w:val="24"/>
          <w:lang w:val="en-GB"/>
        </w:rPr>
        <w:t>Preparation of</w:t>
      </w:r>
      <w:r w:rsidRPr="00B26241">
        <w:rPr>
          <w:szCs w:val="24"/>
          <w:lang w:val="en-GB"/>
        </w:rPr>
        <w:t xml:space="preserve"> </w:t>
      </w:r>
      <w:r w:rsidRPr="00B26241">
        <w:rPr>
          <w:b/>
          <w:szCs w:val="24"/>
          <w:lang w:val="en-GB"/>
        </w:rPr>
        <w:t xml:space="preserve">tendering </w:t>
      </w:r>
      <w:r w:rsidRPr="00B26241">
        <w:rPr>
          <w:szCs w:val="24"/>
          <w:lang w:val="en-GB"/>
        </w:rPr>
        <w:t xml:space="preserve">and </w:t>
      </w:r>
      <w:r w:rsidRPr="00B26241">
        <w:rPr>
          <w:b/>
          <w:szCs w:val="24"/>
          <w:lang w:val="en-GB"/>
        </w:rPr>
        <w:t>contract award</w:t>
      </w:r>
      <w:r w:rsidRPr="00B26241">
        <w:rPr>
          <w:szCs w:val="24"/>
          <w:lang w:val="en-GB"/>
        </w:rPr>
        <w:t xml:space="preserve"> procedures;</w:t>
      </w:r>
    </w:p>
    <w:p w:rsidR="00444EA0" w:rsidRPr="00B26241" w:rsidRDefault="00444EA0" w:rsidP="00351681">
      <w:pPr>
        <w:pStyle w:val="ListParagraph"/>
        <w:numPr>
          <w:ilvl w:val="0"/>
          <w:numId w:val="20"/>
        </w:numPr>
        <w:rPr>
          <w:szCs w:val="24"/>
          <w:lang w:val="en-GB"/>
        </w:rPr>
      </w:pPr>
      <w:r w:rsidRPr="00B26241">
        <w:rPr>
          <w:szCs w:val="24"/>
          <w:lang w:val="en-GB"/>
        </w:rPr>
        <w:t xml:space="preserve">Acting as the </w:t>
      </w:r>
      <w:r w:rsidRPr="00B26241">
        <w:rPr>
          <w:b/>
          <w:szCs w:val="24"/>
          <w:lang w:val="en-GB"/>
        </w:rPr>
        <w:t>contracting authority</w:t>
      </w:r>
      <w:r w:rsidRPr="00B26241">
        <w:rPr>
          <w:szCs w:val="24"/>
          <w:lang w:val="en-GB"/>
        </w:rPr>
        <w:t xml:space="preserve"> and overseeing contract implementation (including payments and payments recovery);</w:t>
      </w:r>
    </w:p>
    <w:p w:rsidR="00444EA0" w:rsidRPr="00B26241" w:rsidRDefault="00444EA0" w:rsidP="00351681">
      <w:pPr>
        <w:pStyle w:val="ListParagraph"/>
        <w:numPr>
          <w:ilvl w:val="0"/>
          <w:numId w:val="20"/>
        </w:numPr>
        <w:rPr>
          <w:szCs w:val="24"/>
          <w:lang w:val="en-GB"/>
        </w:rPr>
      </w:pPr>
      <w:r w:rsidRPr="00B26241">
        <w:rPr>
          <w:szCs w:val="24"/>
          <w:lang w:val="en-GB"/>
        </w:rPr>
        <w:t xml:space="preserve">Carrying out </w:t>
      </w:r>
      <w:r w:rsidRPr="00B26241">
        <w:rPr>
          <w:b/>
          <w:szCs w:val="24"/>
          <w:lang w:val="en-GB"/>
        </w:rPr>
        <w:t>verifications</w:t>
      </w:r>
      <w:r w:rsidRPr="00B26241">
        <w:rPr>
          <w:szCs w:val="24"/>
          <w:lang w:val="en-GB"/>
        </w:rPr>
        <w:t xml:space="preserve"> to ensure that the expenditure declared has actually been incurred in accordance with applicable rules, the products or services have been delivered in accordance with the approv</w:t>
      </w:r>
      <w:r>
        <w:rPr>
          <w:szCs w:val="24"/>
          <w:lang w:val="en-GB"/>
        </w:rPr>
        <w:t>ed</w:t>
      </w:r>
      <w:r w:rsidRPr="00B26241">
        <w:rPr>
          <w:szCs w:val="24"/>
          <w:lang w:val="en-GB"/>
        </w:rPr>
        <w:t xml:space="preserve"> decision, and the payment requests by the final beneficiary are correct. These verifications cover administrative, financial, technical and physical aspects of operations, as appropriate;</w:t>
      </w:r>
    </w:p>
    <w:p w:rsidR="00444EA0" w:rsidRPr="00B26241" w:rsidRDefault="00444EA0" w:rsidP="00351681">
      <w:pPr>
        <w:pStyle w:val="ListParagraph"/>
        <w:numPr>
          <w:ilvl w:val="0"/>
          <w:numId w:val="20"/>
        </w:numPr>
        <w:rPr>
          <w:szCs w:val="24"/>
          <w:lang w:val="en-GB"/>
        </w:rPr>
      </w:pPr>
      <w:r>
        <w:rPr>
          <w:b/>
          <w:szCs w:val="24"/>
          <w:lang w:val="en-GB"/>
        </w:rPr>
        <w:t>M</w:t>
      </w:r>
      <w:r w:rsidRPr="00B26241">
        <w:rPr>
          <w:b/>
          <w:szCs w:val="24"/>
          <w:lang w:val="en-GB"/>
        </w:rPr>
        <w:t xml:space="preserve">onitoring </w:t>
      </w:r>
      <w:r w:rsidR="00740CE1">
        <w:rPr>
          <w:b/>
          <w:szCs w:val="24"/>
          <w:lang w:val="en-GB"/>
        </w:rPr>
        <w:t xml:space="preserve">and evaluation </w:t>
      </w:r>
      <w:r w:rsidRPr="00B26241">
        <w:rPr>
          <w:szCs w:val="24"/>
          <w:lang w:val="en-GB"/>
        </w:rPr>
        <w:t xml:space="preserve">by: supporting the </w:t>
      </w:r>
      <w:r>
        <w:rPr>
          <w:szCs w:val="24"/>
          <w:lang w:val="en-GB"/>
        </w:rPr>
        <w:t>development</w:t>
      </w:r>
      <w:r w:rsidRPr="00B26241">
        <w:rPr>
          <w:szCs w:val="24"/>
          <w:lang w:val="en-GB"/>
        </w:rPr>
        <w:t xml:space="preserve"> of documents on progress made towards achieving targets of relevant measures defined on policy level; </w:t>
      </w:r>
    </w:p>
    <w:p w:rsidR="00444EA0" w:rsidRPr="00B26241" w:rsidRDefault="00444EA0" w:rsidP="00351681">
      <w:pPr>
        <w:pStyle w:val="ListParagraph"/>
        <w:numPr>
          <w:ilvl w:val="0"/>
          <w:numId w:val="20"/>
        </w:numPr>
        <w:rPr>
          <w:szCs w:val="24"/>
          <w:lang w:val="en-GB"/>
        </w:rPr>
      </w:pPr>
      <w:r>
        <w:rPr>
          <w:szCs w:val="24"/>
          <w:lang w:val="en-GB"/>
        </w:rPr>
        <w:t xml:space="preserve">Keeping </w:t>
      </w:r>
      <w:r w:rsidRPr="00B26241">
        <w:rPr>
          <w:szCs w:val="24"/>
          <w:lang w:val="en-GB"/>
        </w:rPr>
        <w:t xml:space="preserve">of all documents and ensuring that all the relevant information is available to provide for a sufficiently detailed </w:t>
      </w:r>
      <w:r w:rsidRPr="00B26241">
        <w:rPr>
          <w:b/>
          <w:szCs w:val="24"/>
          <w:lang w:val="en-GB"/>
        </w:rPr>
        <w:t>audit trail</w:t>
      </w:r>
      <w:r w:rsidRPr="00B26241">
        <w:rPr>
          <w:szCs w:val="24"/>
          <w:lang w:val="en-GB"/>
        </w:rPr>
        <w:t>;</w:t>
      </w:r>
    </w:p>
    <w:p w:rsidR="00444EA0" w:rsidRDefault="00444EA0" w:rsidP="00351681">
      <w:pPr>
        <w:pStyle w:val="ListParagraph"/>
        <w:numPr>
          <w:ilvl w:val="0"/>
          <w:numId w:val="20"/>
        </w:numPr>
        <w:rPr>
          <w:szCs w:val="24"/>
          <w:lang w:val="en-GB"/>
        </w:rPr>
      </w:pPr>
      <w:r>
        <w:rPr>
          <w:b/>
          <w:szCs w:val="24"/>
          <w:lang w:val="en-GB"/>
        </w:rPr>
        <w:t>R</w:t>
      </w:r>
      <w:r w:rsidRPr="00B26241">
        <w:rPr>
          <w:b/>
          <w:szCs w:val="24"/>
          <w:lang w:val="en-GB"/>
        </w:rPr>
        <w:t>eporting</w:t>
      </w:r>
      <w:r>
        <w:rPr>
          <w:b/>
          <w:szCs w:val="24"/>
          <w:lang w:val="en-GB"/>
        </w:rPr>
        <w:t xml:space="preserve"> of irregularities</w:t>
      </w:r>
      <w:r w:rsidR="00740CE1">
        <w:rPr>
          <w:szCs w:val="24"/>
          <w:lang w:val="en-GB"/>
        </w:rPr>
        <w:t>;</w:t>
      </w:r>
    </w:p>
    <w:p w:rsidR="00740CE1" w:rsidRDefault="00740CE1" w:rsidP="00351681">
      <w:pPr>
        <w:pStyle w:val="ListParagraph"/>
        <w:numPr>
          <w:ilvl w:val="0"/>
          <w:numId w:val="20"/>
        </w:numPr>
        <w:rPr>
          <w:szCs w:val="24"/>
          <w:lang w:val="en-GB"/>
        </w:rPr>
      </w:pPr>
      <w:r>
        <w:rPr>
          <w:b/>
          <w:szCs w:val="24"/>
          <w:lang w:val="en-GB"/>
        </w:rPr>
        <w:t xml:space="preserve">Acting as a resource centre </w:t>
      </w:r>
      <w:r w:rsidR="00CD21B6">
        <w:rPr>
          <w:b/>
          <w:szCs w:val="24"/>
        </w:rPr>
        <w:t xml:space="preserve">and discussion partner </w:t>
      </w:r>
      <w:r>
        <w:rPr>
          <w:b/>
          <w:szCs w:val="24"/>
          <w:lang w:val="en-GB"/>
        </w:rPr>
        <w:t xml:space="preserve">for policy makers and the Fund’s potential beneficiaries, </w:t>
      </w:r>
      <w:r w:rsidRPr="00740CE1">
        <w:rPr>
          <w:szCs w:val="24"/>
          <w:lang w:val="en-GB"/>
        </w:rPr>
        <w:t xml:space="preserve">in particular by </w:t>
      </w:r>
      <w:r>
        <w:rPr>
          <w:szCs w:val="24"/>
          <w:lang w:val="en-GB"/>
        </w:rPr>
        <w:t>(co)</w:t>
      </w:r>
      <w:r w:rsidRPr="00740CE1">
        <w:rPr>
          <w:szCs w:val="24"/>
          <w:lang w:val="en-GB"/>
        </w:rPr>
        <w:t xml:space="preserve">organizing activities such as: development of policy standards, </w:t>
      </w:r>
      <w:r>
        <w:rPr>
          <w:szCs w:val="24"/>
          <w:lang w:val="en-GB"/>
        </w:rPr>
        <w:t>p</w:t>
      </w:r>
      <w:r w:rsidRPr="00740CE1">
        <w:rPr>
          <w:szCs w:val="24"/>
          <w:lang w:val="en-GB"/>
        </w:rPr>
        <w:t xml:space="preserve">romotion of best practices, </w:t>
      </w:r>
      <w:r>
        <w:rPr>
          <w:szCs w:val="24"/>
          <w:lang w:val="en-GB"/>
        </w:rPr>
        <w:t xml:space="preserve">fundraising, </w:t>
      </w:r>
      <w:r w:rsidRPr="00740CE1">
        <w:rPr>
          <w:szCs w:val="24"/>
          <w:lang w:val="en-GB"/>
        </w:rPr>
        <w:t>trainings on project and financial management, preparation of publications, help desk activities, etc.</w:t>
      </w:r>
    </w:p>
    <w:p w:rsidR="00444EA0" w:rsidRPr="00182D71" w:rsidRDefault="00A07B29" w:rsidP="00182D71">
      <w:pPr>
        <w:pStyle w:val="Heading2"/>
        <w:rPr>
          <w:rStyle w:val="IntenseReference"/>
          <w:b/>
          <w:bCs/>
          <w:smallCaps w:val="0"/>
          <w:color w:val="000000" w:themeColor="text1"/>
          <w:spacing w:val="0"/>
          <w:u w:val="none"/>
        </w:rPr>
      </w:pPr>
      <w:bookmarkStart w:id="38" w:name="_Toc353200782"/>
      <w:r w:rsidRPr="00182D71">
        <w:rPr>
          <w:rStyle w:val="IntenseReference"/>
          <w:b/>
          <w:bCs/>
          <w:smallCaps w:val="0"/>
          <w:color w:val="000000" w:themeColor="text1"/>
          <w:spacing w:val="0"/>
          <w:u w:val="none"/>
        </w:rPr>
        <w:t>4</w:t>
      </w:r>
      <w:r w:rsidR="00444EA0" w:rsidRPr="00182D71">
        <w:rPr>
          <w:rStyle w:val="IntenseReference"/>
          <w:b/>
          <w:bCs/>
          <w:smallCaps w:val="0"/>
          <w:color w:val="000000" w:themeColor="text1"/>
          <w:spacing w:val="0"/>
          <w:u w:val="none"/>
        </w:rPr>
        <w:t>.4. Financial Aspects of the Social Inclusion Fund</w:t>
      </w:r>
      <w:bookmarkEnd w:id="38"/>
    </w:p>
    <w:p w:rsidR="00444EA0" w:rsidRDefault="00444EA0" w:rsidP="00444EA0">
      <w:pPr>
        <w:rPr>
          <w:rFonts w:cs="Times New Roman"/>
          <w:szCs w:val="24"/>
          <w:lang w:val="en-GB"/>
        </w:rPr>
      </w:pPr>
      <w:r w:rsidRPr="005B5F57">
        <w:rPr>
          <w:rFonts w:cs="Times New Roman"/>
          <w:szCs w:val="24"/>
          <w:lang w:val="en-GB"/>
        </w:rPr>
        <w:t>While this</w:t>
      </w:r>
      <w:r>
        <w:rPr>
          <w:rFonts w:cs="Times New Roman"/>
          <w:szCs w:val="24"/>
          <w:lang w:val="en-GB"/>
        </w:rPr>
        <w:t xml:space="preserve"> paper addresses a clear need</w:t>
      </w:r>
      <w:r w:rsidRPr="005B5F57">
        <w:rPr>
          <w:rFonts w:cs="Times New Roman"/>
          <w:szCs w:val="24"/>
          <w:lang w:val="en-GB"/>
        </w:rPr>
        <w:t xml:space="preserve"> and provides argumentation for the establishment of a new body within the Government</w:t>
      </w:r>
      <w:r w:rsidRPr="005B5F57">
        <w:rPr>
          <w:rStyle w:val="FootnoteReference"/>
          <w:rFonts w:cs="Times New Roman"/>
          <w:szCs w:val="24"/>
          <w:lang w:val="en-GB"/>
        </w:rPr>
        <w:footnoteReference w:id="39"/>
      </w:r>
      <w:r w:rsidRPr="005B5F57">
        <w:rPr>
          <w:rFonts w:cs="Times New Roman"/>
          <w:szCs w:val="24"/>
          <w:lang w:val="en-GB"/>
        </w:rPr>
        <w:t xml:space="preserve"> </w:t>
      </w:r>
      <w:r>
        <w:rPr>
          <w:rFonts w:cs="Times New Roman"/>
          <w:szCs w:val="24"/>
          <w:lang w:val="en-GB"/>
        </w:rPr>
        <w:t>tackling</w:t>
      </w:r>
      <w:r w:rsidRPr="005B5F57">
        <w:rPr>
          <w:rFonts w:cs="Times New Roman"/>
          <w:szCs w:val="24"/>
          <w:lang w:val="en-GB"/>
        </w:rPr>
        <w:t xml:space="preserve"> the implementation of social inclusion programmes </w:t>
      </w:r>
      <w:r>
        <w:rPr>
          <w:rFonts w:cs="Times New Roman"/>
          <w:szCs w:val="24"/>
          <w:lang w:val="en-GB"/>
        </w:rPr>
        <w:t>–</w:t>
      </w:r>
      <w:r w:rsidRPr="005B5F57">
        <w:rPr>
          <w:rFonts w:cs="Times New Roman"/>
          <w:szCs w:val="24"/>
          <w:lang w:val="en-GB"/>
        </w:rPr>
        <w:t xml:space="preserve"> </w:t>
      </w:r>
      <w:r w:rsidRPr="005909A6">
        <w:rPr>
          <w:rFonts w:cs="Times New Roman"/>
          <w:b/>
          <w:szCs w:val="24"/>
          <w:lang w:val="en-GB"/>
        </w:rPr>
        <w:t>the Social Inclusion Fund</w:t>
      </w:r>
      <w:r w:rsidRPr="005B5F57">
        <w:rPr>
          <w:rFonts w:cs="Times New Roman"/>
          <w:szCs w:val="24"/>
          <w:lang w:val="en-GB"/>
        </w:rPr>
        <w:t>, it is difficult to provide</w:t>
      </w:r>
      <w:r>
        <w:rPr>
          <w:rFonts w:cs="Times New Roman"/>
          <w:szCs w:val="24"/>
          <w:lang w:val="en-GB"/>
        </w:rPr>
        <w:t xml:space="preserve"> a</w:t>
      </w:r>
      <w:r w:rsidRPr="005B5F57">
        <w:rPr>
          <w:rFonts w:cs="Times New Roman"/>
          <w:szCs w:val="24"/>
          <w:lang w:val="en-GB"/>
        </w:rPr>
        <w:t xml:space="preserve"> precise </w:t>
      </w:r>
      <w:r>
        <w:rPr>
          <w:rFonts w:cs="Times New Roman"/>
          <w:szCs w:val="24"/>
          <w:lang w:val="en-GB"/>
        </w:rPr>
        <w:t>forecast</w:t>
      </w:r>
      <w:r w:rsidRPr="005B5F57">
        <w:rPr>
          <w:rFonts w:cs="Times New Roman"/>
          <w:szCs w:val="24"/>
          <w:lang w:val="en-GB"/>
        </w:rPr>
        <w:t xml:space="preserve"> on the size of funds that such a body </w:t>
      </w:r>
      <w:r>
        <w:rPr>
          <w:rFonts w:cs="Times New Roman"/>
          <w:szCs w:val="24"/>
          <w:lang w:val="en-GB"/>
        </w:rPr>
        <w:t>would administer</w:t>
      </w:r>
      <w:r w:rsidRPr="005B5F57">
        <w:rPr>
          <w:rFonts w:cs="Times New Roman"/>
          <w:szCs w:val="24"/>
          <w:lang w:val="en-GB"/>
        </w:rPr>
        <w:t xml:space="preserve">. </w:t>
      </w:r>
      <w:r>
        <w:rPr>
          <w:rFonts w:cs="Times New Roman"/>
          <w:szCs w:val="24"/>
          <w:lang w:val="en-GB"/>
        </w:rPr>
        <w:t xml:space="preserve">Firstly, </w:t>
      </w:r>
      <w:r w:rsidRPr="005B5F57">
        <w:rPr>
          <w:rFonts w:cs="Times New Roman"/>
          <w:szCs w:val="24"/>
          <w:lang w:val="en-GB"/>
        </w:rPr>
        <w:t>the consensus over this topic is still to be reached among key decision makers and, second</w:t>
      </w:r>
      <w:r>
        <w:rPr>
          <w:rFonts w:cs="Times New Roman"/>
          <w:szCs w:val="24"/>
          <w:lang w:val="en-GB"/>
        </w:rPr>
        <w:t>ly</w:t>
      </w:r>
      <w:r w:rsidRPr="005B5F57">
        <w:rPr>
          <w:rFonts w:cs="Times New Roman"/>
          <w:szCs w:val="24"/>
          <w:lang w:val="en-GB"/>
        </w:rPr>
        <w:t xml:space="preserve">, the scope of activities of the future SIF is yet </w:t>
      </w:r>
      <w:r>
        <w:rPr>
          <w:rFonts w:cs="Times New Roman"/>
          <w:szCs w:val="24"/>
          <w:lang w:val="en-GB"/>
        </w:rPr>
        <w:t>to be determined</w:t>
      </w:r>
      <w:r w:rsidRPr="005B5F57">
        <w:rPr>
          <w:rFonts w:cs="Times New Roman"/>
          <w:szCs w:val="24"/>
          <w:lang w:val="en-GB"/>
        </w:rPr>
        <w:t>. However, at present, an initial estimation</w:t>
      </w:r>
      <w:r>
        <w:rPr>
          <w:rFonts w:cs="Times New Roman"/>
          <w:szCs w:val="24"/>
          <w:lang w:val="en-GB"/>
        </w:rPr>
        <w:t xml:space="preserve"> can be made based on</w:t>
      </w:r>
      <w:r w:rsidRPr="005B5F57">
        <w:rPr>
          <w:rFonts w:cs="Times New Roman"/>
          <w:szCs w:val="24"/>
          <w:lang w:val="en-GB"/>
        </w:rPr>
        <w:t xml:space="preserve"> the following budget amounts - combining existing national funds and factoring in the ‘complementarity principle’ required for EU funds.</w:t>
      </w:r>
    </w:p>
    <w:p w:rsidR="00A07B29" w:rsidRDefault="00444EA0" w:rsidP="00444EA0">
      <w:pPr>
        <w:rPr>
          <w:rFonts w:cs="Times New Roman"/>
          <w:szCs w:val="24"/>
          <w:lang w:val="en-GB"/>
        </w:rPr>
      </w:pPr>
      <w:r w:rsidRPr="005B5F57">
        <w:rPr>
          <w:rFonts w:cs="Times New Roman"/>
          <w:szCs w:val="24"/>
          <w:lang w:val="en-GB"/>
        </w:rPr>
        <w:t xml:space="preserve">In addition to the national budget resources, the funds which </w:t>
      </w:r>
      <w:r>
        <w:rPr>
          <w:rFonts w:cs="Times New Roman"/>
          <w:szCs w:val="24"/>
          <w:lang w:val="en-GB"/>
        </w:rPr>
        <w:t xml:space="preserve">the Social Inclusion Fund </w:t>
      </w:r>
      <w:r w:rsidR="00441903">
        <w:rPr>
          <w:rFonts w:cs="Times New Roman"/>
          <w:szCs w:val="24"/>
          <w:lang w:val="en-GB"/>
        </w:rPr>
        <w:t xml:space="preserve">could </w:t>
      </w:r>
      <w:r>
        <w:rPr>
          <w:rFonts w:cs="Times New Roman"/>
          <w:szCs w:val="24"/>
          <w:lang w:val="en-GB"/>
        </w:rPr>
        <w:t xml:space="preserve">tackle </w:t>
      </w:r>
      <w:r w:rsidR="00441903">
        <w:rPr>
          <w:rFonts w:cs="Times New Roman"/>
          <w:szCs w:val="24"/>
          <w:lang w:val="en-GB"/>
        </w:rPr>
        <w:t xml:space="preserve">in the future are those which will be allocated to social inclusion actions within the framework of pre-accession assistance in the period of new </w:t>
      </w:r>
      <w:r w:rsidR="00AE734E">
        <w:rPr>
          <w:rFonts w:cs="Times New Roman"/>
          <w:szCs w:val="24"/>
          <w:lang w:val="en-GB"/>
        </w:rPr>
        <w:t xml:space="preserve">EU </w:t>
      </w:r>
      <w:r w:rsidR="00441903">
        <w:rPr>
          <w:rFonts w:cs="Times New Roman"/>
          <w:szCs w:val="24"/>
          <w:lang w:val="en-GB"/>
        </w:rPr>
        <w:t xml:space="preserve">financial perspective 2014-2020. </w:t>
      </w:r>
    </w:p>
    <w:p w:rsidR="00444EA0" w:rsidRPr="005B5F57" w:rsidRDefault="00444EA0" w:rsidP="00444EA0">
      <w:pPr>
        <w:rPr>
          <w:rFonts w:cs="Times New Roman"/>
          <w:szCs w:val="24"/>
          <w:lang w:val="en-GB"/>
        </w:rPr>
      </w:pPr>
      <w:r>
        <w:rPr>
          <w:rFonts w:cs="Times New Roman"/>
          <w:szCs w:val="24"/>
          <w:lang w:val="en-GB"/>
        </w:rPr>
        <w:t>The a</w:t>
      </w:r>
      <w:r w:rsidRPr="005B5F57">
        <w:rPr>
          <w:rFonts w:cs="Times New Roman"/>
          <w:szCs w:val="24"/>
          <w:lang w:val="en-GB"/>
        </w:rPr>
        <w:t xml:space="preserve">llocation of these funds must follow the principle of complementarity integrated in the IPA </w:t>
      </w:r>
      <w:r>
        <w:rPr>
          <w:rFonts w:cs="Times New Roman"/>
          <w:szCs w:val="24"/>
          <w:lang w:val="en-GB"/>
        </w:rPr>
        <w:t>Implementing Regulation</w:t>
      </w:r>
      <w:r w:rsidRPr="005B5F57">
        <w:rPr>
          <w:rFonts w:cs="Times New Roman"/>
          <w:szCs w:val="24"/>
          <w:lang w:val="en-GB"/>
        </w:rPr>
        <w:t xml:space="preserve">. Measures proposed for funding under </w:t>
      </w:r>
      <w:r w:rsidR="007B38B4">
        <w:rPr>
          <w:rFonts w:cs="Times New Roman"/>
          <w:szCs w:val="24"/>
          <w:lang w:val="en-GB"/>
        </w:rPr>
        <w:t>future</w:t>
      </w:r>
      <w:r w:rsidRPr="005B5F57">
        <w:rPr>
          <w:rFonts w:cs="Times New Roman"/>
          <w:szCs w:val="24"/>
          <w:lang w:val="en-GB"/>
        </w:rPr>
        <w:t xml:space="preserve"> Operational Programmes need to complement other on-going national and international interventions in Serbia. </w:t>
      </w:r>
      <w:r w:rsidRPr="00D51241">
        <w:rPr>
          <w:rFonts w:cs="Times New Roman"/>
          <w:b/>
          <w:szCs w:val="24"/>
          <w:lang w:val="en-GB"/>
        </w:rPr>
        <w:t>The aim of this principle is to maximise coordination, synergy and consistency, while concentrating limited resources to achieve the maximum impact from the programme’s implementation</w:t>
      </w:r>
      <w:r w:rsidRPr="005B5F57">
        <w:rPr>
          <w:rFonts w:cs="Times New Roman"/>
          <w:szCs w:val="24"/>
          <w:lang w:val="en-GB"/>
        </w:rPr>
        <w:t>.</w:t>
      </w:r>
    </w:p>
    <w:p w:rsidR="00444EA0" w:rsidRPr="00182D71" w:rsidRDefault="00A07B29" w:rsidP="00182D71">
      <w:pPr>
        <w:pStyle w:val="Heading2"/>
      </w:pPr>
      <w:bookmarkStart w:id="39" w:name="_Toc353200783"/>
      <w:r w:rsidRPr="00182D71">
        <w:t>4</w:t>
      </w:r>
      <w:r w:rsidR="00444EA0" w:rsidRPr="00182D71">
        <w:t>.5. Roadmap for the Establishment of the Social Inclusion Fund</w:t>
      </w:r>
      <w:bookmarkEnd w:id="39"/>
    </w:p>
    <w:p w:rsidR="00444EA0" w:rsidRPr="00083A64" w:rsidRDefault="00444EA0" w:rsidP="00351681">
      <w:pPr>
        <w:pStyle w:val="ListParagraph"/>
        <w:numPr>
          <w:ilvl w:val="0"/>
          <w:numId w:val="22"/>
        </w:numPr>
        <w:rPr>
          <w:lang w:val="en-GB"/>
        </w:rPr>
      </w:pPr>
      <w:r w:rsidRPr="00D51241">
        <w:rPr>
          <w:b/>
          <w:lang w:val="en-GB"/>
        </w:rPr>
        <w:t>Reach consensus among stakeholders and decision makers</w:t>
      </w:r>
      <w:r w:rsidRPr="00D51241">
        <w:rPr>
          <w:lang w:val="en-GB"/>
        </w:rPr>
        <w:t xml:space="preserve"> (political establishment) that </w:t>
      </w:r>
      <w:r>
        <w:rPr>
          <w:lang w:val="en-GB"/>
        </w:rPr>
        <w:t>the</w:t>
      </w:r>
      <w:r w:rsidRPr="00D51241">
        <w:rPr>
          <w:lang w:val="en-GB"/>
        </w:rPr>
        <w:t xml:space="preserve"> Fund is necessary for </w:t>
      </w:r>
      <w:r>
        <w:rPr>
          <w:lang w:val="en-GB"/>
        </w:rPr>
        <w:t xml:space="preserve">a </w:t>
      </w:r>
      <w:r w:rsidRPr="00D51241">
        <w:rPr>
          <w:lang w:val="en-GB"/>
        </w:rPr>
        <w:t>more effective, rational and transparent implementation of socia</w:t>
      </w:r>
      <w:r>
        <w:rPr>
          <w:lang w:val="en-GB"/>
        </w:rPr>
        <w:t xml:space="preserve">l inclusion policies in Serbia. </w:t>
      </w:r>
      <w:r w:rsidRPr="00083A64">
        <w:rPr>
          <w:lang w:val="en-GB"/>
        </w:rPr>
        <w:t xml:space="preserve">A wider public discussion and a workshop </w:t>
      </w:r>
      <w:r>
        <w:rPr>
          <w:lang w:val="en-GB"/>
        </w:rPr>
        <w:t>should be</w:t>
      </w:r>
      <w:r w:rsidRPr="00083A64">
        <w:rPr>
          <w:lang w:val="en-GB"/>
        </w:rPr>
        <w:t xml:space="preserve"> organized where relevant findings are presented to key line ministries and representatives from the EU Delegation/DG for Employment, Social Affairs and Inclusion, as well as civil society organisations.  </w:t>
      </w:r>
    </w:p>
    <w:p w:rsidR="004C6534" w:rsidRPr="004C6534" w:rsidRDefault="00444EA0" w:rsidP="00351681">
      <w:pPr>
        <w:pStyle w:val="ListParagraph"/>
        <w:numPr>
          <w:ilvl w:val="0"/>
          <w:numId w:val="22"/>
        </w:numPr>
        <w:rPr>
          <w:rFonts w:cs="Times New Roman"/>
          <w:szCs w:val="24"/>
          <w:lang w:val="sr-Latn-CS"/>
        </w:rPr>
      </w:pPr>
      <w:r w:rsidRPr="004C6534">
        <w:rPr>
          <w:b/>
          <w:lang w:val="en-GB"/>
        </w:rPr>
        <w:t>Conduct a feasibility study</w:t>
      </w:r>
      <w:r w:rsidRPr="004C6534">
        <w:rPr>
          <w:lang w:val="en-GB"/>
        </w:rPr>
        <w:t xml:space="preserve"> for the establishment of the Social Inclusion Fund</w:t>
      </w:r>
      <w:r w:rsidR="004C6534">
        <w:rPr>
          <w:lang w:val="en-GB"/>
        </w:rPr>
        <w:t>,</w:t>
      </w:r>
      <w:r w:rsidR="004C6534" w:rsidRPr="004C6534">
        <w:rPr>
          <w:rFonts w:cs="Times New Roman"/>
          <w:szCs w:val="24"/>
          <w:lang w:val="sr-Latn-CS"/>
        </w:rPr>
        <w:t xml:space="preserve"> </w:t>
      </w:r>
      <w:r w:rsidR="004C6534">
        <w:rPr>
          <w:rFonts w:cs="Times New Roman"/>
          <w:szCs w:val="24"/>
          <w:lang w:val="sr-Latn-CS"/>
        </w:rPr>
        <w:t>w</w:t>
      </w:r>
      <w:r w:rsidR="004C6534" w:rsidRPr="004C6534">
        <w:rPr>
          <w:rFonts w:cs="Times New Roman"/>
          <w:szCs w:val="24"/>
          <w:lang w:val="sr-Latn-CS"/>
        </w:rPr>
        <w:t xml:space="preserve">hich would provide additional data concerning the </w:t>
      </w:r>
      <w:r w:rsidR="004C6534">
        <w:rPr>
          <w:rFonts w:cs="Times New Roman"/>
          <w:szCs w:val="24"/>
          <w:lang w:val="sr-Latn-CS"/>
        </w:rPr>
        <w:t xml:space="preserve">necessary </w:t>
      </w:r>
      <w:r w:rsidR="004C6534" w:rsidRPr="004C6534">
        <w:rPr>
          <w:rFonts w:cs="Times New Roman"/>
          <w:szCs w:val="24"/>
          <w:lang w:val="sr-Latn-CS"/>
        </w:rPr>
        <w:t>steps</w:t>
      </w:r>
      <w:r w:rsidR="004C6534">
        <w:rPr>
          <w:rFonts w:cs="Times New Roman"/>
          <w:szCs w:val="24"/>
          <w:lang w:val="sr-Latn-CS"/>
        </w:rPr>
        <w:t>, e.g.</w:t>
      </w:r>
      <w:r w:rsidR="004C6534" w:rsidRPr="004C6534">
        <w:rPr>
          <w:rFonts w:cs="Times New Roman"/>
          <w:szCs w:val="24"/>
          <w:lang w:val="sr-Latn-CS"/>
        </w:rPr>
        <w:t xml:space="preserve">: </w:t>
      </w:r>
      <w:r w:rsidR="004C6534">
        <w:rPr>
          <w:rFonts w:cs="Times New Roman"/>
          <w:szCs w:val="24"/>
          <w:lang w:val="sr-Latn-CS"/>
        </w:rPr>
        <w:t xml:space="preserve">further </w:t>
      </w:r>
      <w:r w:rsidR="004C6534" w:rsidRPr="004C6534">
        <w:rPr>
          <w:rFonts w:cs="Times New Roman"/>
          <w:szCs w:val="24"/>
          <w:lang w:val="sr-Latn-CS"/>
        </w:rPr>
        <w:t xml:space="preserve">analysis of different options </w:t>
      </w:r>
      <w:r w:rsidR="004C6534">
        <w:rPr>
          <w:rFonts w:cs="Times New Roman"/>
          <w:szCs w:val="24"/>
          <w:lang w:val="sr-Latn-CS"/>
        </w:rPr>
        <w:t xml:space="preserve">for the establishment </w:t>
      </w:r>
      <w:r w:rsidR="004C6534" w:rsidRPr="004C6534">
        <w:rPr>
          <w:rFonts w:cs="Times New Roman"/>
          <w:szCs w:val="24"/>
          <w:lang w:val="sr-Latn-CS"/>
        </w:rPr>
        <w:t>(in particular by merging of existing budgetary funds)</w:t>
      </w:r>
      <w:r w:rsidR="004C6534">
        <w:rPr>
          <w:rFonts w:cs="Times New Roman"/>
          <w:szCs w:val="24"/>
          <w:lang w:val="sr-Latn-CS"/>
        </w:rPr>
        <w:t xml:space="preserve"> including their</w:t>
      </w:r>
      <w:r w:rsidR="004C6534" w:rsidRPr="004C6534">
        <w:rPr>
          <w:rFonts w:cs="Times New Roman"/>
          <w:szCs w:val="24"/>
          <w:lang w:val="sr-Latn-CS"/>
        </w:rPr>
        <w:t xml:space="preserve"> impact assessment, legal grounding, mandate, structure, budget and financial plan</w:t>
      </w:r>
      <w:r w:rsidR="004C6534">
        <w:rPr>
          <w:rFonts w:cs="Times New Roman"/>
          <w:szCs w:val="24"/>
          <w:lang w:val="sr-Latn-CS"/>
        </w:rPr>
        <w:t xml:space="preserve"> of the Fund</w:t>
      </w:r>
      <w:r w:rsidR="004C6534" w:rsidRPr="004C6534">
        <w:rPr>
          <w:rFonts w:cs="Times New Roman"/>
          <w:szCs w:val="24"/>
          <w:lang w:val="sr-Latn-CS"/>
        </w:rPr>
        <w:t>, workload analysis</w:t>
      </w:r>
      <w:r w:rsidR="004C6534">
        <w:rPr>
          <w:rFonts w:cs="Times New Roman"/>
          <w:szCs w:val="24"/>
          <w:lang w:val="sr-Latn-CS"/>
        </w:rPr>
        <w:t xml:space="preserve"> and</w:t>
      </w:r>
      <w:r w:rsidR="004C6534" w:rsidRPr="004C6534">
        <w:rPr>
          <w:rFonts w:cs="Times New Roman"/>
          <w:szCs w:val="24"/>
          <w:lang w:val="sr-Latn-CS"/>
        </w:rPr>
        <w:t xml:space="preserve"> training of staff, etc. </w:t>
      </w:r>
    </w:p>
    <w:p w:rsidR="00444EA0" w:rsidRPr="00740CE1" w:rsidRDefault="00444EA0" w:rsidP="00351681">
      <w:pPr>
        <w:pStyle w:val="ListParagraph"/>
        <w:numPr>
          <w:ilvl w:val="0"/>
          <w:numId w:val="22"/>
        </w:numPr>
        <w:rPr>
          <w:lang w:val="en-GB"/>
        </w:rPr>
      </w:pPr>
      <w:r w:rsidRPr="004C6534">
        <w:rPr>
          <w:b/>
          <w:lang w:val="en-GB"/>
        </w:rPr>
        <w:t xml:space="preserve">A working group consisting of the representatives from key ministries should draft relevant legal instruments </w:t>
      </w:r>
      <w:r w:rsidRPr="004C6534">
        <w:rPr>
          <w:lang w:val="en-GB"/>
        </w:rPr>
        <w:t xml:space="preserve">(this Research proposes that a new law should be drafted). It is important to </w:t>
      </w:r>
      <w:r w:rsidRPr="00B13AA4">
        <w:rPr>
          <w:lang w:val="en-GB"/>
        </w:rPr>
        <w:t xml:space="preserve">keep in mind that the drafting </w:t>
      </w:r>
      <w:r w:rsidRPr="00740CE1">
        <w:rPr>
          <w:lang w:val="en-GB"/>
        </w:rPr>
        <w:t>process should go in parallel with drafting the annual budget (or amendments to the existing Law on Budget).</w:t>
      </w:r>
    </w:p>
    <w:p w:rsidR="00444EA0" w:rsidRPr="00D51241" w:rsidRDefault="00444EA0" w:rsidP="00351681">
      <w:pPr>
        <w:pStyle w:val="ListParagraph"/>
        <w:numPr>
          <w:ilvl w:val="0"/>
          <w:numId w:val="22"/>
        </w:numPr>
        <w:rPr>
          <w:lang w:val="en-GB"/>
        </w:rPr>
      </w:pPr>
      <w:r w:rsidRPr="009E1649">
        <w:rPr>
          <w:b/>
          <w:lang w:val="en-GB"/>
        </w:rPr>
        <w:t xml:space="preserve">Conduct a </w:t>
      </w:r>
      <w:r>
        <w:rPr>
          <w:b/>
          <w:lang w:val="en-GB"/>
        </w:rPr>
        <w:t>Government adoption procedure</w:t>
      </w:r>
      <w:r w:rsidRPr="00D51241">
        <w:rPr>
          <w:lang w:val="en-GB"/>
        </w:rPr>
        <w:t xml:space="preserve"> in accordance with the Law on the Government of the Republic of Serbia and the </w:t>
      </w:r>
      <w:r>
        <w:rPr>
          <w:lang w:val="en-GB"/>
        </w:rPr>
        <w:t>Rules of Procedure of</w:t>
      </w:r>
      <w:r w:rsidRPr="00D51241">
        <w:rPr>
          <w:lang w:val="en-GB"/>
        </w:rPr>
        <w:t xml:space="preserve"> the Government of the Republic of Serbia. </w:t>
      </w:r>
    </w:p>
    <w:p w:rsidR="00444EA0" w:rsidRPr="00D51241" w:rsidRDefault="00444EA0" w:rsidP="00351681">
      <w:pPr>
        <w:pStyle w:val="ListParagraph"/>
        <w:numPr>
          <w:ilvl w:val="0"/>
          <w:numId w:val="22"/>
        </w:numPr>
        <w:rPr>
          <w:lang w:val="en-GB"/>
        </w:rPr>
      </w:pPr>
      <w:r w:rsidRPr="009E1649">
        <w:rPr>
          <w:b/>
          <w:lang w:val="en-GB"/>
        </w:rPr>
        <w:t>The legal instrument enters the Parliament procedure</w:t>
      </w:r>
      <w:r>
        <w:rPr>
          <w:lang w:val="en-GB"/>
        </w:rPr>
        <w:t xml:space="preserve"> and is adopted by the Parliament</w:t>
      </w:r>
      <w:r w:rsidRPr="00D51241">
        <w:rPr>
          <w:lang w:val="en-GB"/>
        </w:rPr>
        <w:t>.</w:t>
      </w:r>
    </w:p>
    <w:p w:rsidR="00444EA0" w:rsidRPr="00D51241" w:rsidRDefault="00444EA0" w:rsidP="00351681">
      <w:pPr>
        <w:pStyle w:val="ListParagraph"/>
        <w:numPr>
          <w:ilvl w:val="0"/>
          <w:numId w:val="22"/>
        </w:numPr>
        <w:rPr>
          <w:lang w:val="en-GB"/>
        </w:rPr>
      </w:pPr>
      <w:r w:rsidRPr="009E1649">
        <w:rPr>
          <w:b/>
          <w:lang w:val="en-GB"/>
        </w:rPr>
        <w:t>Mandatory appointment process is conducted</w:t>
      </w:r>
      <w:r w:rsidRPr="00D51241">
        <w:rPr>
          <w:lang w:val="en-GB"/>
        </w:rPr>
        <w:t xml:space="preserve"> in line with regular administrative procedure. </w:t>
      </w:r>
    </w:p>
    <w:p w:rsidR="00444EA0" w:rsidRPr="009E1649" w:rsidRDefault="00444EA0" w:rsidP="00351681">
      <w:pPr>
        <w:pStyle w:val="ListParagraph"/>
        <w:numPr>
          <w:ilvl w:val="0"/>
          <w:numId w:val="22"/>
        </w:numPr>
        <w:rPr>
          <w:lang w:val="en-GB"/>
        </w:rPr>
      </w:pPr>
      <w:r w:rsidRPr="009E1649">
        <w:rPr>
          <w:b/>
          <w:lang w:val="en-GB"/>
        </w:rPr>
        <w:t>The Social Inclusion Fund</w:t>
      </w:r>
      <w:r>
        <w:rPr>
          <w:b/>
          <w:lang w:val="en-GB"/>
        </w:rPr>
        <w:t>’s</w:t>
      </w:r>
      <w:r w:rsidRPr="009E1649">
        <w:rPr>
          <w:b/>
          <w:lang w:val="en-GB"/>
        </w:rPr>
        <w:t xml:space="preserve"> </w:t>
      </w:r>
      <w:r w:rsidRPr="005965E3">
        <w:rPr>
          <w:b/>
          <w:lang w:val="en-GB"/>
        </w:rPr>
        <w:t>rulebook on internal organisation and systematization is developed and adopted.</w:t>
      </w:r>
      <w:r>
        <w:rPr>
          <w:b/>
          <w:lang w:val="en-GB"/>
        </w:rPr>
        <w:t xml:space="preserve"> </w:t>
      </w:r>
      <w:r>
        <w:rPr>
          <w:lang w:val="en-GB"/>
        </w:rPr>
        <w:t xml:space="preserve">The staffing is conducted in line with relevant procedures. </w:t>
      </w:r>
    </w:p>
    <w:p w:rsidR="00444EA0" w:rsidRPr="00D51241" w:rsidRDefault="00444EA0" w:rsidP="00351681">
      <w:pPr>
        <w:pStyle w:val="ListParagraph"/>
        <w:numPr>
          <w:ilvl w:val="0"/>
          <w:numId w:val="22"/>
        </w:numPr>
        <w:rPr>
          <w:lang w:val="en-GB"/>
        </w:rPr>
      </w:pPr>
      <w:r w:rsidRPr="00D31FC4">
        <w:rPr>
          <w:b/>
          <w:lang w:val="en-GB"/>
        </w:rPr>
        <w:t>Specify reporting and monitoring requirements</w:t>
      </w:r>
      <w:r w:rsidRPr="00D51241">
        <w:rPr>
          <w:lang w:val="en-GB"/>
        </w:rPr>
        <w:t xml:space="preserve"> taking into account EU and national aspects related to social inclusion.</w:t>
      </w:r>
    </w:p>
    <w:p w:rsidR="00444EA0" w:rsidRPr="00D51241" w:rsidRDefault="00444EA0" w:rsidP="00351681">
      <w:pPr>
        <w:pStyle w:val="ListParagraph"/>
        <w:numPr>
          <w:ilvl w:val="0"/>
          <w:numId w:val="22"/>
        </w:numPr>
        <w:rPr>
          <w:lang w:val="en-GB"/>
        </w:rPr>
      </w:pPr>
      <w:r w:rsidRPr="00D31FC4">
        <w:rPr>
          <w:b/>
          <w:lang w:val="en-GB"/>
        </w:rPr>
        <w:t>Develop financial accountability rules</w:t>
      </w:r>
      <w:r w:rsidRPr="00D51241">
        <w:rPr>
          <w:lang w:val="en-GB"/>
        </w:rPr>
        <w:t>, but also record keeping processes, taking into account national legislation, as well as requirements linked to the decentralised implementation system of EU funds.</w:t>
      </w:r>
    </w:p>
    <w:p w:rsidR="00444EA0" w:rsidRPr="00D51241" w:rsidRDefault="00444EA0" w:rsidP="00351681">
      <w:pPr>
        <w:pStyle w:val="ListParagraph"/>
        <w:numPr>
          <w:ilvl w:val="0"/>
          <w:numId w:val="22"/>
        </w:numPr>
        <w:rPr>
          <w:lang w:val="en-GB"/>
        </w:rPr>
      </w:pPr>
      <w:r w:rsidRPr="00FA76F3">
        <w:rPr>
          <w:b/>
          <w:lang w:val="en-GB"/>
        </w:rPr>
        <w:t xml:space="preserve">Conduct training of the staff </w:t>
      </w:r>
      <w:r w:rsidRPr="00D51241">
        <w:rPr>
          <w:lang w:val="en-GB"/>
        </w:rPr>
        <w:t xml:space="preserve">through utilisation of the on-going </w:t>
      </w:r>
      <w:r>
        <w:rPr>
          <w:lang w:val="en-GB"/>
        </w:rPr>
        <w:t>donor-</w:t>
      </w:r>
      <w:r w:rsidRPr="00D51241">
        <w:rPr>
          <w:lang w:val="en-GB"/>
        </w:rPr>
        <w:t xml:space="preserve">funded projects, or a specially designed project established to support </w:t>
      </w:r>
      <w:r>
        <w:rPr>
          <w:lang w:val="en-GB"/>
        </w:rPr>
        <w:t xml:space="preserve">the </w:t>
      </w:r>
      <w:r w:rsidRPr="00D51241">
        <w:rPr>
          <w:lang w:val="en-GB"/>
        </w:rPr>
        <w:t>function of</w:t>
      </w:r>
      <w:r>
        <w:rPr>
          <w:lang w:val="en-GB"/>
        </w:rPr>
        <w:t xml:space="preserve"> the</w:t>
      </w:r>
      <w:r w:rsidRPr="00D51241">
        <w:rPr>
          <w:lang w:val="en-GB"/>
        </w:rPr>
        <w:t xml:space="preserve"> </w:t>
      </w:r>
      <w:r>
        <w:rPr>
          <w:lang w:val="en-GB"/>
        </w:rPr>
        <w:t>Social Inclusion Fund</w:t>
      </w:r>
      <w:r w:rsidRPr="00D51241">
        <w:rPr>
          <w:lang w:val="en-GB"/>
        </w:rPr>
        <w:t xml:space="preserve">. </w:t>
      </w:r>
    </w:p>
    <w:p w:rsidR="00444EA0" w:rsidRPr="00D51241" w:rsidRDefault="00444EA0" w:rsidP="00351681">
      <w:pPr>
        <w:pStyle w:val="ListParagraph"/>
        <w:numPr>
          <w:ilvl w:val="0"/>
          <w:numId w:val="22"/>
        </w:numPr>
        <w:rPr>
          <w:lang w:val="en-GB"/>
        </w:rPr>
      </w:pPr>
      <w:r w:rsidRPr="00FA76F3">
        <w:rPr>
          <w:b/>
          <w:lang w:val="en-GB"/>
        </w:rPr>
        <w:t>Implement grant funding from the national budget</w:t>
      </w:r>
      <w:r>
        <w:rPr>
          <w:lang w:val="en-GB"/>
        </w:rPr>
        <w:t xml:space="preserve"> a</w:t>
      </w:r>
      <w:r w:rsidRPr="00D51241">
        <w:rPr>
          <w:lang w:val="en-GB"/>
        </w:rPr>
        <w:t>s an important phase which would test the capacities of the newly established body to perform its functions, which is a prerequisite for the initiation of the next phase.</w:t>
      </w:r>
    </w:p>
    <w:p w:rsidR="00444EA0" w:rsidRPr="00D51241" w:rsidRDefault="00444EA0" w:rsidP="00351681">
      <w:pPr>
        <w:pStyle w:val="ListParagraph"/>
        <w:numPr>
          <w:ilvl w:val="0"/>
          <w:numId w:val="22"/>
        </w:numPr>
        <w:rPr>
          <w:lang w:val="en-GB"/>
        </w:rPr>
      </w:pPr>
      <w:r>
        <w:rPr>
          <w:b/>
          <w:lang w:val="en-GB"/>
        </w:rPr>
        <w:t xml:space="preserve">Obtain </w:t>
      </w:r>
      <w:r w:rsidRPr="00FA76F3">
        <w:rPr>
          <w:b/>
          <w:lang w:val="en-GB"/>
        </w:rPr>
        <w:t>accreditation of the Social Inclusion Fund</w:t>
      </w:r>
      <w:r w:rsidRPr="00D51241">
        <w:rPr>
          <w:lang w:val="en-GB"/>
        </w:rPr>
        <w:t xml:space="preserve"> within the decentralised</w:t>
      </w:r>
      <w:r>
        <w:rPr>
          <w:lang w:val="en-GB"/>
        </w:rPr>
        <w:t xml:space="preserve"> management of EU funds a</w:t>
      </w:r>
      <w:r w:rsidRPr="00D51241">
        <w:rPr>
          <w:lang w:val="en-GB"/>
        </w:rPr>
        <w:t>s the final phase prior to gra</w:t>
      </w:r>
      <w:r>
        <w:rPr>
          <w:lang w:val="en-GB"/>
        </w:rPr>
        <w:t>n</w:t>
      </w:r>
      <w:r w:rsidRPr="00D51241">
        <w:rPr>
          <w:lang w:val="en-GB"/>
        </w:rPr>
        <w:t xml:space="preserve">ting </w:t>
      </w:r>
      <w:r>
        <w:rPr>
          <w:lang w:val="en-GB"/>
        </w:rPr>
        <w:t>resources</w:t>
      </w:r>
      <w:r w:rsidRPr="00D51241">
        <w:rPr>
          <w:lang w:val="en-GB"/>
        </w:rPr>
        <w:t xml:space="preserve"> from EU funds.</w:t>
      </w:r>
    </w:p>
    <w:p w:rsidR="00441903" w:rsidRDefault="00441903" w:rsidP="00351681">
      <w:pPr>
        <w:pStyle w:val="ListParagraph"/>
        <w:numPr>
          <w:ilvl w:val="0"/>
          <w:numId w:val="21"/>
        </w:numPr>
        <w:rPr>
          <w:rFonts w:cs="Times New Roman"/>
          <w:szCs w:val="24"/>
          <w:lang w:val="en-GB"/>
        </w:rPr>
        <w:sectPr w:rsidR="00441903" w:rsidSect="005E5BCF">
          <w:headerReference w:type="default" r:id="rId17"/>
          <w:footerReference w:type="default" r:id="rId18"/>
          <w:pgSz w:w="11907" w:h="16839" w:code="9"/>
          <w:pgMar w:top="1440" w:right="1440" w:bottom="993" w:left="1440" w:header="720" w:footer="720" w:gutter="0"/>
          <w:cols w:space="720"/>
          <w:docGrid w:linePitch="360"/>
        </w:sectPr>
      </w:pPr>
    </w:p>
    <w:p w:rsidR="00441903" w:rsidRDefault="00444EA0" w:rsidP="00441903">
      <w:pPr>
        <w:rPr>
          <w:lang w:val="en-GB"/>
        </w:rPr>
        <w:sectPr w:rsidR="00441903" w:rsidSect="00297CFA">
          <w:headerReference w:type="default" r:id="rId19"/>
          <w:footerReference w:type="default" r:id="rId20"/>
          <w:pgSz w:w="16839" w:h="11907" w:orient="landscape" w:code="9"/>
          <w:pgMar w:top="1440" w:right="1440" w:bottom="1440" w:left="1440" w:header="720" w:footer="720" w:gutter="0"/>
          <w:cols w:space="720"/>
          <w:docGrid w:linePitch="360"/>
        </w:sectPr>
      </w:pPr>
      <w:r w:rsidRPr="005B5F57">
        <w:rPr>
          <w:rFonts w:cs="Times New Roman"/>
          <w:noProof/>
          <w:szCs w:val="24"/>
        </w:rPr>
        <w:drawing>
          <wp:anchor distT="0" distB="0" distL="114300" distR="114300" simplePos="0" relativeHeight="251701248" behindDoc="1" locked="0" layoutInCell="1" allowOverlap="1" wp14:anchorId="0FE6332E" wp14:editId="0D4614B3">
            <wp:simplePos x="0" y="0"/>
            <wp:positionH relativeFrom="column">
              <wp:posOffset>0</wp:posOffset>
            </wp:positionH>
            <wp:positionV relativeFrom="paragraph">
              <wp:posOffset>-2540</wp:posOffset>
            </wp:positionV>
            <wp:extent cx="8110728" cy="5733288"/>
            <wp:effectExtent l="0" t="0" r="5080" b="1270"/>
            <wp:wrapTight wrapText="bothSides">
              <wp:wrapPolygon edited="0">
                <wp:start x="0" y="0"/>
                <wp:lineTo x="0" y="21533"/>
                <wp:lineTo x="21563" y="21533"/>
                <wp:lineTo x="215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10728" cy="5733288"/>
                    </a:xfrm>
                    <a:prstGeom prst="rect">
                      <a:avLst/>
                    </a:prstGeom>
                  </pic:spPr>
                </pic:pic>
              </a:graphicData>
            </a:graphic>
          </wp:anchor>
        </w:drawing>
      </w:r>
    </w:p>
    <w:p w:rsidR="00F52C8D" w:rsidRPr="00182D71" w:rsidRDefault="00F52C8D" w:rsidP="00182D71">
      <w:pPr>
        <w:pStyle w:val="Heading1"/>
        <w:numPr>
          <w:ilvl w:val="0"/>
          <w:numId w:val="0"/>
        </w:numPr>
        <w:ind w:left="360" w:hanging="360"/>
      </w:pPr>
      <w:bookmarkStart w:id="40" w:name="_Toc353200784"/>
      <w:r w:rsidRPr="00182D71">
        <w:t>Literatur</w:t>
      </w:r>
      <w:r w:rsidR="00360BA6" w:rsidRPr="00182D71">
        <w:t>e</w:t>
      </w:r>
      <w:bookmarkEnd w:id="40"/>
    </w:p>
    <w:p w:rsidR="008772C8" w:rsidRPr="005B5F57" w:rsidRDefault="008772C8" w:rsidP="00FA76F3">
      <w:pPr>
        <w:rPr>
          <w:lang w:val="en-GB"/>
        </w:rPr>
      </w:pPr>
      <w:r w:rsidRPr="005B5F57">
        <w:rPr>
          <w:lang w:val="en-GB"/>
        </w:rPr>
        <w:t xml:space="preserve">Ben-Gera, Michal, “Horizontal Policy Coordination”, Ministry of Public Administration and Local Self-Government: Belgrade, 2009. </w:t>
      </w:r>
    </w:p>
    <w:p w:rsidR="00E1467A" w:rsidRPr="00E1467A" w:rsidRDefault="00E1467A" w:rsidP="00E1467A">
      <w:pPr>
        <w:rPr>
          <w:szCs w:val="24"/>
          <w:lang w:val="sr-Cyrl-CS"/>
        </w:rPr>
      </w:pPr>
      <w:r w:rsidRPr="00E1467A">
        <w:rPr>
          <w:szCs w:val="24"/>
          <w:lang w:val="sr-Cyrl-CS"/>
        </w:rPr>
        <w:t>Council Regulation (EC) No 1085/2006 of 17 July 2006 establishing an Instrument for Pre-Accession Assistance (IPA).</w:t>
      </w:r>
    </w:p>
    <w:p w:rsidR="00E1467A" w:rsidRPr="00E1467A" w:rsidRDefault="00E1467A" w:rsidP="00E1467A">
      <w:pPr>
        <w:rPr>
          <w:szCs w:val="24"/>
          <w:lang w:val="sr-Cyrl-CS"/>
        </w:rPr>
      </w:pPr>
      <w:r w:rsidRPr="00E1467A">
        <w:rPr>
          <w:szCs w:val="24"/>
          <w:lang w:val="sr-Cyrl-CS"/>
        </w:rPr>
        <w:t>Commission Regulation (EC) No 718/2007 of 12 June 2007 implementing Council Regulation (EC) No 1085/2006 establishing an instrument for pre-accession assistance (IPA).</w:t>
      </w:r>
    </w:p>
    <w:p w:rsidR="00E1467A" w:rsidRPr="00E1467A" w:rsidRDefault="00E1467A" w:rsidP="00E1467A">
      <w:pPr>
        <w:rPr>
          <w:szCs w:val="24"/>
          <w:lang w:val="sr-Cyrl-CS"/>
        </w:rPr>
      </w:pPr>
      <w:r w:rsidRPr="00E1467A">
        <w:rPr>
          <w:szCs w:val="24"/>
          <w:lang w:val="sr-Cyrl-CS"/>
        </w:rPr>
        <w:t>Council Regulation (EC, Euratom) No 1605/2002 of 25 June 2002 on the Financial Regulation applicable to the general budget of the European Communities.</w:t>
      </w:r>
    </w:p>
    <w:p w:rsidR="00E1467A" w:rsidRPr="00E1467A" w:rsidRDefault="00E1467A" w:rsidP="00E1467A">
      <w:pPr>
        <w:rPr>
          <w:szCs w:val="24"/>
          <w:lang w:val="sr-Cyrl-CS"/>
        </w:rPr>
      </w:pPr>
      <w:r w:rsidRPr="00E1467A">
        <w:rPr>
          <w:szCs w:val="24"/>
          <w:lang w:val="sr-Cyrl-CS"/>
        </w:rPr>
        <w:t>Commission Regulation (EC, Euratom) No 2342/2002 of 23 December 2002 laying down detailed rules for the implementation of Council Regulation (EC, Euratom) No 1605/2002 on the Financial Regulation applicable to the general budget of the European Communities.</w:t>
      </w:r>
    </w:p>
    <w:p w:rsidR="008772C8" w:rsidRPr="008772C8" w:rsidRDefault="008772C8" w:rsidP="00A07B29">
      <w:pPr>
        <w:jc w:val="left"/>
        <w:rPr>
          <w:rStyle w:val="Hyperlink"/>
          <w:lang w:val="en-GB"/>
        </w:rPr>
      </w:pPr>
      <w:r w:rsidRPr="008772C8">
        <w:rPr>
          <w:szCs w:val="24"/>
        </w:rPr>
        <w:t xml:space="preserve">Draft Operational Program for Human Resources Development </w:t>
      </w:r>
      <w:r w:rsidRPr="008772C8">
        <w:rPr>
          <w:szCs w:val="24"/>
          <w:lang w:val="sr-Cyrl-RS"/>
        </w:rPr>
        <w:t xml:space="preserve">2012-2013, </w:t>
      </w:r>
      <w:r w:rsidRPr="008772C8">
        <w:rPr>
          <w:szCs w:val="24"/>
        </w:rPr>
        <w:t xml:space="preserve">Office for European Integration, 201. </w:t>
      </w:r>
      <w:r w:rsidRPr="008772C8">
        <w:rPr>
          <w:szCs w:val="24"/>
          <w:lang w:val="sr-Cyrl-RS"/>
        </w:rPr>
        <w:t xml:space="preserve"> </w:t>
      </w:r>
      <w:hyperlink r:id="rId22" w:history="1">
        <w:r w:rsidRPr="008772C8">
          <w:rPr>
            <w:rStyle w:val="Hyperlink"/>
            <w:lang w:val="en-GB"/>
          </w:rPr>
          <w:t>http://www.cdspredlaze.org.rs/Content/downloads/OP-HRD_2nd_Draft_%28main%29.pdf</w:t>
        </w:r>
      </w:hyperlink>
      <w:r w:rsidRPr="008772C8">
        <w:rPr>
          <w:rStyle w:val="Hyperlink"/>
          <w:lang w:val="en-GB"/>
        </w:rPr>
        <w:t xml:space="preserve">   </w:t>
      </w:r>
    </w:p>
    <w:p w:rsidR="008772C8" w:rsidRPr="008772C8" w:rsidRDefault="008772C8" w:rsidP="00A07B29">
      <w:pPr>
        <w:jc w:val="left"/>
        <w:rPr>
          <w:szCs w:val="24"/>
        </w:rPr>
      </w:pPr>
      <w:r w:rsidRPr="008772C8">
        <w:rPr>
          <w:szCs w:val="24"/>
          <w:lang w:val="sr-Cyrl-RS"/>
        </w:rPr>
        <w:t xml:space="preserve">European Commission, </w:t>
      </w:r>
      <w:r w:rsidRPr="008772C8">
        <w:rPr>
          <w:szCs w:val="24"/>
        </w:rPr>
        <w:t>Serbia 2012 Progress report</w:t>
      </w:r>
      <w:r w:rsidR="00E1467A">
        <w:rPr>
          <w:szCs w:val="24"/>
        </w:rPr>
        <w:t>.</w:t>
      </w:r>
      <w:r w:rsidRPr="008772C8">
        <w:rPr>
          <w:szCs w:val="24"/>
        </w:rPr>
        <w:t xml:space="preserve"> </w:t>
      </w:r>
    </w:p>
    <w:p w:rsidR="008772C8" w:rsidRPr="005B5F57" w:rsidRDefault="008772C8" w:rsidP="00E1467A">
      <w:pPr>
        <w:rPr>
          <w:lang w:val="en-GB"/>
        </w:rPr>
      </w:pPr>
      <w:r w:rsidRPr="005B5F57">
        <w:rPr>
          <w:lang w:val="en-GB"/>
        </w:rPr>
        <w:t>European Commission's DG Employment, Social Affairs and Inclusion, “The EU and social</w:t>
      </w:r>
      <w:r w:rsidR="00E1467A">
        <w:rPr>
          <w:lang w:val="en-GB"/>
        </w:rPr>
        <w:t xml:space="preserve"> </w:t>
      </w:r>
      <w:r w:rsidRPr="005B5F57">
        <w:rPr>
          <w:lang w:val="en-GB"/>
        </w:rPr>
        <w:t>inclusion - ESF in action”,</w:t>
      </w:r>
      <w:r w:rsidRPr="005B5F57">
        <w:rPr>
          <w:rStyle w:val="CommentReference"/>
          <w:rFonts w:cs="Times New Roman"/>
          <w:sz w:val="24"/>
          <w:szCs w:val="24"/>
          <w:lang w:val="en-GB"/>
        </w:rPr>
        <w:t xml:space="preserve"> </w:t>
      </w:r>
      <w:r w:rsidRPr="005B5F57">
        <w:rPr>
          <w:rStyle w:val="Date1"/>
          <w:rFonts w:cs="Times New Roman"/>
          <w:szCs w:val="24"/>
          <w:lang w:val="en-GB"/>
        </w:rPr>
        <w:t>March 2010.</w:t>
      </w:r>
      <w:r>
        <w:rPr>
          <w:rStyle w:val="Date1"/>
          <w:rFonts w:cs="Times New Roman"/>
          <w:szCs w:val="24"/>
          <w:lang w:val="en-GB"/>
        </w:rPr>
        <w:t xml:space="preserve"> </w:t>
      </w:r>
      <w:hyperlink r:id="rId23" w:history="1">
        <w:r w:rsidRPr="0006619A">
          <w:rPr>
            <w:rStyle w:val="Hyperlink"/>
            <w:lang w:val="en-GB"/>
          </w:rPr>
          <w:t>http://ec.europa.eu/social/main.jsp?catId=370&amp;langId=en&amp;featuresId=106&amp;furtherFeatures=yes</w:t>
        </w:r>
      </w:hyperlink>
      <w:r>
        <w:rPr>
          <w:lang w:val="en-GB"/>
        </w:rPr>
        <w:t xml:space="preserve"> </w:t>
      </w:r>
    </w:p>
    <w:p w:rsidR="008772C8" w:rsidRPr="005B5F57" w:rsidRDefault="008772C8" w:rsidP="00FA76F3">
      <w:pPr>
        <w:rPr>
          <w:lang w:val="en-GB"/>
        </w:rPr>
      </w:pPr>
      <w:r w:rsidRPr="005B5F57">
        <w:rPr>
          <w:lang w:val="en-GB"/>
        </w:rPr>
        <w:t>European Commission's DG for Employment, Social Affairs and Inclusion, “European Social Fund”, 2012.</w:t>
      </w:r>
      <w:r>
        <w:rPr>
          <w:lang w:val="en-GB"/>
        </w:rPr>
        <w:t xml:space="preserve"> </w:t>
      </w:r>
      <w:hyperlink r:id="rId24" w:history="1">
        <w:r w:rsidRPr="0006619A">
          <w:rPr>
            <w:rStyle w:val="Hyperlink"/>
            <w:lang w:val="en-GB"/>
          </w:rPr>
          <w:t>http://ec.europa.eu/esf/main.jsp?catId=32&amp;langId=en</w:t>
        </w:r>
      </w:hyperlink>
      <w:r>
        <w:rPr>
          <w:lang w:val="en-GB"/>
        </w:rPr>
        <w:t xml:space="preserve"> </w:t>
      </w:r>
    </w:p>
    <w:p w:rsidR="008772C8" w:rsidRPr="005B5F57" w:rsidRDefault="008772C8" w:rsidP="00FA76F3">
      <w:pPr>
        <w:rPr>
          <w:lang w:val="en-GB"/>
        </w:rPr>
      </w:pPr>
      <w:r w:rsidRPr="005B5F57">
        <w:rPr>
          <w:lang w:val="en-GB"/>
        </w:rPr>
        <w:t>European Commission's DG for Employment, Social Affairs and Inclusion. “The European Social Fund: a Cornerstone in the Fight Against Poverty and Social Exclusion”, 2010.</w:t>
      </w:r>
    </w:p>
    <w:p w:rsidR="008772C8" w:rsidRPr="005B5F57" w:rsidRDefault="008772C8" w:rsidP="00FA76F3">
      <w:pPr>
        <w:rPr>
          <w:lang w:val="en-GB"/>
        </w:rPr>
      </w:pPr>
      <w:r w:rsidRPr="005B5F57">
        <w:rPr>
          <w:lang w:val="en-GB"/>
        </w:rPr>
        <w:t>European Commission's DG for Employment, Social Affairs and Inclusion: “What are the proposed changes for the ESF?”, 2012.</w:t>
      </w:r>
      <w:r>
        <w:rPr>
          <w:lang w:val="en-GB"/>
        </w:rPr>
        <w:t xml:space="preserve"> </w:t>
      </w:r>
      <w:hyperlink r:id="rId25" w:history="1">
        <w:r w:rsidRPr="0006619A">
          <w:rPr>
            <w:rStyle w:val="Hyperlink"/>
            <w:lang w:val="en-GB"/>
          </w:rPr>
          <w:t>http://ec.europa.eu/esf/main.jsp?catId=62&amp;langId=en</w:t>
        </w:r>
      </w:hyperlink>
      <w:r>
        <w:rPr>
          <w:lang w:val="en-GB"/>
        </w:rPr>
        <w:t xml:space="preserve"> </w:t>
      </w:r>
    </w:p>
    <w:p w:rsidR="001B26A2" w:rsidRPr="005B5F57" w:rsidRDefault="001B26A2" w:rsidP="001B26A2">
      <w:pPr>
        <w:rPr>
          <w:lang w:val="en-GB"/>
        </w:rPr>
      </w:pPr>
      <w:r w:rsidRPr="005B5F57">
        <w:rPr>
          <w:lang w:val="en-GB"/>
        </w:rPr>
        <w:t>European Commission Proposal (COM(2011) 607) for a Regulation of the European Parliament and of the Council on the European Social Fund and repealing Council Regulation (EC) No 1081/2006.</w:t>
      </w:r>
    </w:p>
    <w:p w:rsidR="008772C8" w:rsidRPr="005B5F57" w:rsidRDefault="008772C8" w:rsidP="00FA76F3">
      <w:pPr>
        <w:rPr>
          <w:lang w:val="en-GB"/>
        </w:rPr>
      </w:pPr>
      <w:r w:rsidRPr="005B5F57">
        <w:rPr>
          <w:lang w:val="en-GB"/>
        </w:rPr>
        <w:t>European Court of Auditors, “Has EU assistance improved Cro</w:t>
      </w:r>
      <w:r>
        <w:rPr>
          <w:lang w:val="en-GB"/>
        </w:rPr>
        <w:t>atia's capacity to manage post-</w:t>
      </w:r>
      <w:r w:rsidRPr="005B5F57">
        <w:rPr>
          <w:lang w:val="en-GB"/>
        </w:rPr>
        <w:t>accession funding?”, Special Report No 14/2011, 2011.</w:t>
      </w:r>
    </w:p>
    <w:p w:rsidR="008772C8" w:rsidRPr="005B5F57" w:rsidRDefault="008772C8" w:rsidP="00FA76F3">
      <w:pPr>
        <w:rPr>
          <w:lang w:val="en-GB"/>
        </w:rPr>
      </w:pPr>
      <w:r w:rsidRPr="005B5F57">
        <w:rPr>
          <w:lang w:val="en-GB"/>
        </w:rPr>
        <w:t>Golicin, Pavle and Galjina Ognjanov, “Assessment of Results of the Social Innovation Fund”, UNDP: Belgrade, 2010.</w:t>
      </w:r>
    </w:p>
    <w:p w:rsidR="008772C8" w:rsidRPr="005B5F57" w:rsidRDefault="008772C8" w:rsidP="00FA76F3">
      <w:pPr>
        <w:rPr>
          <w:lang w:val="en-GB"/>
        </w:rPr>
      </w:pPr>
      <w:r w:rsidRPr="005B5F57">
        <w:rPr>
          <w:lang w:val="en-GB"/>
        </w:rPr>
        <w:t>Holand, K. and S. Eriksen,</w:t>
      </w:r>
      <w:r w:rsidRPr="005B5F57">
        <w:rPr>
          <w:i/>
          <w:lang w:val="en-GB"/>
        </w:rPr>
        <w:t xml:space="preserve"> “Izazovi reforme - dijagnostička studija organa državne uprave Republike Srbije”</w:t>
      </w:r>
      <w:r w:rsidRPr="005B5F57">
        <w:rPr>
          <w:lang w:val="en-GB"/>
        </w:rPr>
        <w:t>, Government of the Republic of Serbia: Beograd, 2002.</w:t>
      </w:r>
    </w:p>
    <w:p w:rsidR="007371D9" w:rsidRPr="008772C8" w:rsidRDefault="007371D9" w:rsidP="007371D9">
      <w:pPr>
        <w:jc w:val="left"/>
        <w:rPr>
          <w:i/>
          <w:szCs w:val="24"/>
        </w:rPr>
      </w:pPr>
      <w:r w:rsidRPr="008772C8">
        <w:rPr>
          <w:szCs w:val="24"/>
        </w:rPr>
        <w:t xml:space="preserve">Law on Ministries, </w:t>
      </w:r>
      <w:r w:rsidRPr="008772C8">
        <w:rPr>
          <w:i/>
          <w:szCs w:val="24"/>
        </w:rPr>
        <w:t>Official Gazette of the Republic of Serbia, 72/2012.</w:t>
      </w:r>
    </w:p>
    <w:p w:rsidR="007371D9" w:rsidRDefault="007371D9" w:rsidP="00A07B29">
      <w:pPr>
        <w:jc w:val="left"/>
        <w:rPr>
          <w:szCs w:val="24"/>
        </w:rPr>
      </w:pPr>
      <w:r>
        <w:rPr>
          <w:szCs w:val="24"/>
        </w:rPr>
        <w:t>Law on S</w:t>
      </w:r>
      <w:r w:rsidRPr="001250AD">
        <w:t xml:space="preserve">eizure of </w:t>
      </w:r>
      <w:r>
        <w:t>P</w:t>
      </w:r>
      <w:r w:rsidRPr="001250AD">
        <w:t xml:space="preserve">roperty </w:t>
      </w:r>
      <w:r>
        <w:t>A</w:t>
      </w:r>
      <w:r w:rsidRPr="001250AD">
        <w:t xml:space="preserve">cquired </w:t>
      </w:r>
      <w:r>
        <w:t>T</w:t>
      </w:r>
      <w:r w:rsidRPr="001250AD">
        <w:t xml:space="preserve">hrough </w:t>
      </w:r>
      <w:r>
        <w:t>C</w:t>
      </w:r>
      <w:r w:rsidRPr="001250AD">
        <w:t>rime</w:t>
      </w:r>
      <w:r>
        <w:t xml:space="preserve">, </w:t>
      </w:r>
      <w:r w:rsidRPr="008772C8">
        <w:rPr>
          <w:i/>
          <w:szCs w:val="24"/>
        </w:rPr>
        <w:t xml:space="preserve">Official Gazette of the Republic of Serbia, </w:t>
      </w:r>
      <w:r>
        <w:rPr>
          <w:i/>
          <w:szCs w:val="24"/>
        </w:rPr>
        <w:t>97</w:t>
      </w:r>
      <w:r w:rsidRPr="008772C8">
        <w:rPr>
          <w:i/>
          <w:szCs w:val="24"/>
        </w:rPr>
        <w:t>/20</w:t>
      </w:r>
      <w:r>
        <w:rPr>
          <w:i/>
          <w:szCs w:val="24"/>
        </w:rPr>
        <w:t>08</w:t>
      </w:r>
      <w:r w:rsidRPr="008772C8">
        <w:rPr>
          <w:i/>
          <w:szCs w:val="24"/>
        </w:rPr>
        <w:t>.</w:t>
      </w:r>
    </w:p>
    <w:p w:rsidR="007371D9" w:rsidRDefault="007371D9" w:rsidP="007371D9">
      <w:pPr>
        <w:jc w:val="left"/>
        <w:rPr>
          <w:szCs w:val="24"/>
        </w:rPr>
      </w:pPr>
      <w:r>
        <w:rPr>
          <w:szCs w:val="24"/>
        </w:rPr>
        <w:t xml:space="preserve">Law on </w:t>
      </w:r>
      <w:r>
        <w:t xml:space="preserve">Financing Local Self-governments, </w:t>
      </w:r>
      <w:r w:rsidRPr="008772C8">
        <w:rPr>
          <w:i/>
          <w:szCs w:val="24"/>
        </w:rPr>
        <w:t xml:space="preserve">Official Gazette of the Republic of Serbia, </w:t>
      </w:r>
      <w:r>
        <w:rPr>
          <w:i/>
          <w:szCs w:val="24"/>
        </w:rPr>
        <w:t>93</w:t>
      </w:r>
      <w:r w:rsidRPr="008772C8">
        <w:rPr>
          <w:i/>
          <w:szCs w:val="24"/>
        </w:rPr>
        <w:t>/20</w:t>
      </w:r>
      <w:r>
        <w:rPr>
          <w:i/>
          <w:szCs w:val="24"/>
        </w:rPr>
        <w:t>12</w:t>
      </w:r>
      <w:r w:rsidRPr="008772C8">
        <w:rPr>
          <w:i/>
          <w:szCs w:val="24"/>
        </w:rPr>
        <w:t>.</w:t>
      </w:r>
    </w:p>
    <w:p w:rsidR="007371D9" w:rsidRDefault="007371D9" w:rsidP="007371D9">
      <w:pPr>
        <w:jc w:val="left"/>
        <w:rPr>
          <w:szCs w:val="24"/>
        </w:rPr>
      </w:pPr>
      <w:r>
        <w:rPr>
          <w:szCs w:val="24"/>
        </w:rPr>
        <w:t xml:space="preserve">Law on Social Protection, </w:t>
      </w:r>
      <w:r w:rsidRPr="008772C8">
        <w:rPr>
          <w:i/>
          <w:szCs w:val="24"/>
        </w:rPr>
        <w:t xml:space="preserve">Official Gazette of the Republic of Serbia, </w:t>
      </w:r>
      <w:r>
        <w:rPr>
          <w:i/>
          <w:szCs w:val="24"/>
        </w:rPr>
        <w:t>24</w:t>
      </w:r>
      <w:r w:rsidRPr="008772C8">
        <w:rPr>
          <w:i/>
          <w:szCs w:val="24"/>
        </w:rPr>
        <w:t>/20</w:t>
      </w:r>
      <w:r>
        <w:rPr>
          <w:i/>
          <w:szCs w:val="24"/>
        </w:rPr>
        <w:t>11</w:t>
      </w:r>
      <w:r w:rsidRPr="008772C8">
        <w:rPr>
          <w:i/>
          <w:szCs w:val="24"/>
        </w:rPr>
        <w:t>.</w:t>
      </w:r>
    </w:p>
    <w:p w:rsidR="007371D9" w:rsidRDefault="007371D9" w:rsidP="007371D9">
      <w:pPr>
        <w:jc w:val="left"/>
        <w:rPr>
          <w:szCs w:val="24"/>
        </w:rPr>
      </w:pPr>
      <w:r>
        <w:rPr>
          <w:szCs w:val="24"/>
        </w:rPr>
        <w:t xml:space="preserve">Law on Employment and Unemployment Insurance, </w:t>
      </w:r>
      <w:r w:rsidRPr="008772C8">
        <w:rPr>
          <w:i/>
          <w:szCs w:val="24"/>
        </w:rPr>
        <w:t xml:space="preserve">Official Gazette of the Republic of Serbia, </w:t>
      </w:r>
      <w:r>
        <w:rPr>
          <w:i/>
          <w:szCs w:val="24"/>
        </w:rPr>
        <w:t>88</w:t>
      </w:r>
      <w:r w:rsidRPr="008772C8">
        <w:rPr>
          <w:i/>
          <w:szCs w:val="24"/>
        </w:rPr>
        <w:t>/20</w:t>
      </w:r>
      <w:r>
        <w:rPr>
          <w:i/>
          <w:szCs w:val="24"/>
        </w:rPr>
        <w:t>10</w:t>
      </w:r>
      <w:r w:rsidRPr="008772C8">
        <w:rPr>
          <w:i/>
          <w:szCs w:val="24"/>
        </w:rPr>
        <w:t>.</w:t>
      </w:r>
    </w:p>
    <w:p w:rsidR="007371D9" w:rsidRDefault="007371D9" w:rsidP="007371D9">
      <w:pPr>
        <w:jc w:val="left"/>
        <w:rPr>
          <w:szCs w:val="24"/>
        </w:rPr>
      </w:pPr>
      <w:r w:rsidRPr="007371D9">
        <w:rPr>
          <w:szCs w:val="24"/>
        </w:rPr>
        <w:t xml:space="preserve">Law on </w:t>
      </w:r>
      <w:r w:rsidRPr="007371D9">
        <w:t xml:space="preserve">the Fundamentals of the Education System, </w:t>
      </w:r>
      <w:r w:rsidRPr="008772C8">
        <w:rPr>
          <w:i/>
          <w:szCs w:val="24"/>
        </w:rPr>
        <w:t xml:space="preserve">Official Gazette of the Republic of Serbia, </w:t>
      </w:r>
      <w:r>
        <w:rPr>
          <w:i/>
          <w:szCs w:val="24"/>
        </w:rPr>
        <w:t>52</w:t>
      </w:r>
      <w:r w:rsidRPr="008772C8">
        <w:rPr>
          <w:i/>
          <w:szCs w:val="24"/>
        </w:rPr>
        <w:t>/20</w:t>
      </w:r>
      <w:r>
        <w:rPr>
          <w:i/>
          <w:szCs w:val="24"/>
        </w:rPr>
        <w:t>11</w:t>
      </w:r>
      <w:r w:rsidRPr="008772C8">
        <w:rPr>
          <w:i/>
          <w:szCs w:val="24"/>
        </w:rPr>
        <w:t>.</w:t>
      </w:r>
    </w:p>
    <w:p w:rsidR="008772C8" w:rsidRPr="005B5F57" w:rsidRDefault="008772C8" w:rsidP="00FA76F3">
      <w:pPr>
        <w:rPr>
          <w:lang w:val="en-GB"/>
        </w:rPr>
      </w:pPr>
      <w:r w:rsidRPr="005B5F57">
        <w:rPr>
          <w:lang w:val="en-GB"/>
        </w:rPr>
        <w:t>Ministry of Employment and Labour, Hungary, “Equal - Community Initiative Programme, Hungary 2004-2006”, 2003.</w:t>
      </w:r>
    </w:p>
    <w:p w:rsidR="003E78D7" w:rsidRPr="005B5F57" w:rsidRDefault="003E78D7" w:rsidP="003E78D7">
      <w:pPr>
        <w:rPr>
          <w:lang w:val="en-GB"/>
        </w:rPr>
      </w:pPr>
      <w:r w:rsidRPr="005B5F57">
        <w:rPr>
          <w:lang w:val="en-GB"/>
        </w:rPr>
        <w:t>Ministry of Labour and Social Affairs, Czech Republic, “First phase evaluation of Community Initiative EQUAL</w:t>
      </w:r>
      <w:r>
        <w:rPr>
          <w:lang w:val="en-GB"/>
        </w:rPr>
        <w:t xml:space="preserve"> </w:t>
      </w:r>
      <w:r w:rsidRPr="005B5F57">
        <w:rPr>
          <w:lang w:val="en-GB"/>
        </w:rPr>
        <w:t>- 2nd round in Czech Republic”/ Second phase evaluation of Community Initiative EQUAL”, 2005; “Third Phase of the Ongoing Evaluation of the Community Initiative Programme EQUAL”, 2007.</w:t>
      </w:r>
    </w:p>
    <w:p w:rsidR="008772C8" w:rsidRPr="005B5F57" w:rsidRDefault="008772C8" w:rsidP="00FA76F3">
      <w:pPr>
        <w:rPr>
          <w:lang w:val="en-GB"/>
        </w:rPr>
      </w:pPr>
      <w:r w:rsidRPr="005B5F57">
        <w:rPr>
          <w:lang w:val="en-GB"/>
        </w:rPr>
        <w:t>Ministry of Labour and Social Policy, “Call for proposals for development and improvement of local social services”, 2012.</w:t>
      </w:r>
      <w:r>
        <w:rPr>
          <w:lang w:val="en-GB"/>
        </w:rPr>
        <w:t xml:space="preserve"> </w:t>
      </w:r>
      <w:hyperlink r:id="rId26" w:history="1">
        <w:r w:rsidRPr="0006619A">
          <w:rPr>
            <w:rStyle w:val="Hyperlink"/>
            <w:lang w:val="en-GB"/>
          </w:rPr>
          <w:t>http://www.minrzs.gov.rs/cms/sr/konkursi/323-javni-poziv-za-podnoenje-predloga-projekata-za-razvoj-i-unapreenje-lokalnih-socijalnih-usluga</w:t>
        </w:r>
      </w:hyperlink>
      <w:r>
        <w:rPr>
          <w:lang w:val="en-GB"/>
        </w:rPr>
        <w:t xml:space="preserve"> </w:t>
      </w:r>
    </w:p>
    <w:p w:rsidR="008772C8" w:rsidRPr="005B5F57" w:rsidRDefault="008772C8" w:rsidP="00FA76F3">
      <w:pPr>
        <w:rPr>
          <w:lang w:val="en-GB"/>
        </w:rPr>
      </w:pPr>
      <w:r w:rsidRPr="005B5F57">
        <w:rPr>
          <w:lang w:val="en-GB"/>
        </w:rPr>
        <w:t>Ministry of Labour and Social Policy, “Call for proposals”, 2012.</w:t>
      </w:r>
      <w:r>
        <w:rPr>
          <w:lang w:val="en-GB"/>
        </w:rPr>
        <w:t xml:space="preserve"> </w:t>
      </w:r>
      <w:hyperlink r:id="rId27" w:history="1">
        <w:r w:rsidRPr="0006619A">
          <w:rPr>
            <w:rStyle w:val="Hyperlink"/>
            <w:lang w:val="en-GB"/>
          </w:rPr>
          <w:t>http://www.minrzs.gov.rs/cms/sr/konkursi/341-poziv-za-podnoenje-predloga-projekata</w:t>
        </w:r>
      </w:hyperlink>
      <w:r>
        <w:rPr>
          <w:lang w:val="en-GB"/>
        </w:rPr>
        <w:t xml:space="preserve"> </w:t>
      </w:r>
    </w:p>
    <w:p w:rsidR="008772C8" w:rsidRPr="005B5F57" w:rsidRDefault="008772C8" w:rsidP="00FA76F3">
      <w:pPr>
        <w:rPr>
          <w:lang w:val="en-GB"/>
        </w:rPr>
      </w:pPr>
      <w:r w:rsidRPr="005B5F57">
        <w:rPr>
          <w:lang w:val="en-GB"/>
        </w:rPr>
        <w:t>Ministry of Labour and Social Policy, “Report on the work of</w:t>
      </w:r>
      <w:r>
        <w:rPr>
          <w:lang w:val="en-GB"/>
        </w:rPr>
        <w:t xml:space="preserve"> Project Selection Committee”, </w:t>
      </w:r>
      <w:r w:rsidRPr="005B5F57">
        <w:rPr>
          <w:lang w:val="en-GB"/>
        </w:rPr>
        <w:t>February 2002.</w:t>
      </w:r>
      <w:r>
        <w:rPr>
          <w:lang w:val="en-GB"/>
        </w:rPr>
        <w:t xml:space="preserve"> </w:t>
      </w:r>
      <w:hyperlink r:id="rId28" w:history="1">
        <w:r w:rsidRPr="0006619A">
          <w:rPr>
            <w:rStyle w:val="Hyperlink"/>
            <w:lang w:val="en-GB"/>
          </w:rPr>
          <w:t>http://www.minrzs.gov.rs/cms/sr/konkursi/351-2012-02-22-14-21-52</w:t>
        </w:r>
      </w:hyperlink>
      <w:r>
        <w:rPr>
          <w:lang w:val="en-GB"/>
        </w:rPr>
        <w:t xml:space="preserve"> </w:t>
      </w:r>
    </w:p>
    <w:p w:rsidR="008772C8" w:rsidRPr="005B5F57" w:rsidRDefault="008772C8" w:rsidP="00FA76F3">
      <w:pPr>
        <w:rPr>
          <w:lang w:val="en-GB"/>
        </w:rPr>
      </w:pPr>
      <w:r w:rsidRPr="005B5F57">
        <w:rPr>
          <w:lang w:val="en-GB"/>
        </w:rPr>
        <w:t>Ministry of Labour and Social Policy, “Tender documentation”, 2011.</w:t>
      </w:r>
      <w:r>
        <w:rPr>
          <w:lang w:val="en-GB"/>
        </w:rPr>
        <w:t xml:space="preserve"> </w:t>
      </w:r>
      <w:hyperlink r:id="rId29" w:history="1">
        <w:r w:rsidRPr="0006619A">
          <w:rPr>
            <w:rStyle w:val="Hyperlink"/>
            <w:lang w:val="en-GB"/>
          </w:rPr>
          <w:t>http://www.minrzs.gov.rs/cms/sr/konkursi/328-2011-11-22-12-54-35</w:t>
        </w:r>
      </w:hyperlink>
      <w:r>
        <w:rPr>
          <w:lang w:val="en-GB"/>
        </w:rPr>
        <w:t xml:space="preserve"> </w:t>
      </w:r>
    </w:p>
    <w:p w:rsidR="00E1467A" w:rsidRDefault="00E1467A" w:rsidP="00FA76F3">
      <w:pPr>
        <w:rPr>
          <w:sz w:val="18"/>
          <w:szCs w:val="18"/>
        </w:rPr>
      </w:pPr>
      <w:r w:rsidRPr="004D7000">
        <w:rPr>
          <w:szCs w:val="24"/>
        </w:rPr>
        <w:t xml:space="preserve">Office for Cooperation with Civil Society, Government of the Republic of Serbia, Annual </w:t>
      </w:r>
      <w:r>
        <w:rPr>
          <w:szCs w:val="24"/>
        </w:rPr>
        <w:t xml:space="preserve">Summary </w:t>
      </w:r>
      <w:r w:rsidRPr="004D7000">
        <w:rPr>
          <w:szCs w:val="24"/>
        </w:rPr>
        <w:t xml:space="preserve">Report on the </w:t>
      </w:r>
      <w:r>
        <w:rPr>
          <w:szCs w:val="24"/>
        </w:rPr>
        <w:t xml:space="preserve">Budget </w:t>
      </w:r>
      <w:r w:rsidRPr="004D7000">
        <w:rPr>
          <w:szCs w:val="24"/>
        </w:rPr>
        <w:t xml:space="preserve">Expenditures </w:t>
      </w:r>
      <w:r>
        <w:rPr>
          <w:szCs w:val="24"/>
        </w:rPr>
        <w:t xml:space="preserve">Provided to the Associations and other </w:t>
      </w:r>
      <w:r w:rsidRPr="004D7000">
        <w:rPr>
          <w:szCs w:val="24"/>
        </w:rPr>
        <w:t xml:space="preserve">Civil Society Organizations </w:t>
      </w:r>
      <w:r>
        <w:rPr>
          <w:szCs w:val="24"/>
        </w:rPr>
        <w:t xml:space="preserve">from the Budget of the Republic of Serbia in </w:t>
      </w:r>
      <w:r w:rsidRPr="004D7000">
        <w:rPr>
          <w:szCs w:val="24"/>
        </w:rPr>
        <w:t>2011</w:t>
      </w:r>
      <w:r w:rsidRPr="004D7000">
        <w:rPr>
          <w:sz w:val="18"/>
          <w:szCs w:val="18"/>
          <w:lang w:val="sr-Cyrl-RS"/>
        </w:rPr>
        <w:t xml:space="preserve">. </w:t>
      </w:r>
    </w:p>
    <w:p w:rsidR="008772C8" w:rsidRPr="005B5F57" w:rsidRDefault="008772C8" w:rsidP="00FA76F3">
      <w:pPr>
        <w:rPr>
          <w:lang w:val="en-GB"/>
        </w:rPr>
      </w:pPr>
      <w:r w:rsidRPr="005B5F57">
        <w:rPr>
          <w:lang w:val="en-GB"/>
        </w:rPr>
        <w:t>Petrovic, Marina.</w:t>
      </w:r>
      <w:r w:rsidRPr="005B5F57">
        <w:rPr>
          <w:i/>
          <w:lang w:val="en-GB"/>
        </w:rPr>
        <w:t xml:space="preserve"> “Međusektorska saradnja u pružanju usluga korisnicima socijalne pomoći”</w:t>
      </w:r>
      <w:r w:rsidRPr="005B5F57">
        <w:rPr>
          <w:lang w:val="en-GB"/>
        </w:rPr>
        <w:t xml:space="preserve">, </w:t>
      </w:r>
      <w:r w:rsidRPr="005B5F57">
        <w:rPr>
          <w:u w:val="single"/>
          <w:lang w:val="en-GB"/>
        </w:rPr>
        <w:t>Fokus</w:t>
      </w:r>
      <w:r w:rsidRPr="005B5F57">
        <w:rPr>
          <w:lang w:val="en-GB"/>
        </w:rPr>
        <w:t>, CLDS: Belgrade, October 2010.</w:t>
      </w:r>
    </w:p>
    <w:p w:rsidR="008772C8" w:rsidRPr="005B5F57" w:rsidRDefault="008772C8" w:rsidP="00FA76F3">
      <w:pPr>
        <w:rPr>
          <w:lang w:val="en-GB"/>
        </w:rPr>
      </w:pPr>
      <w:r w:rsidRPr="005B5F57">
        <w:rPr>
          <w:lang w:val="en-GB"/>
        </w:rPr>
        <w:t>Petrovic, Marina. “</w:t>
      </w:r>
      <w:r w:rsidRPr="005B5F57">
        <w:rPr>
          <w:i/>
          <w:lang w:val="en-GB"/>
        </w:rPr>
        <w:t>Socijalna pomoć i aktivacija u Srbiji: u potrazi za inkluzivnim rešenjem”</w:t>
      </w:r>
      <w:r w:rsidRPr="005B5F57">
        <w:rPr>
          <w:lang w:val="en-GB"/>
        </w:rPr>
        <w:t>, CLDS: Beograd, 2011</w:t>
      </w:r>
    </w:p>
    <w:p w:rsidR="008772C8" w:rsidRPr="005B5F57" w:rsidRDefault="008772C8" w:rsidP="00FA76F3">
      <w:pPr>
        <w:rPr>
          <w:lang w:val="en-GB"/>
        </w:rPr>
      </w:pPr>
      <w:r w:rsidRPr="005B5F57">
        <w:rPr>
          <w:lang w:val="en-GB"/>
        </w:rPr>
        <w:t xml:space="preserve">Serbian European Integration Office, </w:t>
      </w:r>
      <w:r w:rsidRPr="007371D9">
        <w:rPr>
          <w:lang w:val="en-GB"/>
        </w:rPr>
        <w:t>IPA Glossary</w:t>
      </w:r>
      <w:r w:rsidRPr="005B5F57">
        <w:rPr>
          <w:lang w:val="en-GB"/>
        </w:rPr>
        <w:t>, December 2010.</w:t>
      </w:r>
    </w:p>
    <w:p w:rsidR="00E1467A" w:rsidRDefault="00E1467A" w:rsidP="00FA76F3">
      <w:pPr>
        <w:rPr>
          <w:lang w:val="en-GB"/>
        </w:rPr>
      </w:pPr>
      <w:r>
        <w:rPr>
          <w:lang w:val="en-GB"/>
        </w:rPr>
        <w:t xml:space="preserve">Social Inclusion and Poverty Reduction Unit, First National Report on Social Inclusion and Poverty Reduction in the Republic of Serbia, 2011. </w:t>
      </w:r>
    </w:p>
    <w:p w:rsidR="008772C8" w:rsidRPr="005B5F57" w:rsidRDefault="008772C8" w:rsidP="00FA76F3">
      <w:pPr>
        <w:rPr>
          <w:lang w:val="en-GB"/>
        </w:rPr>
      </w:pPr>
      <w:r w:rsidRPr="005B5F57">
        <w:rPr>
          <w:lang w:val="en-GB"/>
        </w:rPr>
        <w:t xml:space="preserve">SIGMA, “Assessment - Serbia 2011”, 2011. </w:t>
      </w:r>
      <w:hyperlink r:id="rId30" w:history="1">
        <w:r w:rsidRPr="0006619A">
          <w:rPr>
            <w:rStyle w:val="Hyperlink"/>
            <w:lang w:val="en-GB"/>
          </w:rPr>
          <w:t>http://www.oecd.org/dataoecd/40/27/48970654.pdf</w:t>
        </w:r>
      </w:hyperlink>
      <w:r>
        <w:rPr>
          <w:lang w:val="en-GB"/>
        </w:rPr>
        <w:t xml:space="preserve"> </w:t>
      </w:r>
      <w:r w:rsidRPr="005B5F57">
        <w:rPr>
          <w:lang w:val="en-GB"/>
        </w:rPr>
        <w:t xml:space="preserve"> </w:t>
      </w:r>
      <w:r>
        <w:rPr>
          <w:lang w:val="en-GB"/>
        </w:rPr>
        <w:t xml:space="preserve"> </w:t>
      </w:r>
    </w:p>
    <w:p w:rsidR="008772C8" w:rsidRPr="008772C8" w:rsidRDefault="008772C8" w:rsidP="00A07B29">
      <w:pPr>
        <w:jc w:val="left"/>
        <w:rPr>
          <w:szCs w:val="24"/>
        </w:rPr>
      </w:pPr>
      <w:r w:rsidRPr="008772C8">
        <w:rPr>
          <w:szCs w:val="24"/>
        </w:rPr>
        <w:t>State Audit Institution, Report on Audit of the Annual Financial Report of the Ministry of Labor and Social Policy 2009.</w:t>
      </w:r>
    </w:p>
    <w:p w:rsidR="008772C8" w:rsidRPr="005B5F57" w:rsidRDefault="008772C8" w:rsidP="00FA76F3">
      <w:pPr>
        <w:rPr>
          <w:lang w:val="en-GB"/>
        </w:rPr>
      </w:pPr>
      <w:r w:rsidRPr="005B5F57">
        <w:rPr>
          <w:lang w:val="en-GB"/>
        </w:rPr>
        <w:t>The Netherlands Economic Institute, “Absorption capacity for Structural Funds in the regions of Slovenia, Ljubljana”, 2002.</w:t>
      </w:r>
    </w:p>
    <w:p w:rsidR="008772C8" w:rsidRPr="005B5F57" w:rsidRDefault="008772C8" w:rsidP="00FA76F3">
      <w:pPr>
        <w:rPr>
          <w:lang w:val="en-GB"/>
        </w:rPr>
      </w:pPr>
      <w:r w:rsidRPr="005B5F57">
        <w:rPr>
          <w:lang w:val="en-GB"/>
        </w:rPr>
        <w:t>Vukovic, Danilo, “Institutional Capacities, Social and Human Capital and the Application of Law: Reforms of the Local Social Protection System in Serbia“, paper presented at the conference “Poverty and Social Inclusion in the Western Balkans”, World Bank: Brussels, 2010.</w:t>
      </w:r>
    </w:p>
    <w:p w:rsidR="008772C8" w:rsidRPr="005B5F57" w:rsidRDefault="008772C8" w:rsidP="00FA76F3">
      <w:pPr>
        <w:rPr>
          <w:lang w:val="en-GB"/>
        </w:rPr>
      </w:pPr>
      <w:r w:rsidRPr="005B5F57">
        <w:rPr>
          <w:lang w:val="en-GB"/>
        </w:rPr>
        <w:t>World Bank, “EU-8 Administrative Capacity in the New Member States: The Limits of Innovation?”</w:t>
      </w:r>
      <w:r>
        <w:rPr>
          <w:lang w:val="en-GB"/>
        </w:rPr>
        <w:t xml:space="preserve">, </w:t>
      </w:r>
      <w:r w:rsidRPr="005B5F57">
        <w:rPr>
          <w:lang w:val="en-GB"/>
        </w:rPr>
        <w:t>2006.</w:t>
      </w:r>
    </w:p>
    <w:p w:rsidR="00360BA6" w:rsidRDefault="00360BA6">
      <w:pPr>
        <w:spacing w:before="0" w:after="200"/>
        <w:jc w:val="left"/>
        <w:rPr>
          <w:lang w:val="en-GB"/>
        </w:rPr>
      </w:pPr>
      <w:r>
        <w:rPr>
          <w:lang w:val="en-GB"/>
        </w:rPr>
        <w:br w:type="page"/>
      </w:r>
    </w:p>
    <w:p w:rsidR="00E51A6E" w:rsidRPr="00182D71" w:rsidRDefault="00012498" w:rsidP="00182D71">
      <w:pPr>
        <w:pStyle w:val="Heading1"/>
        <w:numPr>
          <w:ilvl w:val="0"/>
          <w:numId w:val="0"/>
        </w:numPr>
        <w:ind w:left="360" w:hanging="360"/>
      </w:pPr>
      <w:bookmarkStart w:id="41" w:name="_Toc353200785"/>
      <w:r w:rsidRPr="00182D71">
        <w:t>Annexes</w:t>
      </w:r>
      <w:bookmarkEnd w:id="41"/>
    </w:p>
    <w:p w:rsidR="002F09DA" w:rsidRPr="005B5F57" w:rsidRDefault="002F09DA" w:rsidP="00FA2F9B">
      <w:pPr>
        <w:pStyle w:val="Heading3"/>
        <w:rPr>
          <w:lang w:val="en-GB"/>
        </w:rPr>
      </w:pPr>
      <w:bookmarkStart w:id="42" w:name="_Toc327447138"/>
      <w:bookmarkStart w:id="43" w:name="_Toc328380457"/>
      <w:bookmarkStart w:id="44" w:name="_Toc329882820"/>
      <w:bookmarkStart w:id="45" w:name="_Toc330557090"/>
      <w:bookmarkStart w:id="46" w:name="_Toc330557553"/>
      <w:bookmarkStart w:id="47" w:name="_Toc330559000"/>
      <w:bookmarkStart w:id="48" w:name="_Toc353200786"/>
      <w:r w:rsidRPr="005B5F57">
        <w:rPr>
          <w:lang w:val="en-GB"/>
        </w:rPr>
        <w:t>Annex 1</w:t>
      </w:r>
      <w:r w:rsidR="00D2338B">
        <w:rPr>
          <w:lang w:val="en-GB"/>
        </w:rPr>
        <w:t>.</w:t>
      </w:r>
      <w:r w:rsidRPr="005B5F57">
        <w:rPr>
          <w:lang w:val="en-GB"/>
        </w:rPr>
        <w:t xml:space="preserve"> List of participants from the consultative meeting with civil society organisations concerning the initiative on the establishment of the Social Inclusion Fund</w:t>
      </w:r>
      <w:bookmarkEnd w:id="42"/>
      <w:bookmarkEnd w:id="43"/>
      <w:bookmarkEnd w:id="44"/>
      <w:bookmarkEnd w:id="45"/>
      <w:bookmarkEnd w:id="46"/>
      <w:bookmarkEnd w:id="47"/>
      <w:bookmarkEnd w:id="48"/>
    </w:p>
    <w:p w:rsidR="002F09DA" w:rsidRPr="005B5F57" w:rsidRDefault="002F09DA">
      <w:pPr>
        <w:rPr>
          <w:rFonts w:cs="Times New Roman"/>
          <w:b/>
          <w:szCs w:val="24"/>
          <w:lang w:val="en-GB"/>
        </w:rPr>
      </w:pPr>
    </w:p>
    <w:p w:rsidR="002F09DA" w:rsidRPr="00002BD2" w:rsidRDefault="002F09DA" w:rsidP="00351681">
      <w:pPr>
        <w:pStyle w:val="ListParagraph"/>
        <w:numPr>
          <w:ilvl w:val="0"/>
          <w:numId w:val="18"/>
        </w:numPr>
        <w:spacing w:line="360" w:lineRule="auto"/>
        <w:rPr>
          <w:rFonts w:cs="Times New Roman"/>
          <w:szCs w:val="24"/>
          <w:lang w:val="fr-FR"/>
        </w:rPr>
      </w:pPr>
      <w:r w:rsidRPr="00002BD2">
        <w:rPr>
          <w:rFonts w:cs="Times New Roman"/>
          <w:szCs w:val="24"/>
          <w:lang w:val="fr-FR"/>
        </w:rPr>
        <w:t xml:space="preserve">Aleksandra Galonja, Institut za održive zajednice </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 xml:space="preserve">Slobodanka Macanović,  Autonomni ženski centar  </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Tanja Ignjatović, Autonomni ženski centar</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Momčilo Stanojević, Centar za samostalni život osoba sa invaliditetom</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Saša Stefanović, Otvoreni klub Niš</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Tamara Simonović , Otvoreni klub Niš</w:t>
      </w:r>
    </w:p>
    <w:p w:rsidR="002F09DA" w:rsidRPr="005B5F57" w:rsidRDefault="005918A5" w:rsidP="00351681">
      <w:pPr>
        <w:pStyle w:val="ListParagraph"/>
        <w:numPr>
          <w:ilvl w:val="0"/>
          <w:numId w:val="18"/>
        </w:numPr>
        <w:spacing w:line="360" w:lineRule="auto"/>
        <w:rPr>
          <w:rFonts w:cs="Times New Roman"/>
          <w:szCs w:val="24"/>
          <w:lang w:val="en-GB"/>
        </w:rPr>
      </w:pPr>
      <w:r>
        <w:rPr>
          <w:rFonts w:cs="Times New Roman"/>
          <w:szCs w:val="24"/>
          <w:lang w:val="en-GB"/>
        </w:rPr>
        <w:t>Nadežda Satarić , Amity</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Jasna Filipović, Centar za razvoj neprofitnog sektora</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Gordan Velev, Grupa 484</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Marko Stojanović, Građanske inicijative</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Bojana Jevtović, Građanske inicijative</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Maša Dimitrijević, Građanske inicijative</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Žarko Šunderić, SIPRU</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Irina Ljubić, SIPRU</w:t>
      </w:r>
    </w:p>
    <w:p w:rsidR="002F09DA" w:rsidRPr="005B5F57" w:rsidRDefault="002F09DA" w:rsidP="00351681">
      <w:pPr>
        <w:pStyle w:val="ListParagraph"/>
        <w:numPr>
          <w:ilvl w:val="0"/>
          <w:numId w:val="18"/>
        </w:numPr>
        <w:spacing w:line="360" w:lineRule="auto"/>
        <w:rPr>
          <w:rFonts w:cs="Times New Roman"/>
          <w:szCs w:val="24"/>
          <w:lang w:val="en-GB"/>
        </w:rPr>
      </w:pPr>
      <w:r w:rsidRPr="005B5F57">
        <w:rPr>
          <w:rFonts w:cs="Times New Roman"/>
          <w:szCs w:val="24"/>
          <w:lang w:val="en-GB"/>
        </w:rPr>
        <w:t>Andrija Pejović, Evropski projektni centar</w:t>
      </w:r>
    </w:p>
    <w:p w:rsidR="002F09DA" w:rsidRPr="005B5F57" w:rsidRDefault="002F09DA">
      <w:pPr>
        <w:rPr>
          <w:rFonts w:cs="Times New Roman"/>
          <w:szCs w:val="24"/>
          <w:lang w:val="en-GB"/>
        </w:rPr>
        <w:sectPr w:rsidR="002F09DA" w:rsidRPr="005B5F57" w:rsidSect="00760442">
          <w:footerReference w:type="default" r:id="rId31"/>
          <w:pgSz w:w="12240" w:h="15840"/>
          <w:pgMar w:top="1440" w:right="1440" w:bottom="1440" w:left="1440" w:header="720" w:footer="720" w:gutter="0"/>
          <w:cols w:space="720"/>
          <w:docGrid w:linePitch="360"/>
        </w:sectPr>
      </w:pPr>
    </w:p>
    <w:p w:rsidR="002F09DA" w:rsidRPr="005B5F57" w:rsidRDefault="002F09DA" w:rsidP="00FA2F9B">
      <w:pPr>
        <w:pStyle w:val="Heading3"/>
        <w:rPr>
          <w:lang w:val="en-GB"/>
        </w:rPr>
      </w:pPr>
      <w:bookmarkStart w:id="49" w:name="_Toc327447139"/>
      <w:bookmarkStart w:id="50" w:name="_Toc328380458"/>
      <w:bookmarkStart w:id="51" w:name="_Toc329882821"/>
      <w:bookmarkStart w:id="52" w:name="_Toc330557091"/>
      <w:bookmarkStart w:id="53" w:name="_Toc330557554"/>
      <w:bookmarkStart w:id="54" w:name="_Toc330559001"/>
      <w:bookmarkStart w:id="55" w:name="_Toc353200787"/>
      <w:r w:rsidRPr="005B5F57">
        <w:rPr>
          <w:lang w:val="en-GB"/>
        </w:rPr>
        <w:t>Annex 2</w:t>
      </w:r>
      <w:r w:rsidR="00D2338B">
        <w:rPr>
          <w:lang w:val="en-GB"/>
        </w:rPr>
        <w:t>.</w:t>
      </w:r>
      <w:r w:rsidRPr="005B5F57">
        <w:rPr>
          <w:lang w:val="en-GB"/>
        </w:rPr>
        <w:t xml:space="preserve"> List of</w:t>
      </w:r>
      <w:r w:rsidR="00C61538" w:rsidRPr="005B5F57">
        <w:rPr>
          <w:lang w:val="en-GB"/>
        </w:rPr>
        <w:t xml:space="preserve"> interviewees</w:t>
      </w:r>
      <w:bookmarkEnd w:id="49"/>
      <w:bookmarkEnd w:id="50"/>
      <w:bookmarkEnd w:id="51"/>
      <w:bookmarkEnd w:id="52"/>
      <w:bookmarkEnd w:id="53"/>
      <w:bookmarkEnd w:id="54"/>
      <w:bookmarkEnd w:id="55"/>
    </w:p>
    <w:p w:rsidR="00C61538" w:rsidRPr="005B5F57" w:rsidRDefault="00C61538" w:rsidP="00351681">
      <w:pPr>
        <w:pStyle w:val="ListParagraph"/>
        <w:numPr>
          <w:ilvl w:val="0"/>
          <w:numId w:val="19"/>
        </w:numPr>
        <w:spacing w:line="360" w:lineRule="auto"/>
        <w:rPr>
          <w:rFonts w:cs="Times New Roman"/>
          <w:szCs w:val="24"/>
          <w:lang w:val="en-GB"/>
        </w:rPr>
      </w:pPr>
      <w:r w:rsidRPr="005B5F57">
        <w:rPr>
          <w:rFonts w:cs="Times New Roman"/>
          <w:szCs w:val="24"/>
          <w:lang w:val="en-GB"/>
        </w:rPr>
        <w:t xml:space="preserve">Ljiljana Džuver, Ministry of </w:t>
      </w:r>
      <w:r w:rsidR="008772C8">
        <w:rPr>
          <w:rFonts w:cs="Times New Roman"/>
          <w:szCs w:val="24"/>
          <w:lang w:val="en-GB"/>
        </w:rPr>
        <w:t>Labor, Employment and Social Policy</w:t>
      </w:r>
    </w:p>
    <w:p w:rsidR="00C61538" w:rsidRPr="005B5F57" w:rsidRDefault="00C61538" w:rsidP="00351681">
      <w:pPr>
        <w:pStyle w:val="ListParagraph"/>
        <w:numPr>
          <w:ilvl w:val="0"/>
          <w:numId w:val="19"/>
        </w:numPr>
        <w:spacing w:line="360" w:lineRule="auto"/>
        <w:rPr>
          <w:rFonts w:cs="Times New Roman"/>
          <w:szCs w:val="24"/>
          <w:lang w:val="en-GB"/>
        </w:rPr>
      </w:pPr>
      <w:r w:rsidRPr="005B5F57">
        <w:rPr>
          <w:rFonts w:cs="Times New Roman"/>
          <w:szCs w:val="24"/>
          <w:lang w:val="en-GB"/>
        </w:rPr>
        <w:t xml:space="preserve">Silvija Gajin, </w:t>
      </w:r>
      <w:r w:rsidR="008772C8" w:rsidRPr="005B5F57">
        <w:rPr>
          <w:rFonts w:cs="Times New Roman"/>
          <w:szCs w:val="24"/>
          <w:lang w:val="en-GB"/>
        </w:rPr>
        <w:t xml:space="preserve">Ministry of </w:t>
      </w:r>
      <w:r w:rsidR="008772C8">
        <w:rPr>
          <w:rFonts w:cs="Times New Roman"/>
          <w:szCs w:val="24"/>
          <w:lang w:val="en-GB"/>
        </w:rPr>
        <w:t>Labor, Employment and Social Policy</w:t>
      </w:r>
    </w:p>
    <w:p w:rsidR="00C61538" w:rsidRPr="005B5F57" w:rsidRDefault="00C61538" w:rsidP="00351681">
      <w:pPr>
        <w:pStyle w:val="ListParagraph"/>
        <w:numPr>
          <w:ilvl w:val="0"/>
          <w:numId w:val="19"/>
        </w:numPr>
        <w:spacing w:line="360" w:lineRule="auto"/>
        <w:rPr>
          <w:rFonts w:cs="Times New Roman"/>
          <w:szCs w:val="24"/>
          <w:lang w:val="en-GB"/>
        </w:rPr>
      </w:pPr>
      <w:r w:rsidRPr="005B5F57">
        <w:rPr>
          <w:rFonts w:cs="Times New Roman"/>
          <w:szCs w:val="24"/>
          <w:lang w:val="en-GB"/>
        </w:rPr>
        <w:t xml:space="preserve">Dragana Radovanović, </w:t>
      </w:r>
      <w:r w:rsidR="008772C8" w:rsidRPr="005B5F57">
        <w:rPr>
          <w:rFonts w:cs="Times New Roman"/>
          <w:szCs w:val="24"/>
          <w:lang w:val="en-GB"/>
        </w:rPr>
        <w:t xml:space="preserve">Ministry of </w:t>
      </w:r>
      <w:r w:rsidR="008772C8">
        <w:rPr>
          <w:rFonts w:cs="Times New Roman"/>
          <w:szCs w:val="24"/>
          <w:lang w:val="en-GB"/>
        </w:rPr>
        <w:t>Labor, Employment and Social Policy</w:t>
      </w:r>
    </w:p>
    <w:p w:rsidR="002F09DA" w:rsidRDefault="00C61538" w:rsidP="00351681">
      <w:pPr>
        <w:pStyle w:val="ListParagraph"/>
        <w:numPr>
          <w:ilvl w:val="0"/>
          <w:numId w:val="19"/>
        </w:numPr>
        <w:spacing w:line="360" w:lineRule="auto"/>
        <w:rPr>
          <w:rFonts w:cs="Times New Roman"/>
          <w:szCs w:val="24"/>
          <w:lang w:val="en-GB"/>
        </w:rPr>
      </w:pPr>
      <w:r w:rsidRPr="005B5F57">
        <w:rPr>
          <w:rFonts w:cs="Times New Roman"/>
          <w:szCs w:val="24"/>
          <w:lang w:val="en-GB"/>
        </w:rPr>
        <w:t xml:space="preserve">Aleksandra Miletić, </w:t>
      </w:r>
      <w:r w:rsidR="008772C8" w:rsidRPr="005B5F57">
        <w:rPr>
          <w:rFonts w:cs="Times New Roman"/>
          <w:szCs w:val="24"/>
          <w:lang w:val="en-GB"/>
        </w:rPr>
        <w:t xml:space="preserve">Ministry of </w:t>
      </w:r>
      <w:r w:rsidR="008772C8">
        <w:rPr>
          <w:rFonts w:cs="Times New Roman"/>
          <w:szCs w:val="24"/>
          <w:lang w:val="en-GB"/>
        </w:rPr>
        <w:t>Labor, Employment and Social Policy</w:t>
      </w:r>
    </w:p>
    <w:p w:rsidR="008772C8" w:rsidRPr="008772C8" w:rsidRDefault="008772C8" w:rsidP="00351681">
      <w:pPr>
        <w:pStyle w:val="ListParagraph"/>
        <w:numPr>
          <w:ilvl w:val="0"/>
          <w:numId w:val="19"/>
        </w:numPr>
        <w:spacing w:line="360" w:lineRule="auto"/>
        <w:rPr>
          <w:rFonts w:cs="Times New Roman"/>
          <w:szCs w:val="24"/>
          <w:lang w:val="en-GB"/>
        </w:rPr>
      </w:pPr>
      <w:r>
        <w:rPr>
          <w:rFonts w:cs="Times New Roman"/>
          <w:szCs w:val="24"/>
          <w:lang w:val="en-GB"/>
        </w:rPr>
        <w:t xml:space="preserve">Ognjen </w:t>
      </w:r>
      <w:r>
        <w:rPr>
          <w:rFonts w:cs="Times New Roman"/>
          <w:szCs w:val="24"/>
          <w:lang w:val="sr-Latn-CS"/>
        </w:rPr>
        <w:t>Mirić, Office for European Integration</w:t>
      </w:r>
    </w:p>
    <w:p w:rsidR="008772C8" w:rsidRPr="008772C8" w:rsidRDefault="008772C8" w:rsidP="00351681">
      <w:pPr>
        <w:pStyle w:val="ListParagraph"/>
        <w:numPr>
          <w:ilvl w:val="0"/>
          <w:numId w:val="19"/>
        </w:numPr>
        <w:spacing w:line="360" w:lineRule="auto"/>
        <w:rPr>
          <w:rFonts w:cs="Times New Roman"/>
          <w:szCs w:val="24"/>
          <w:lang w:val="en-GB"/>
        </w:rPr>
      </w:pPr>
      <w:r>
        <w:rPr>
          <w:rFonts w:cs="Times New Roman"/>
          <w:szCs w:val="24"/>
          <w:lang w:val="sr-Latn-CS"/>
        </w:rPr>
        <w:t>Stefana Lilić, Office for European Integration</w:t>
      </w:r>
    </w:p>
    <w:p w:rsidR="008772C8" w:rsidRPr="008772C8" w:rsidRDefault="008772C8" w:rsidP="00351681">
      <w:pPr>
        <w:pStyle w:val="ListParagraph"/>
        <w:numPr>
          <w:ilvl w:val="0"/>
          <w:numId w:val="19"/>
        </w:numPr>
        <w:spacing w:line="360" w:lineRule="auto"/>
        <w:rPr>
          <w:rFonts w:cs="Times New Roman"/>
          <w:szCs w:val="24"/>
          <w:lang w:val="en-GB"/>
        </w:rPr>
      </w:pPr>
      <w:r>
        <w:rPr>
          <w:rFonts w:cs="Times New Roman"/>
          <w:szCs w:val="24"/>
          <w:lang w:val="sr-Latn-CS"/>
        </w:rPr>
        <w:t>Zorica Vukelić, Standing Conference of Towns and Municipalities</w:t>
      </w:r>
    </w:p>
    <w:p w:rsidR="008772C8" w:rsidRPr="008772C8" w:rsidRDefault="008772C8" w:rsidP="00351681">
      <w:pPr>
        <w:pStyle w:val="ListParagraph"/>
        <w:numPr>
          <w:ilvl w:val="0"/>
          <w:numId w:val="19"/>
        </w:numPr>
        <w:spacing w:line="360" w:lineRule="auto"/>
        <w:rPr>
          <w:rFonts w:cs="Times New Roman"/>
          <w:szCs w:val="24"/>
          <w:lang w:val="en-GB"/>
        </w:rPr>
      </w:pPr>
      <w:r>
        <w:rPr>
          <w:rFonts w:cs="Times New Roman"/>
          <w:szCs w:val="24"/>
          <w:lang w:val="sr-Latn-CS"/>
        </w:rPr>
        <w:t>Jasmina Tanasić,</w:t>
      </w:r>
      <w:r w:rsidRPr="008772C8">
        <w:rPr>
          <w:rFonts w:cs="Times New Roman"/>
          <w:szCs w:val="24"/>
          <w:lang w:val="sr-Latn-CS"/>
        </w:rPr>
        <w:t xml:space="preserve"> </w:t>
      </w:r>
      <w:r>
        <w:rPr>
          <w:rFonts w:cs="Times New Roman"/>
          <w:szCs w:val="24"/>
          <w:lang w:val="sr-Latn-CS"/>
        </w:rPr>
        <w:t>Standing Conference of Towns and Municipalities</w:t>
      </w:r>
    </w:p>
    <w:p w:rsidR="008772C8" w:rsidRPr="005B5F57" w:rsidRDefault="008772C8" w:rsidP="00351681">
      <w:pPr>
        <w:pStyle w:val="ListParagraph"/>
        <w:numPr>
          <w:ilvl w:val="0"/>
          <w:numId w:val="19"/>
        </w:numPr>
        <w:spacing w:line="360" w:lineRule="auto"/>
        <w:rPr>
          <w:rFonts w:cs="Times New Roman"/>
          <w:szCs w:val="24"/>
          <w:lang w:val="en-GB"/>
        </w:rPr>
      </w:pPr>
      <w:r>
        <w:rPr>
          <w:rFonts w:cs="Times New Roman"/>
          <w:szCs w:val="24"/>
          <w:lang w:val="sr-Latn-CS"/>
        </w:rPr>
        <w:t>Maja Knežević, Standing Conference of Towns and Municipalities</w:t>
      </w:r>
    </w:p>
    <w:p w:rsidR="00C61538" w:rsidRPr="005B5F57" w:rsidRDefault="00C61538" w:rsidP="00351681">
      <w:pPr>
        <w:pStyle w:val="ListParagraph"/>
        <w:numPr>
          <w:ilvl w:val="0"/>
          <w:numId w:val="19"/>
        </w:numPr>
        <w:spacing w:line="360" w:lineRule="auto"/>
        <w:rPr>
          <w:rFonts w:cs="Times New Roman"/>
          <w:szCs w:val="24"/>
          <w:lang w:val="en-GB"/>
        </w:rPr>
      </w:pPr>
      <w:r w:rsidRPr="005B5F57">
        <w:rPr>
          <w:rFonts w:cs="Times New Roman"/>
          <w:szCs w:val="24"/>
          <w:lang w:val="en-GB"/>
        </w:rPr>
        <w:t>Gordana Matković, Center for Liberal-Democratic studies</w:t>
      </w:r>
    </w:p>
    <w:p w:rsidR="00C61538" w:rsidRPr="005B5F57" w:rsidRDefault="00C61538" w:rsidP="00351681">
      <w:pPr>
        <w:pStyle w:val="ListParagraph"/>
        <w:numPr>
          <w:ilvl w:val="0"/>
          <w:numId w:val="19"/>
        </w:numPr>
        <w:spacing w:line="360" w:lineRule="auto"/>
        <w:rPr>
          <w:rFonts w:cs="Times New Roman"/>
          <w:szCs w:val="24"/>
          <w:lang w:val="en-GB"/>
        </w:rPr>
      </w:pPr>
      <w:r w:rsidRPr="005B5F57">
        <w:rPr>
          <w:rFonts w:cs="Times New Roman"/>
          <w:szCs w:val="24"/>
          <w:lang w:val="en-GB"/>
        </w:rPr>
        <w:t>Vera Kovačević, Center for Liberal-Democratic studies</w:t>
      </w:r>
    </w:p>
    <w:p w:rsidR="00C61538" w:rsidRPr="005B5F57" w:rsidRDefault="00C61538" w:rsidP="00351681">
      <w:pPr>
        <w:pStyle w:val="ListParagraph"/>
        <w:numPr>
          <w:ilvl w:val="0"/>
          <w:numId w:val="19"/>
        </w:numPr>
        <w:spacing w:line="360" w:lineRule="auto"/>
        <w:rPr>
          <w:rFonts w:cs="Times New Roman"/>
          <w:szCs w:val="24"/>
          <w:lang w:val="en-GB"/>
        </w:rPr>
      </w:pPr>
      <w:r w:rsidRPr="005B5F57">
        <w:rPr>
          <w:rFonts w:cs="Times New Roman"/>
          <w:szCs w:val="24"/>
          <w:lang w:val="en-GB"/>
        </w:rPr>
        <w:t>Milica Stranjaković, Center for Liberal-Democratic studies</w:t>
      </w:r>
    </w:p>
    <w:p w:rsidR="002F09DA" w:rsidRPr="005B5F57" w:rsidRDefault="002F09DA" w:rsidP="00C61538">
      <w:pPr>
        <w:rPr>
          <w:rFonts w:cs="Times New Roman"/>
          <w:szCs w:val="24"/>
          <w:lang w:val="en-GB"/>
        </w:rPr>
      </w:pPr>
    </w:p>
    <w:p w:rsidR="002F09DA" w:rsidRPr="005B5F57" w:rsidRDefault="002F09DA">
      <w:pPr>
        <w:rPr>
          <w:rFonts w:cs="Times New Roman"/>
          <w:szCs w:val="24"/>
          <w:lang w:val="en-GB"/>
        </w:rPr>
      </w:pPr>
    </w:p>
    <w:p w:rsidR="00A07B29" w:rsidRPr="00EF4EA0" w:rsidRDefault="008772C8" w:rsidP="00A07B29">
      <w:pPr>
        <w:rPr>
          <w:b/>
          <w:szCs w:val="24"/>
          <w:lang w:val="sr-Cyrl-RS"/>
        </w:rPr>
      </w:pPr>
      <w:r>
        <w:rPr>
          <w:b/>
          <w:szCs w:val="24"/>
          <w:lang w:val="sr-Latn-CS"/>
        </w:rPr>
        <w:t>Annex</w:t>
      </w:r>
      <w:r w:rsidR="00A07B29" w:rsidRPr="00EF4EA0">
        <w:rPr>
          <w:b/>
          <w:szCs w:val="24"/>
          <w:lang w:val="sr-Cyrl-RS"/>
        </w:rPr>
        <w:t xml:space="preserve"> 3. </w:t>
      </w:r>
      <w:r>
        <w:rPr>
          <w:b/>
          <w:szCs w:val="24"/>
          <w:lang w:val="sr-Latn-CS"/>
        </w:rPr>
        <w:t>List of Bodies, Organizations and Individuals who Have Submitted Comments to the Draft Study</w:t>
      </w:r>
      <w:r w:rsidR="00A07B29" w:rsidRPr="00EF4EA0">
        <w:rPr>
          <w:b/>
          <w:szCs w:val="24"/>
          <w:lang w:val="sr-Cyrl-RS"/>
        </w:rPr>
        <w:t xml:space="preserve"> </w:t>
      </w:r>
    </w:p>
    <w:p w:rsidR="00A07B29" w:rsidRPr="005A4377" w:rsidRDefault="00A07B29" w:rsidP="00A07B29">
      <w:pPr>
        <w:rPr>
          <w:szCs w:val="24"/>
          <w:lang w:val="sr-Cyrl-RS"/>
        </w:rPr>
      </w:pPr>
    </w:p>
    <w:p w:rsidR="00A07B29" w:rsidRPr="00351681" w:rsidRDefault="008772C8" w:rsidP="00351681">
      <w:pPr>
        <w:numPr>
          <w:ilvl w:val="0"/>
          <w:numId w:val="29"/>
        </w:numPr>
        <w:rPr>
          <w:szCs w:val="24"/>
        </w:rPr>
      </w:pPr>
      <w:r>
        <w:rPr>
          <w:szCs w:val="24"/>
        </w:rPr>
        <w:t>Autonomous Women’s Center</w:t>
      </w:r>
    </w:p>
    <w:p w:rsidR="00A07B29" w:rsidRPr="00351681" w:rsidRDefault="008772C8" w:rsidP="00351681">
      <w:pPr>
        <w:numPr>
          <w:ilvl w:val="0"/>
          <w:numId w:val="29"/>
        </w:numPr>
        <w:rPr>
          <w:szCs w:val="24"/>
        </w:rPr>
      </w:pPr>
      <w:r w:rsidRPr="00351681">
        <w:rPr>
          <w:szCs w:val="24"/>
        </w:rPr>
        <w:t>Town Administration of</w:t>
      </w:r>
      <w:r w:rsidR="00A07B29" w:rsidRPr="00351681">
        <w:rPr>
          <w:szCs w:val="24"/>
        </w:rPr>
        <w:t xml:space="preserve"> </w:t>
      </w:r>
      <w:r w:rsidRPr="00351681">
        <w:rPr>
          <w:szCs w:val="24"/>
        </w:rPr>
        <w:t>L</w:t>
      </w:r>
      <w:r w:rsidR="00A07B29" w:rsidRPr="00351681">
        <w:rPr>
          <w:szCs w:val="24"/>
        </w:rPr>
        <w:t>о</w:t>
      </w:r>
      <w:r w:rsidRPr="00351681">
        <w:rPr>
          <w:szCs w:val="24"/>
        </w:rPr>
        <w:t>znic</w:t>
      </w:r>
      <w:r w:rsidR="00A07B29" w:rsidRPr="00351681">
        <w:rPr>
          <w:szCs w:val="24"/>
        </w:rPr>
        <w:t>а</w:t>
      </w:r>
    </w:p>
    <w:p w:rsidR="00A07B29" w:rsidRPr="00351681" w:rsidRDefault="008772C8" w:rsidP="00351681">
      <w:pPr>
        <w:numPr>
          <w:ilvl w:val="0"/>
          <w:numId w:val="29"/>
        </w:numPr>
        <w:rPr>
          <w:szCs w:val="24"/>
        </w:rPr>
      </w:pPr>
      <w:r>
        <w:rPr>
          <w:szCs w:val="24"/>
        </w:rPr>
        <w:t xml:space="preserve">Town Administration for Social and Child Protection of the City of Novi Sad </w:t>
      </w:r>
    </w:p>
    <w:p w:rsidR="00A07B29" w:rsidRPr="00351681" w:rsidRDefault="008772C8" w:rsidP="00351681">
      <w:pPr>
        <w:numPr>
          <w:ilvl w:val="0"/>
          <w:numId w:val="29"/>
        </w:numPr>
        <w:rPr>
          <w:szCs w:val="24"/>
        </w:rPr>
      </w:pPr>
      <w:r>
        <w:rPr>
          <w:szCs w:val="24"/>
        </w:rPr>
        <w:t>Civic Initiatives</w:t>
      </w:r>
    </w:p>
    <w:p w:rsidR="00A07B29" w:rsidRPr="00351681" w:rsidRDefault="008772C8" w:rsidP="00351681">
      <w:pPr>
        <w:numPr>
          <w:ilvl w:val="0"/>
          <w:numId w:val="29"/>
        </w:numPr>
        <w:rPr>
          <w:szCs w:val="24"/>
        </w:rPr>
      </w:pPr>
      <w:r>
        <w:rPr>
          <w:szCs w:val="24"/>
        </w:rPr>
        <w:t>Delegation of the European Union in Belgrade</w:t>
      </w:r>
    </w:p>
    <w:p w:rsidR="00A07B29" w:rsidRPr="00351681" w:rsidRDefault="008772C8" w:rsidP="00351681">
      <w:pPr>
        <w:numPr>
          <w:ilvl w:val="0"/>
          <w:numId w:val="29"/>
        </w:numPr>
        <w:rPr>
          <w:szCs w:val="24"/>
        </w:rPr>
      </w:pPr>
      <w:r>
        <w:rPr>
          <w:szCs w:val="24"/>
        </w:rPr>
        <w:t>European Commission</w:t>
      </w:r>
      <w:r w:rsidR="00A07B29" w:rsidRPr="00351681">
        <w:rPr>
          <w:szCs w:val="24"/>
        </w:rPr>
        <w:t xml:space="preserve"> – </w:t>
      </w:r>
      <w:r>
        <w:rPr>
          <w:szCs w:val="24"/>
        </w:rPr>
        <w:t>Directorate General for Employment, Social Affairs and Inclusion</w:t>
      </w:r>
    </w:p>
    <w:p w:rsidR="00A07B29" w:rsidRPr="00351681" w:rsidRDefault="00A07B29" w:rsidP="00351681">
      <w:pPr>
        <w:numPr>
          <w:ilvl w:val="0"/>
          <w:numId w:val="29"/>
        </w:numPr>
        <w:rPr>
          <w:szCs w:val="24"/>
        </w:rPr>
      </w:pPr>
      <w:r w:rsidRPr="00AA36A7">
        <w:rPr>
          <w:szCs w:val="24"/>
        </w:rPr>
        <w:t xml:space="preserve">EKOPLUS    </w:t>
      </w:r>
    </w:p>
    <w:p w:rsidR="00A07B29" w:rsidRPr="00351681" w:rsidRDefault="00A07B29" w:rsidP="00351681">
      <w:pPr>
        <w:numPr>
          <w:ilvl w:val="0"/>
          <w:numId w:val="29"/>
        </w:numPr>
        <w:rPr>
          <w:szCs w:val="24"/>
        </w:rPr>
      </w:pPr>
      <w:r w:rsidRPr="00351681">
        <w:rPr>
          <w:szCs w:val="24"/>
        </w:rPr>
        <w:t xml:space="preserve">Italian Development Cooperation Office, </w:t>
      </w:r>
      <w:r w:rsidRPr="00AA36A7">
        <w:rPr>
          <w:szCs w:val="24"/>
        </w:rPr>
        <w:t>Belgrade</w:t>
      </w:r>
    </w:p>
    <w:p w:rsidR="00351681" w:rsidRPr="00351681" w:rsidRDefault="008772C8" w:rsidP="00351681">
      <w:pPr>
        <w:numPr>
          <w:ilvl w:val="0"/>
          <w:numId w:val="29"/>
        </w:numPr>
        <w:rPr>
          <w:szCs w:val="24"/>
        </w:rPr>
      </w:pPr>
      <w:r w:rsidRPr="00351681">
        <w:rPr>
          <w:szCs w:val="24"/>
        </w:rPr>
        <w:t>In</w:t>
      </w:r>
      <w:r w:rsidR="00351681" w:rsidRPr="00351681">
        <w:rPr>
          <w:szCs w:val="24"/>
        </w:rPr>
        <w:t xml:space="preserve"> Institute for Social Medicine of the Faculty of Medicine, University of Belgrade</w:t>
      </w:r>
    </w:p>
    <w:p w:rsidR="00351681" w:rsidRPr="00351681" w:rsidRDefault="00351681" w:rsidP="00351681">
      <w:pPr>
        <w:numPr>
          <w:ilvl w:val="0"/>
          <w:numId w:val="29"/>
        </w:numPr>
        <w:rPr>
          <w:szCs w:val="24"/>
        </w:rPr>
      </w:pPr>
      <w:r w:rsidRPr="00351681">
        <w:rPr>
          <w:szCs w:val="24"/>
        </w:rPr>
        <w:t xml:space="preserve">Office for Cooperation with Civil Society </w:t>
      </w:r>
    </w:p>
    <w:p w:rsidR="00351681" w:rsidRPr="00351681" w:rsidRDefault="00351681" w:rsidP="00351681">
      <w:pPr>
        <w:numPr>
          <w:ilvl w:val="0"/>
          <w:numId w:val="29"/>
        </w:numPr>
        <w:rPr>
          <w:szCs w:val="24"/>
        </w:rPr>
      </w:pPr>
      <w:r w:rsidRPr="00351681">
        <w:rPr>
          <w:szCs w:val="24"/>
        </w:rPr>
        <w:t>Kasey Shine, Ministry for Social Protection of the Republic of Ireland</w:t>
      </w:r>
    </w:p>
    <w:p w:rsidR="00351681" w:rsidRPr="00351681" w:rsidRDefault="00351681" w:rsidP="00351681">
      <w:pPr>
        <w:numPr>
          <w:ilvl w:val="0"/>
          <w:numId w:val="29"/>
        </w:numPr>
        <w:rPr>
          <w:szCs w:val="24"/>
        </w:rPr>
      </w:pPr>
      <w:r w:rsidRPr="00351681">
        <w:rPr>
          <w:szCs w:val="24"/>
        </w:rPr>
        <w:t xml:space="preserve">Ministry of Labor, Employment and Social Policy </w:t>
      </w:r>
    </w:p>
    <w:p w:rsidR="00351681" w:rsidRPr="00351681" w:rsidRDefault="00351681" w:rsidP="00351681">
      <w:pPr>
        <w:numPr>
          <w:ilvl w:val="0"/>
          <w:numId w:val="29"/>
        </w:numPr>
        <w:rPr>
          <w:szCs w:val="24"/>
        </w:rPr>
      </w:pPr>
      <w:r w:rsidRPr="00351681">
        <w:rPr>
          <w:szCs w:val="24"/>
        </w:rPr>
        <w:t>Ministry of Youth and Sports</w:t>
      </w:r>
    </w:p>
    <w:p w:rsidR="00351681" w:rsidRPr="00351681" w:rsidRDefault="00351681" w:rsidP="00351681">
      <w:pPr>
        <w:numPr>
          <w:ilvl w:val="0"/>
          <w:numId w:val="29"/>
        </w:numPr>
        <w:rPr>
          <w:szCs w:val="24"/>
        </w:rPr>
      </w:pPr>
      <w:r w:rsidRPr="00351681">
        <w:rPr>
          <w:szCs w:val="24"/>
        </w:rPr>
        <w:t>Nikа Јuvаn, Ministry of Labor, Family and Social Affairs of the Republic of Slovenia</w:t>
      </w:r>
    </w:p>
    <w:p w:rsidR="00351681" w:rsidRPr="00351681" w:rsidRDefault="00351681" w:rsidP="00351681">
      <w:pPr>
        <w:numPr>
          <w:ilvl w:val="0"/>
          <w:numId w:val="29"/>
        </w:numPr>
        <w:rPr>
          <w:szCs w:val="24"/>
        </w:rPr>
      </w:pPr>
      <w:r w:rsidRPr="00351681">
        <w:rPr>
          <w:szCs w:val="24"/>
        </w:rPr>
        <w:t>NЕC RP, Krаguјеvаc</w:t>
      </w:r>
    </w:p>
    <w:p w:rsidR="00A07B29" w:rsidRPr="00351681" w:rsidRDefault="008772C8" w:rsidP="00351681">
      <w:pPr>
        <w:numPr>
          <w:ilvl w:val="0"/>
          <w:numId w:val="29"/>
        </w:numPr>
        <w:rPr>
          <w:szCs w:val="24"/>
        </w:rPr>
      </w:pPr>
      <w:r>
        <w:rPr>
          <w:szCs w:val="24"/>
        </w:rPr>
        <w:t>R</w:t>
      </w:r>
      <w:r w:rsidR="00A07B29" w:rsidRPr="00AA36A7">
        <w:rPr>
          <w:szCs w:val="24"/>
        </w:rPr>
        <w:t>а</w:t>
      </w:r>
      <w:r>
        <w:rPr>
          <w:szCs w:val="24"/>
        </w:rPr>
        <w:t>d</w:t>
      </w:r>
      <w:r w:rsidR="00A07B29" w:rsidRPr="00AA36A7">
        <w:rPr>
          <w:szCs w:val="24"/>
        </w:rPr>
        <w:t>о</w:t>
      </w:r>
      <w:r>
        <w:rPr>
          <w:szCs w:val="24"/>
        </w:rPr>
        <w:t>š</w:t>
      </w:r>
      <w:r w:rsidR="00A07B29" w:rsidRPr="00AA36A7">
        <w:rPr>
          <w:szCs w:val="24"/>
        </w:rPr>
        <w:t xml:space="preserve"> </w:t>
      </w:r>
      <w:r>
        <w:rPr>
          <w:szCs w:val="24"/>
        </w:rPr>
        <w:t>Vid</w:t>
      </w:r>
      <w:r w:rsidR="00A07B29" w:rsidRPr="00AA36A7">
        <w:rPr>
          <w:szCs w:val="24"/>
        </w:rPr>
        <w:t>а</w:t>
      </w:r>
      <w:r>
        <w:rPr>
          <w:szCs w:val="24"/>
        </w:rPr>
        <w:t>k</w:t>
      </w:r>
      <w:r w:rsidR="00A07B29" w:rsidRPr="00AA36A7">
        <w:rPr>
          <w:szCs w:val="24"/>
        </w:rPr>
        <w:t>о</w:t>
      </w:r>
      <w:r>
        <w:rPr>
          <w:szCs w:val="24"/>
        </w:rPr>
        <w:t>vić</w:t>
      </w:r>
    </w:p>
    <w:p w:rsidR="00351681" w:rsidRPr="00351681" w:rsidRDefault="00351681" w:rsidP="00351681">
      <w:pPr>
        <w:numPr>
          <w:ilvl w:val="0"/>
          <w:numId w:val="29"/>
        </w:numPr>
        <w:rPr>
          <w:szCs w:val="24"/>
        </w:rPr>
      </w:pPr>
      <w:r w:rsidRPr="00351681">
        <w:rPr>
          <w:szCs w:val="24"/>
        </w:rPr>
        <w:t>Housing Agency of the Republic of Serbia</w:t>
      </w:r>
    </w:p>
    <w:p w:rsidR="00351681" w:rsidRPr="00351681" w:rsidRDefault="00351681" w:rsidP="00351681">
      <w:pPr>
        <w:numPr>
          <w:ilvl w:val="0"/>
          <w:numId w:val="29"/>
        </w:numPr>
        <w:rPr>
          <w:szCs w:val="24"/>
        </w:rPr>
      </w:pPr>
      <w:r w:rsidRPr="00351681">
        <w:rPr>
          <w:szCs w:val="24"/>
        </w:rPr>
        <w:t>Standing Conference of Towns and Municipalities</w:t>
      </w:r>
    </w:p>
    <w:p w:rsidR="00351681" w:rsidRPr="00351681" w:rsidRDefault="00351681" w:rsidP="00351681">
      <w:pPr>
        <w:numPr>
          <w:ilvl w:val="0"/>
          <w:numId w:val="29"/>
        </w:numPr>
        <w:rPr>
          <w:szCs w:val="24"/>
        </w:rPr>
      </w:pPr>
      <w:r w:rsidRPr="00351681">
        <w:rPr>
          <w:szCs w:val="24"/>
        </w:rPr>
        <w:t>UNICEF Office in the Republic of Serbia</w:t>
      </w:r>
    </w:p>
    <w:p w:rsidR="00351681" w:rsidRPr="00351681" w:rsidRDefault="00351681" w:rsidP="00351681">
      <w:pPr>
        <w:numPr>
          <w:ilvl w:val="0"/>
          <w:numId w:val="29"/>
        </w:numPr>
        <w:rPr>
          <w:szCs w:val="24"/>
        </w:rPr>
      </w:pPr>
      <w:r w:rsidRPr="00351681">
        <w:rPr>
          <w:szCs w:val="24"/>
        </w:rPr>
        <w:t>Association of Citizens “Strength of Friendship“ - Amity</w:t>
      </w:r>
    </w:p>
    <w:p w:rsidR="00A07B29" w:rsidRPr="00351681" w:rsidRDefault="008772C8" w:rsidP="00351681">
      <w:pPr>
        <w:numPr>
          <w:ilvl w:val="0"/>
          <w:numId w:val="29"/>
        </w:numPr>
        <w:rPr>
          <w:szCs w:val="24"/>
        </w:rPr>
      </w:pPr>
      <w:r w:rsidRPr="00351681">
        <w:rPr>
          <w:szCs w:val="24"/>
        </w:rPr>
        <w:t>UGS</w:t>
      </w:r>
      <w:r w:rsidR="00A07B29" w:rsidRPr="00351681">
        <w:rPr>
          <w:szCs w:val="24"/>
        </w:rPr>
        <w:t xml:space="preserve"> </w:t>
      </w:r>
      <w:r w:rsidRPr="00351681">
        <w:rPr>
          <w:szCs w:val="24"/>
        </w:rPr>
        <w:t>N</w:t>
      </w:r>
      <w:r w:rsidR="00A07B29" w:rsidRPr="00351681">
        <w:rPr>
          <w:szCs w:val="24"/>
        </w:rPr>
        <w:t>е</w:t>
      </w:r>
      <w:r w:rsidRPr="00351681">
        <w:rPr>
          <w:szCs w:val="24"/>
        </w:rPr>
        <w:t>z</w:t>
      </w:r>
      <w:r w:rsidR="00A07B29" w:rsidRPr="00351681">
        <w:rPr>
          <w:szCs w:val="24"/>
        </w:rPr>
        <w:t>а</w:t>
      </w:r>
      <w:r w:rsidRPr="00351681">
        <w:rPr>
          <w:szCs w:val="24"/>
        </w:rPr>
        <w:t>visn</w:t>
      </w:r>
      <w:r w:rsidR="00A07B29" w:rsidRPr="00351681">
        <w:rPr>
          <w:szCs w:val="24"/>
        </w:rPr>
        <w:t>о</w:t>
      </w:r>
      <w:r w:rsidRPr="00351681">
        <w:rPr>
          <w:szCs w:val="24"/>
        </w:rPr>
        <w:t>st</w:t>
      </w:r>
    </w:p>
    <w:p w:rsidR="00351681" w:rsidRPr="00351681" w:rsidRDefault="00351681" w:rsidP="00351681">
      <w:pPr>
        <w:numPr>
          <w:ilvl w:val="0"/>
          <w:numId w:val="29"/>
        </w:numPr>
        <w:rPr>
          <w:szCs w:val="24"/>
        </w:rPr>
      </w:pPr>
      <w:r w:rsidRPr="00351681">
        <w:rPr>
          <w:szCs w:val="24"/>
        </w:rPr>
        <w:t>Association to Support Persons with Disabilities  “Our House“</w:t>
      </w:r>
    </w:p>
    <w:p w:rsidR="00351681" w:rsidRPr="00351681" w:rsidRDefault="00351681" w:rsidP="00351681">
      <w:pPr>
        <w:numPr>
          <w:ilvl w:val="0"/>
          <w:numId w:val="29"/>
        </w:numPr>
        <w:rPr>
          <w:szCs w:val="24"/>
        </w:rPr>
      </w:pPr>
      <w:r w:rsidRPr="00351681">
        <w:rPr>
          <w:szCs w:val="24"/>
        </w:rPr>
        <w:t xml:space="preserve">Association of Companies for Vocational Rehabilitation and Employment of Persons with Disabilities of the Republic of Serbia </w:t>
      </w:r>
    </w:p>
    <w:p w:rsidR="00351681" w:rsidRPr="00351681" w:rsidRDefault="00351681" w:rsidP="00351681">
      <w:pPr>
        <w:numPr>
          <w:ilvl w:val="0"/>
          <w:numId w:val="29"/>
        </w:numPr>
        <w:rPr>
          <w:szCs w:val="24"/>
        </w:rPr>
      </w:pPr>
      <w:r w:rsidRPr="00351681">
        <w:rPr>
          <w:szCs w:val="24"/>
        </w:rPr>
        <w:t>Roma Association</w:t>
      </w:r>
      <w:r w:rsidR="00273061">
        <w:rPr>
          <w:szCs w:val="24"/>
        </w:rPr>
        <w:t xml:space="preserve"> </w:t>
      </w:r>
      <w:r w:rsidRPr="00351681">
        <w:rPr>
          <w:szCs w:val="24"/>
        </w:rPr>
        <w:t>“Khetane - Together“</w:t>
      </w:r>
    </w:p>
    <w:p w:rsidR="00351681" w:rsidRPr="00351681" w:rsidRDefault="00351681" w:rsidP="00351681">
      <w:pPr>
        <w:numPr>
          <w:ilvl w:val="0"/>
          <w:numId w:val="29"/>
        </w:numPr>
        <w:rPr>
          <w:szCs w:val="24"/>
        </w:rPr>
      </w:pPr>
      <w:r w:rsidRPr="00351681">
        <w:rPr>
          <w:szCs w:val="24"/>
        </w:rPr>
        <w:t>Roma Association “Amarilis“</w:t>
      </w:r>
    </w:p>
    <w:p w:rsidR="00A07B29" w:rsidRPr="00351681" w:rsidRDefault="00A07B29" w:rsidP="00351681">
      <w:pPr>
        <w:numPr>
          <w:ilvl w:val="0"/>
          <w:numId w:val="29"/>
        </w:numPr>
        <w:rPr>
          <w:szCs w:val="24"/>
        </w:rPr>
      </w:pPr>
      <w:r w:rsidRPr="00AA36A7">
        <w:rPr>
          <w:szCs w:val="24"/>
        </w:rPr>
        <w:t>YUROM</w:t>
      </w:r>
      <w:r w:rsidRPr="00351681">
        <w:rPr>
          <w:szCs w:val="24"/>
        </w:rPr>
        <w:t xml:space="preserve"> </w:t>
      </w:r>
      <w:r w:rsidR="008772C8" w:rsidRPr="00351681">
        <w:rPr>
          <w:szCs w:val="24"/>
        </w:rPr>
        <w:t>c</w:t>
      </w:r>
      <w:r w:rsidRPr="00351681">
        <w:rPr>
          <w:szCs w:val="24"/>
        </w:rPr>
        <w:t>е</w:t>
      </w:r>
      <w:r w:rsidR="008772C8" w:rsidRPr="00351681">
        <w:rPr>
          <w:szCs w:val="24"/>
        </w:rPr>
        <w:t>nt</w:t>
      </w:r>
      <w:r w:rsidRPr="00351681">
        <w:rPr>
          <w:szCs w:val="24"/>
        </w:rPr>
        <w:t>а</w:t>
      </w:r>
      <w:r w:rsidR="008772C8" w:rsidRPr="00351681">
        <w:rPr>
          <w:szCs w:val="24"/>
        </w:rPr>
        <w:t>r</w:t>
      </w:r>
    </w:p>
    <w:p w:rsidR="00A07B29" w:rsidRPr="00351681" w:rsidRDefault="00A07B29" w:rsidP="00351681">
      <w:pPr>
        <w:numPr>
          <w:ilvl w:val="0"/>
          <w:numId w:val="29"/>
        </w:numPr>
        <w:rPr>
          <w:szCs w:val="24"/>
        </w:rPr>
      </w:pPr>
      <w:r w:rsidRPr="00351681">
        <w:rPr>
          <w:szCs w:val="24"/>
        </w:rPr>
        <w:t xml:space="preserve">Hоusing </w:t>
      </w:r>
      <w:r w:rsidR="008772C8" w:rsidRPr="00351681">
        <w:rPr>
          <w:szCs w:val="24"/>
        </w:rPr>
        <w:t>c</w:t>
      </w:r>
      <w:r w:rsidRPr="00351681">
        <w:rPr>
          <w:szCs w:val="24"/>
        </w:rPr>
        <w:t>е</w:t>
      </w:r>
      <w:r w:rsidR="008772C8" w:rsidRPr="00351681">
        <w:rPr>
          <w:szCs w:val="24"/>
        </w:rPr>
        <w:t>nt</w:t>
      </w:r>
      <w:r w:rsidR="00351681" w:rsidRPr="00351681">
        <w:rPr>
          <w:szCs w:val="24"/>
        </w:rPr>
        <w:t>e</w:t>
      </w:r>
      <w:r w:rsidR="008772C8" w:rsidRPr="00351681">
        <w:rPr>
          <w:szCs w:val="24"/>
        </w:rPr>
        <w:t>r</w:t>
      </w:r>
    </w:p>
    <w:p w:rsidR="00351681" w:rsidRPr="00351681" w:rsidRDefault="00351681" w:rsidP="00351681">
      <w:pPr>
        <w:numPr>
          <w:ilvl w:val="0"/>
          <w:numId w:val="29"/>
        </w:numPr>
        <w:rPr>
          <w:szCs w:val="24"/>
        </w:rPr>
      </w:pPr>
      <w:r w:rsidRPr="00351681">
        <w:rPr>
          <w:szCs w:val="24"/>
        </w:rPr>
        <w:t xml:space="preserve">Center for Constructive Conflict Resolution </w:t>
      </w:r>
    </w:p>
    <w:p w:rsidR="00351681" w:rsidRPr="00351681" w:rsidRDefault="00351681" w:rsidP="00351681">
      <w:pPr>
        <w:numPr>
          <w:ilvl w:val="0"/>
          <w:numId w:val="29"/>
        </w:numPr>
        <w:rPr>
          <w:szCs w:val="24"/>
        </w:rPr>
      </w:pPr>
      <w:r w:rsidRPr="00351681">
        <w:rPr>
          <w:szCs w:val="24"/>
        </w:rPr>
        <w:t>Center for Legal and Financial Research</w:t>
      </w:r>
    </w:p>
    <w:p w:rsidR="00351681" w:rsidRDefault="00351681" w:rsidP="00351681">
      <w:pPr>
        <w:ind w:left="720"/>
        <w:rPr>
          <w:rFonts w:eastAsia="Times New Roman"/>
          <w:lang w:val="sr-Cyrl-CS"/>
        </w:rPr>
      </w:pPr>
    </w:p>
    <w:p w:rsidR="002F09DA" w:rsidRPr="005B5F57" w:rsidRDefault="002F09DA">
      <w:pPr>
        <w:rPr>
          <w:rFonts w:cs="Times New Roman"/>
          <w:szCs w:val="24"/>
          <w:lang w:val="en-GB"/>
        </w:rPr>
        <w:sectPr w:rsidR="002F09DA" w:rsidRPr="005B5F57" w:rsidSect="00DE5F4B">
          <w:pgSz w:w="12240" w:h="15840"/>
          <w:pgMar w:top="1440" w:right="1440" w:bottom="1440" w:left="1440" w:header="720" w:footer="720" w:gutter="0"/>
          <w:cols w:space="720"/>
          <w:docGrid w:linePitch="360"/>
        </w:sectPr>
      </w:pPr>
    </w:p>
    <w:p w:rsidR="00FA76F3" w:rsidRDefault="00FA2F9B" w:rsidP="00FA2F9B">
      <w:pPr>
        <w:pStyle w:val="Heading3"/>
        <w:rPr>
          <w:lang w:val="en-GB"/>
        </w:rPr>
      </w:pPr>
      <w:bookmarkStart w:id="56" w:name="_Toc327447140"/>
      <w:bookmarkStart w:id="57" w:name="_Toc328380459"/>
      <w:bookmarkStart w:id="58" w:name="_Toc329882822"/>
      <w:bookmarkStart w:id="59" w:name="_Toc330557092"/>
      <w:bookmarkStart w:id="60" w:name="_Toc330557555"/>
      <w:bookmarkStart w:id="61" w:name="_Toc330559002"/>
      <w:bookmarkStart w:id="62" w:name="_Toc353200788"/>
      <w:r w:rsidRPr="005B5F57">
        <w:rPr>
          <w:lang w:val="en-GB"/>
        </w:rPr>
        <w:t xml:space="preserve">Annex </w:t>
      </w:r>
      <w:r w:rsidR="008772C8">
        <w:rPr>
          <w:lang w:val="en-GB"/>
        </w:rPr>
        <w:t>4</w:t>
      </w:r>
      <w:r w:rsidR="00D2338B">
        <w:rPr>
          <w:lang w:val="en-GB"/>
        </w:rPr>
        <w:t>.</w:t>
      </w:r>
      <w:r w:rsidR="00662711" w:rsidRPr="005B5F57">
        <w:rPr>
          <w:lang w:val="en-GB"/>
        </w:rPr>
        <w:t xml:space="preserve"> Priority axes and measure of the Draft Operational Programme HRD</w:t>
      </w:r>
      <w:bookmarkEnd w:id="56"/>
      <w:bookmarkEnd w:id="57"/>
      <w:bookmarkEnd w:id="58"/>
      <w:bookmarkEnd w:id="59"/>
      <w:bookmarkEnd w:id="60"/>
      <w:bookmarkEnd w:id="61"/>
      <w:bookmarkEnd w:id="62"/>
    </w:p>
    <w:p w:rsidR="00662711" w:rsidRPr="005B5F57" w:rsidRDefault="00662711" w:rsidP="002F09DA">
      <w:pPr>
        <w:rPr>
          <w:rFonts w:cs="Times New Roman"/>
          <w:szCs w:val="24"/>
          <w:lang w:val="en-GB"/>
        </w:rPr>
      </w:pPr>
      <w:r w:rsidRPr="005B5F57">
        <w:rPr>
          <w:rFonts w:cs="Times New Roman"/>
          <w:szCs w:val="24"/>
          <w:lang w:val="en-GB"/>
        </w:rPr>
        <w:object w:dxaOrig="16157" w:dyaOrig="11025">
          <v:shape id="_x0000_i1027" type="#_x0000_t75" style="width:592.75pt;height:406.05pt" o:ole="">
            <v:imagedata r:id="rId32" o:title=""/>
          </v:shape>
          <o:OLEObject Type="Embed" ProgID="Visio.Drawing.11" ShapeID="_x0000_i1027" DrawAspect="Content" ObjectID="_1427888885" r:id="rId33"/>
        </w:object>
      </w:r>
    </w:p>
    <w:sectPr w:rsidR="00662711" w:rsidRPr="005B5F57" w:rsidSect="00DE5F4B">
      <w:footerReference w:type="defaul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20" w:rsidRDefault="004B7C20" w:rsidP="00553FFC">
      <w:pPr>
        <w:spacing w:after="0" w:line="240" w:lineRule="auto"/>
      </w:pPr>
      <w:r>
        <w:separator/>
      </w:r>
    </w:p>
  </w:endnote>
  <w:endnote w:type="continuationSeparator" w:id="0">
    <w:p w:rsidR="004B7C20" w:rsidRDefault="004B7C20" w:rsidP="0055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00976"/>
      <w:docPartObj>
        <w:docPartGallery w:val="Page Numbers (Bottom of Page)"/>
        <w:docPartUnique/>
      </w:docPartObj>
    </w:sdtPr>
    <w:sdtEndPr>
      <w:rPr>
        <w:noProof/>
      </w:rPr>
    </w:sdtEndPr>
    <w:sdtContent>
      <w:p w:rsidR="008227A2" w:rsidRDefault="008227A2">
        <w:pPr>
          <w:pStyle w:val="Footer"/>
          <w:jc w:val="right"/>
        </w:pPr>
        <w:r w:rsidRPr="006B56C9">
          <w:rPr>
            <w:sz w:val="16"/>
            <w:szCs w:val="16"/>
          </w:rPr>
          <w:fldChar w:fldCharType="begin"/>
        </w:r>
        <w:r w:rsidRPr="006B56C9">
          <w:rPr>
            <w:sz w:val="16"/>
            <w:szCs w:val="16"/>
          </w:rPr>
          <w:instrText xml:space="preserve"> PAGE   \* MERGEFORMAT </w:instrText>
        </w:r>
        <w:r w:rsidRPr="006B56C9">
          <w:rPr>
            <w:sz w:val="16"/>
            <w:szCs w:val="16"/>
          </w:rPr>
          <w:fldChar w:fldCharType="separate"/>
        </w:r>
        <w:r w:rsidR="009568A0">
          <w:rPr>
            <w:noProof/>
            <w:sz w:val="16"/>
            <w:szCs w:val="16"/>
          </w:rPr>
          <w:t>1</w:t>
        </w:r>
        <w:r w:rsidRPr="006B56C9">
          <w:rPr>
            <w:noProof/>
            <w:sz w:val="16"/>
            <w:szCs w:val="16"/>
          </w:rPr>
          <w:fldChar w:fldCharType="end"/>
        </w:r>
      </w:p>
    </w:sdtContent>
  </w:sdt>
  <w:p w:rsidR="008227A2" w:rsidRPr="00C103EB" w:rsidRDefault="008227A2">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92291"/>
      <w:docPartObj>
        <w:docPartGallery w:val="Page Numbers (Bottom of Page)"/>
        <w:docPartUnique/>
      </w:docPartObj>
    </w:sdtPr>
    <w:sdtEndPr>
      <w:rPr>
        <w:noProof/>
      </w:rPr>
    </w:sdtEndPr>
    <w:sdtContent>
      <w:p w:rsidR="008227A2" w:rsidRDefault="008227A2">
        <w:pPr>
          <w:pStyle w:val="Footer"/>
          <w:jc w:val="right"/>
        </w:pPr>
        <w:r>
          <w:fldChar w:fldCharType="begin"/>
        </w:r>
        <w:r>
          <w:instrText xml:space="preserve"> PAGE   \* MERGEFORMAT </w:instrText>
        </w:r>
        <w:r>
          <w:fldChar w:fldCharType="separate"/>
        </w:r>
        <w:r w:rsidR="00182D71">
          <w:rPr>
            <w:noProof/>
          </w:rPr>
          <w:t>52</w:t>
        </w:r>
        <w:r>
          <w:rPr>
            <w:noProof/>
          </w:rPr>
          <w:fldChar w:fldCharType="end"/>
        </w:r>
      </w:p>
    </w:sdtContent>
  </w:sdt>
  <w:p w:rsidR="008227A2" w:rsidRPr="00C103EB" w:rsidRDefault="008227A2">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10066"/>
      <w:docPartObj>
        <w:docPartGallery w:val="Page Numbers (Bottom of Page)"/>
        <w:docPartUnique/>
      </w:docPartObj>
    </w:sdtPr>
    <w:sdtEndPr>
      <w:rPr>
        <w:noProof/>
      </w:rPr>
    </w:sdtEndPr>
    <w:sdtContent>
      <w:p w:rsidR="008227A2" w:rsidRDefault="008227A2">
        <w:pPr>
          <w:pStyle w:val="Footer"/>
          <w:jc w:val="right"/>
        </w:pPr>
        <w:r>
          <w:fldChar w:fldCharType="begin"/>
        </w:r>
        <w:r>
          <w:instrText xml:space="preserve"> PAGE   \* MERGEFORMAT </w:instrText>
        </w:r>
        <w:r>
          <w:fldChar w:fldCharType="separate"/>
        </w:r>
        <w:r w:rsidR="00182D71">
          <w:rPr>
            <w:noProof/>
          </w:rPr>
          <w:t>58</w:t>
        </w:r>
        <w:r>
          <w:rPr>
            <w:noProof/>
          </w:rPr>
          <w:fldChar w:fldCharType="end"/>
        </w:r>
      </w:p>
    </w:sdtContent>
  </w:sdt>
  <w:p w:rsidR="008227A2" w:rsidRPr="00C103EB" w:rsidRDefault="008227A2">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98195"/>
      <w:docPartObj>
        <w:docPartGallery w:val="Page Numbers (Bottom of Page)"/>
        <w:docPartUnique/>
      </w:docPartObj>
    </w:sdtPr>
    <w:sdtEndPr>
      <w:rPr>
        <w:noProof/>
      </w:rPr>
    </w:sdtEndPr>
    <w:sdtContent>
      <w:p w:rsidR="008227A2" w:rsidRDefault="008227A2">
        <w:pPr>
          <w:pStyle w:val="Footer"/>
          <w:jc w:val="right"/>
        </w:pPr>
        <w:r>
          <w:fldChar w:fldCharType="begin"/>
        </w:r>
        <w:r>
          <w:instrText xml:space="preserve"> PAGE   \* MERGEFORMAT </w:instrText>
        </w:r>
        <w:r>
          <w:fldChar w:fldCharType="separate"/>
        </w:r>
        <w:r w:rsidR="00182D71">
          <w:rPr>
            <w:noProof/>
          </w:rPr>
          <w:t>59</w:t>
        </w:r>
        <w:r>
          <w:rPr>
            <w:noProof/>
          </w:rPr>
          <w:fldChar w:fldCharType="end"/>
        </w:r>
      </w:p>
    </w:sdtContent>
  </w:sdt>
  <w:p w:rsidR="008227A2" w:rsidRPr="00C103EB" w:rsidRDefault="008227A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20" w:rsidRDefault="004B7C20" w:rsidP="00553FFC">
      <w:pPr>
        <w:spacing w:after="0" w:line="240" w:lineRule="auto"/>
      </w:pPr>
      <w:r>
        <w:separator/>
      </w:r>
    </w:p>
  </w:footnote>
  <w:footnote w:type="continuationSeparator" w:id="0">
    <w:p w:rsidR="004B7C20" w:rsidRDefault="004B7C20" w:rsidP="00553FFC">
      <w:pPr>
        <w:spacing w:after="0" w:line="240" w:lineRule="auto"/>
      </w:pPr>
      <w:r>
        <w:continuationSeparator/>
      </w:r>
    </w:p>
  </w:footnote>
  <w:footnote w:id="1">
    <w:p w:rsidR="008227A2" w:rsidRPr="00B04284" w:rsidRDefault="008227A2" w:rsidP="00360BA6">
      <w:pPr>
        <w:pStyle w:val="FootnoteText"/>
        <w:spacing w:before="0" w:after="0"/>
        <w:rPr>
          <w:lang w:val="en-US"/>
        </w:rPr>
      </w:pPr>
      <w:r>
        <w:rPr>
          <w:rStyle w:val="FootnoteReference"/>
        </w:rPr>
        <w:footnoteRef/>
      </w:r>
      <w:hyperlink r:id="rId1" w:history="1">
        <w:r w:rsidRPr="00BB38B9">
          <w:rPr>
            <w:rStyle w:val="Hyperlink"/>
            <w:rFonts w:ascii="Times New Roman" w:hAnsi="Times New Roman"/>
            <w:szCs w:val="18"/>
            <w:lang w:val="en-GB"/>
          </w:rPr>
          <w:t>http://www.inkluzija.gov.rs/wp-content/uploads/2010/03/First-National-Report-on-Social-Inclusion-and-Poverty-Reduction.pdf</w:t>
        </w:r>
      </w:hyperlink>
    </w:p>
  </w:footnote>
  <w:footnote w:id="2">
    <w:p w:rsidR="008227A2" w:rsidRPr="000307D0" w:rsidRDefault="008227A2" w:rsidP="00E10D96">
      <w:pPr>
        <w:pStyle w:val="FootnoteText"/>
        <w:spacing w:before="0" w:after="0" w:line="240" w:lineRule="auto"/>
        <w:rPr>
          <w:rFonts w:ascii="Times New Roman" w:hAnsi="Times New Roman"/>
        </w:rPr>
      </w:pPr>
      <w:r w:rsidRPr="00597853">
        <w:rPr>
          <w:rStyle w:val="FootnoteReference"/>
          <w:rFonts w:ascii="Times New Roman" w:hAnsi="Times New Roman"/>
          <w:lang w:val="en-GB"/>
        </w:rPr>
        <w:footnoteRef/>
      </w:r>
      <w:r w:rsidRPr="00A2007C">
        <w:rPr>
          <w:rFonts w:ascii="Times New Roman" w:hAnsi="Times New Roman"/>
        </w:rPr>
        <w:t xml:space="preserve"> </w:t>
      </w:r>
      <w:r w:rsidRPr="000307D0">
        <w:rPr>
          <w:rFonts w:ascii="Times New Roman" w:hAnsi="Times New Roman"/>
        </w:rPr>
        <w:t xml:space="preserve">Marina Petrović, Socijalna pomoć i aktivacija u Srbiji: u potrazi za inkluzivnim rešenjem, Beograd, CLDS, 2011; Marina Petrović, Međusektorska saradnja u pružanju usluga korisnicima socijalne pomoći, </w:t>
      </w:r>
      <w:r w:rsidRPr="000307D0">
        <w:rPr>
          <w:rFonts w:ascii="Times New Roman" w:hAnsi="Times New Roman"/>
          <w:i/>
        </w:rPr>
        <w:t>Fokus</w:t>
      </w:r>
      <w:r w:rsidRPr="000307D0">
        <w:rPr>
          <w:rFonts w:ascii="Times New Roman" w:hAnsi="Times New Roman"/>
        </w:rPr>
        <w:t>, Oktobar 2010.</w:t>
      </w:r>
    </w:p>
  </w:footnote>
  <w:footnote w:id="3">
    <w:p w:rsidR="008227A2" w:rsidRPr="00597853" w:rsidRDefault="008227A2" w:rsidP="00E10D96">
      <w:pPr>
        <w:pStyle w:val="FootnoteText"/>
        <w:spacing w:before="0" w:after="0" w:line="240" w:lineRule="auto"/>
        <w:rPr>
          <w:rFonts w:ascii="Times New Roman" w:hAnsi="Times New Roman"/>
          <w:lang w:val="en-GB"/>
        </w:rPr>
      </w:pPr>
      <w:r w:rsidRPr="000647A1">
        <w:rPr>
          <w:rStyle w:val="FootnoteReference"/>
          <w:lang w:val="en-GB"/>
        </w:rPr>
        <w:footnoteRef/>
      </w:r>
      <w:r w:rsidRPr="000647A1">
        <w:rPr>
          <w:lang w:val="en-GB"/>
        </w:rPr>
        <w:t xml:space="preserve"> </w:t>
      </w:r>
      <w:r w:rsidRPr="000647A1">
        <w:rPr>
          <w:rFonts w:ascii="Times New Roman" w:hAnsi="Times New Roman"/>
          <w:lang w:val="en-GB"/>
        </w:rPr>
        <w:t xml:space="preserve">Law on Ministries, Official Gazette of the Republic of Serbia, no. </w:t>
      </w:r>
      <w:r>
        <w:rPr>
          <w:rFonts w:ascii="Times New Roman" w:hAnsi="Times New Roman"/>
          <w:lang w:val="sr-Cyrl-CS"/>
        </w:rPr>
        <w:t>72</w:t>
      </w:r>
      <w:r>
        <w:rPr>
          <w:rFonts w:ascii="Times New Roman" w:hAnsi="Times New Roman"/>
          <w:lang w:val="en-US"/>
        </w:rPr>
        <w:t>/2012.</w:t>
      </w:r>
      <w:r w:rsidRPr="00597853">
        <w:rPr>
          <w:rFonts w:ascii="Times New Roman" w:hAnsi="Times New Roman"/>
          <w:lang w:val="en-GB"/>
        </w:rPr>
        <w:t xml:space="preserve"> </w:t>
      </w:r>
    </w:p>
  </w:footnote>
  <w:footnote w:id="4">
    <w:p w:rsidR="008227A2" w:rsidRPr="00597853" w:rsidRDefault="008227A2" w:rsidP="00E10D96">
      <w:pPr>
        <w:pStyle w:val="FootnoteText"/>
        <w:spacing w:before="0"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Here, we </w:t>
      </w:r>
      <w:r>
        <w:rPr>
          <w:rFonts w:ascii="Times New Roman" w:hAnsi="Times New Roman"/>
          <w:lang w:val="en-GB"/>
        </w:rPr>
        <w:t>do</w:t>
      </w:r>
      <w:r w:rsidRPr="00597853">
        <w:rPr>
          <w:rFonts w:ascii="Times New Roman" w:hAnsi="Times New Roman"/>
          <w:lang w:val="en-GB"/>
        </w:rPr>
        <w:t xml:space="preserve"> not refer to issues of trade, environment, infrastructure</w:t>
      </w:r>
      <w:r>
        <w:rPr>
          <w:rFonts w:ascii="Times New Roman" w:hAnsi="Times New Roman"/>
          <w:lang w:val="en-GB"/>
        </w:rPr>
        <w:t>, telecommunications</w:t>
      </w:r>
      <w:r w:rsidRPr="00597853">
        <w:rPr>
          <w:rFonts w:ascii="Times New Roman" w:hAnsi="Times New Roman"/>
          <w:lang w:val="en-GB"/>
        </w:rPr>
        <w:t xml:space="preserve"> etc. although public policies in these areas have significant impact on social inclusion. The reasons </w:t>
      </w:r>
      <w:r>
        <w:rPr>
          <w:rFonts w:ascii="Times New Roman" w:hAnsi="Times New Roman"/>
          <w:lang w:val="en-GB"/>
        </w:rPr>
        <w:t>are</w:t>
      </w:r>
      <w:r w:rsidRPr="00597853">
        <w:rPr>
          <w:rFonts w:ascii="Times New Roman" w:hAnsi="Times New Roman"/>
          <w:lang w:val="en-GB"/>
        </w:rPr>
        <w:t xml:space="preserve"> that wide policy coordination and investments would introduce additional complexities that my harm </w:t>
      </w:r>
      <w:r>
        <w:rPr>
          <w:rFonts w:ascii="Times New Roman" w:hAnsi="Times New Roman"/>
          <w:lang w:val="en-GB"/>
        </w:rPr>
        <w:t xml:space="preserve">the </w:t>
      </w:r>
      <w:r w:rsidRPr="00597853">
        <w:rPr>
          <w:rFonts w:ascii="Times New Roman" w:hAnsi="Times New Roman"/>
          <w:lang w:val="en-GB"/>
        </w:rPr>
        <w:t xml:space="preserve">new-born institution. Furthermore, </w:t>
      </w:r>
      <w:r>
        <w:rPr>
          <w:rFonts w:ascii="Times New Roman" w:hAnsi="Times New Roman"/>
          <w:lang w:val="en-GB"/>
        </w:rPr>
        <w:t xml:space="preserve">the </w:t>
      </w:r>
      <w:r w:rsidRPr="00597853">
        <w:rPr>
          <w:rFonts w:ascii="Times New Roman" w:hAnsi="Times New Roman"/>
          <w:lang w:val="en-GB"/>
        </w:rPr>
        <w:t xml:space="preserve">institutional analysis </w:t>
      </w:r>
      <w:r>
        <w:rPr>
          <w:rFonts w:ascii="Times New Roman" w:hAnsi="Times New Roman"/>
          <w:lang w:val="en-GB"/>
        </w:rPr>
        <w:t>covers</w:t>
      </w:r>
      <w:r w:rsidRPr="00597853">
        <w:rPr>
          <w:rFonts w:ascii="Times New Roman" w:hAnsi="Times New Roman"/>
          <w:lang w:val="en-GB"/>
        </w:rPr>
        <w:t xml:space="preserve"> what is generally perceived as the nature of social exclusion in Serbia (compare</w:t>
      </w:r>
      <w:r>
        <w:rPr>
          <w:rFonts w:ascii="Times New Roman" w:hAnsi="Times New Roman"/>
          <w:lang w:val="en-GB"/>
        </w:rPr>
        <w:t>:</w:t>
      </w:r>
      <w:r w:rsidRPr="00597853">
        <w:rPr>
          <w:rFonts w:ascii="Times New Roman" w:hAnsi="Times New Roman"/>
          <w:lang w:val="en-GB"/>
        </w:rPr>
        <w:t xml:space="preserve"> First National Report on Social Inclusion and Poverty Reduction in the Republic of Serbia, Belgrade, 2011) so that housing, digital gap and similar policy issues are not listed as top priorities. </w:t>
      </w:r>
    </w:p>
    <w:p w:rsidR="008227A2" w:rsidRPr="00597853" w:rsidRDefault="008227A2" w:rsidP="00444EA0">
      <w:pPr>
        <w:pStyle w:val="FootnoteText"/>
        <w:rPr>
          <w:rFonts w:ascii="Times New Roman" w:hAnsi="Times New Roman"/>
          <w:lang w:val="en-GB"/>
        </w:rPr>
      </w:pPr>
    </w:p>
  </w:footnote>
  <w:footnote w:id="5">
    <w:p w:rsidR="008227A2" w:rsidRPr="00B04284" w:rsidRDefault="008227A2" w:rsidP="00E10D96">
      <w:pPr>
        <w:spacing w:before="0" w:after="0" w:line="240" w:lineRule="auto"/>
        <w:rPr>
          <w:sz w:val="20"/>
          <w:szCs w:val="20"/>
        </w:rPr>
      </w:pPr>
      <w:r w:rsidRPr="00B04284">
        <w:rPr>
          <w:rStyle w:val="FootnoteReference"/>
          <w:sz w:val="20"/>
          <w:szCs w:val="20"/>
          <w:lang w:val="en-GB"/>
        </w:rPr>
        <w:footnoteRef/>
      </w:r>
      <w:r w:rsidRPr="00B04284">
        <w:rPr>
          <w:sz w:val="20"/>
          <w:szCs w:val="20"/>
          <w:lang w:val="en-GB"/>
        </w:rPr>
        <w:t xml:space="preserve"> Ben-Gera, Michal, Horizontal Policy Coordination, Belgrade: Ministry of Public Administration and Local Self-Government, 2009; </w:t>
      </w:r>
      <w:r w:rsidRPr="00B04284">
        <w:rPr>
          <w:sz w:val="20"/>
          <w:szCs w:val="20"/>
          <w:lang w:val="sr-Cyrl-CS"/>
        </w:rPr>
        <w:t>Grupа аutоrа, Izаzоvi rеfоrmе – diјаgnоstičkа studiја оrgаnа držаvnе uprаvе Rеpublikе Srbiје, Bеоgrаd, 2002</w:t>
      </w:r>
      <w:r w:rsidRPr="00B5031B">
        <w:rPr>
          <w:lang w:val="sr-Cyrl-CS"/>
        </w:rPr>
        <w:t>.</w:t>
      </w:r>
    </w:p>
  </w:footnote>
  <w:footnote w:id="6">
    <w:p w:rsidR="008227A2" w:rsidRPr="00597853" w:rsidRDefault="008227A2" w:rsidP="00E10D96">
      <w:pPr>
        <w:pStyle w:val="FootnoteText"/>
        <w:spacing w:before="0"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Vuković, Danilo, Institutional Capacities, Social and Human Capital and the Application of Law: Reforms of the Local Social Protection System in Serbia“, paper presented at the conference Poverty and Social Inclusion in the Western Balkans-World Bank, Brussels, Belgium, 2010.</w:t>
      </w:r>
    </w:p>
  </w:footnote>
  <w:footnote w:id="7">
    <w:p w:rsidR="008227A2" w:rsidRPr="00597853" w:rsidRDefault="008227A2" w:rsidP="00E10D96">
      <w:pPr>
        <w:pStyle w:val="FootnoteText"/>
        <w:spacing w:before="0"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Report produced within the framework of joint OECD and EU program Support for Improvement in Governance and Management, available at </w:t>
      </w:r>
      <w:hyperlink r:id="rId2" w:history="1">
        <w:r w:rsidRPr="00597853">
          <w:rPr>
            <w:rStyle w:val="Hyperlink"/>
            <w:rFonts w:ascii="Times New Roman" w:hAnsi="Times New Roman"/>
            <w:lang w:val="en-GB"/>
          </w:rPr>
          <w:t>http://www.oecd.org/dataoecd/40/27/48970654.pdf</w:t>
        </w:r>
      </w:hyperlink>
      <w:r w:rsidRPr="00597853">
        <w:rPr>
          <w:rFonts w:ascii="Times New Roman" w:hAnsi="Times New Roman"/>
          <w:lang w:val="en-GB"/>
        </w:rPr>
        <w:t xml:space="preserve"> </w:t>
      </w:r>
    </w:p>
  </w:footnote>
  <w:footnote w:id="8">
    <w:p w:rsidR="008227A2" w:rsidRPr="00597853" w:rsidRDefault="008227A2" w:rsidP="00541EC7">
      <w:pPr>
        <w:pStyle w:val="FootnoteText"/>
        <w:spacing w:before="60"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SIGMA, Assessment Serbia 2011. [p.174-175]</w:t>
      </w:r>
    </w:p>
  </w:footnote>
  <w:footnote w:id="9">
    <w:p w:rsidR="008227A2" w:rsidRPr="000B2881" w:rsidRDefault="008227A2" w:rsidP="007E2705">
      <w:pPr>
        <w:spacing w:before="0" w:after="0" w:line="240" w:lineRule="auto"/>
        <w:rPr>
          <w:sz w:val="20"/>
          <w:szCs w:val="20"/>
        </w:rPr>
      </w:pPr>
      <w:r w:rsidRPr="000B2881">
        <w:rPr>
          <w:rStyle w:val="FootnoteReference"/>
          <w:sz w:val="20"/>
          <w:szCs w:val="20"/>
        </w:rPr>
        <w:footnoteRef/>
      </w:r>
      <w:r w:rsidRPr="000B2881">
        <w:rPr>
          <w:sz w:val="20"/>
          <w:szCs w:val="20"/>
        </w:rPr>
        <w:t xml:space="preserve"> </w:t>
      </w:r>
      <w:r>
        <w:rPr>
          <w:sz w:val="20"/>
          <w:szCs w:val="20"/>
        </w:rPr>
        <w:t>According to</w:t>
      </w:r>
      <w:r>
        <w:rPr>
          <w:sz w:val="20"/>
          <w:szCs w:val="20"/>
          <w:lang w:val="sr-Cyrl-CS"/>
        </w:rPr>
        <w:t xml:space="preserve">: </w:t>
      </w:r>
      <w:r>
        <w:rPr>
          <w:sz w:val="20"/>
          <w:szCs w:val="20"/>
        </w:rPr>
        <w:t>Instrument for Pre-accession Assistance (2014-2020):</w:t>
      </w:r>
      <w:r w:rsidRPr="000B2881">
        <w:rPr>
          <w:sz w:val="20"/>
          <w:szCs w:val="20"/>
          <w:lang w:val="sr-Cyrl-CS"/>
        </w:rPr>
        <w:t xml:space="preserve"> </w:t>
      </w:r>
      <w:r w:rsidRPr="000B2881">
        <w:rPr>
          <w:sz w:val="20"/>
          <w:szCs w:val="20"/>
        </w:rPr>
        <w:t xml:space="preserve">Roadmap </w:t>
      </w:r>
      <w:r>
        <w:rPr>
          <w:sz w:val="20"/>
          <w:szCs w:val="20"/>
        </w:rPr>
        <w:t xml:space="preserve">for planning and programming, European Commission (2013). </w:t>
      </w:r>
    </w:p>
  </w:footnote>
  <w:footnote w:id="10">
    <w:p w:rsidR="008227A2" w:rsidRPr="00E10D96" w:rsidRDefault="008227A2" w:rsidP="00B62020">
      <w:pPr>
        <w:pStyle w:val="FootnoteText"/>
        <w:spacing w:before="0" w:after="0" w:line="240" w:lineRule="auto"/>
        <w:rPr>
          <w:rFonts w:ascii="Times New Roman" w:hAnsi="Times New Roman"/>
        </w:rPr>
      </w:pPr>
      <w:r w:rsidRPr="00E10D96">
        <w:rPr>
          <w:rStyle w:val="FootnoteReference"/>
          <w:rFonts w:ascii="Times New Roman" w:hAnsi="Times New Roman"/>
        </w:rPr>
        <w:footnoteRef/>
      </w:r>
      <w:r w:rsidRPr="00E10D96">
        <w:rPr>
          <w:rFonts w:ascii="Times New Roman" w:hAnsi="Times New Roman"/>
        </w:rPr>
        <w:t xml:space="preserve"> Source: Draft Law on teh Execution of the Budget of the Republic of Serbia 2011.</w:t>
      </w:r>
    </w:p>
  </w:footnote>
  <w:footnote w:id="11">
    <w:p w:rsidR="008227A2" w:rsidRPr="00E10D96" w:rsidRDefault="008227A2" w:rsidP="00B62020">
      <w:pPr>
        <w:pStyle w:val="FootnoteText"/>
        <w:spacing w:before="0" w:after="0" w:line="240" w:lineRule="auto"/>
        <w:rPr>
          <w:rFonts w:ascii="Times New Roman" w:hAnsi="Times New Roman"/>
        </w:rPr>
      </w:pPr>
      <w:r w:rsidRPr="00E10D96">
        <w:rPr>
          <w:rStyle w:val="FootnoteReference"/>
          <w:rFonts w:ascii="Times New Roman" w:hAnsi="Times New Roman"/>
        </w:rPr>
        <w:footnoteRef/>
      </w:r>
      <w:r w:rsidRPr="00E10D96">
        <w:rPr>
          <w:rFonts w:ascii="Times New Roman" w:hAnsi="Times New Roman"/>
        </w:rPr>
        <w:t xml:space="preserve"> Source: Law on Amendments to the Law on the Budget of the Republic of Serbia 2012.</w:t>
      </w:r>
    </w:p>
  </w:footnote>
  <w:footnote w:id="12">
    <w:p w:rsidR="008227A2" w:rsidRPr="00E10D96" w:rsidRDefault="008227A2" w:rsidP="00B62020">
      <w:pPr>
        <w:pStyle w:val="FootnoteText"/>
        <w:spacing w:before="0" w:after="0" w:line="240" w:lineRule="auto"/>
        <w:rPr>
          <w:rFonts w:ascii="Times New Roman" w:hAnsi="Times New Roman"/>
          <w:lang w:val="en-US"/>
        </w:rPr>
      </w:pPr>
      <w:r w:rsidRPr="00E10D96">
        <w:rPr>
          <w:rStyle w:val="FootnoteReference"/>
        </w:rPr>
        <w:footnoteRef/>
      </w:r>
      <w:r w:rsidRPr="00E10D96">
        <w:t xml:space="preserve"> </w:t>
      </w:r>
      <w:r w:rsidRPr="00E10D96">
        <w:rPr>
          <w:rFonts w:ascii="Times New Roman" w:hAnsi="Times New Roman"/>
          <w:lang w:val="en-US"/>
        </w:rPr>
        <w:t xml:space="preserve">Source: Law on the Budget of the Republic of Serbia </w:t>
      </w:r>
      <w:r w:rsidRPr="00E10D96">
        <w:rPr>
          <w:rFonts w:ascii="Times New Roman" w:hAnsi="Times New Roman"/>
          <w:lang w:val="sr-Cyrl-CS"/>
        </w:rPr>
        <w:t>2013</w:t>
      </w:r>
      <w:r w:rsidRPr="00E10D96">
        <w:rPr>
          <w:rFonts w:ascii="Times New Roman" w:hAnsi="Times New Roman"/>
          <w:lang w:val="en-US"/>
        </w:rPr>
        <w:t>.</w:t>
      </w:r>
    </w:p>
  </w:footnote>
  <w:footnote w:id="13">
    <w:p w:rsidR="008227A2" w:rsidRPr="00E10D96" w:rsidRDefault="008227A2" w:rsidP="00B62020">
      <w:pPr>
        <w:spacing w:before="0" w:after="0" w:line="240" w:lineRule="auto"/>
        <w:rPr>
          <w:sz w:val="20"/>
          <w:szCs w:val="20"/>
          <w:lang w:val="sr-Cyrl-CS"/>
        </w:rPr>
      </w:pPr>
      <w:r w:rsidRPr="00E10D96">
        <w:rPr>
          <w:rStyle w:val="FootnoteReference"/>
          <w:sz w:val="20"/>
          <w:szCs w:val="20"/>
        </w:rPr>
        <w:footnoteRef/>
      </w:r>
      <w:r w:rsidRPr="00E10D96">
        <w:rPr>
          <w:sz w:val="20"/>
          <w:szCs w:val="20"/>
          <w:lang w:val="sr-Cyrl-CS"/>
        </w:rPr>
        <w:t xml:space="preserve"> </w:t>
      </w:r>
      <w:r w:rsidRPr="00E10D96">
        <w:rPr>
          <w:rFonts w:eastAsia="Times New Roman"/>
          <w:color w:val="000000"/>
          <w:sz w:val="20"/>
          <w:szCs w:val="20"/>
          <w:lang w:eastAsia="sr-Cyrl-CS"/>
        </w:rPr>
        <w:t xml:space="preserve">Established by the Law on Vocational Rehabilitation and Promotion of Employment of Persons with Disabilities (Article 28). Penalties paid by employers in case of failure to employ a person with disabilities represent the revenue of the fund and are used to promote employment, vocational rehabilitation and special forms of employment and labor activities of persons with disabilities (Article 29). The Law was published in the Official Gazette of the Republic of Serbia, no. </w:t>
      </w:r>
      <w:r w:rsidRPr="00E10D96">
        <w:rPr>
          <w:rFonts w:eastAsia="Times New Roman"/>
          <w:color w:val="000000"/>
          <w:sz w:val="20"/>
          <w:szCs w:val="20"/>
          <w:lang w:val="sr-Cyrl-CS" w:eastAsia="sr-Cyrl-CS"/>
        </w:rPr>
        <w:t>36/2009 as of 15</w:t>
      </w:r>
      <w:r w:rsidRPr="00E10D96">
        <w:rPr>
          <w:rFonts w:eastAsia="Times New Roman"/>
          <w:color w:val="000000"/>
          <w:sz w:val="20"/>
          <w:szCs w:val="20"/>
          <w:lang w:eastAsia="sr-Cyrl-CS"/>
        </w:rPr>
        <w:t xml:space="preserve"> May, </w:t>
      </w:r>
      <w:r w:rsidRPr="00E10D96">
        <w:rPr>
          <w:rFonts w:eastAsia="Times New Roman"/>
          <w:color w:val="000000"/>
          <w:sz w:val="20"/>
          <w:szCs w:val="20"/>
          <w:lang w:val="sr-Cyrl-CS" w:eastAsia="sr-Cyrl-CS"/>
        </w:rPr>
        <w:t>2009.</w:t>
      </w:r>
    </w:p>
  </w:footnote>
  <w:footnote w:id="14">
    <w:p w:rsidR="008227A2" w:rsidRPr="00E10D96" w:rsidRDefault="008227A2" w:rsidP="00B62020">
      <w:pPr>
        <w:spacing w:before="0" w:after="0" w:line="240" w:lineRule="auto"/>
        <w:jc w:val="left"/>
        <w:rPr>
          <w:rFonts w:cs="Times New Roman"/>
          <w:i/>
          <w:sz w:val="20"/>
          <w:szCs w:val="20"/>
          <w:lang w:val="sr-Cyrl-CS"/>
        </w:rPr>
      </w:pPr>
      <w:r w:rsidRPr="00E10D96">
        <w:rPr>
          <w:rStyle w:val="FootnoteReference"/>
          <w:rFonts w:cs="Times New Roman"/>
          <w:sz w:val="20"/>
          <w:szCs w:val="20"/>
        </w:rPr>
        <w:footnoteRef/>
      </w:r>
      <w:r w:rsidRPr="00E10D96">
        <w:rPr>
          <w:rFonts w:cs="Times New Roman"/>
          <w:sz w:val="20"/>
          <w:szCs w:val="20"/>
          <w:lang w:val="sr-Cyrl-CS"/>
        </w:rPr>
        <w:t xml:space="preserve"> </w:t>
      </w:r>
      <w:r w:rsidRPr="00E10D96">
        <w:rPr>
          <w:rFonts w:eastAsia="Times New Roman" w:cs="Times New Roman"/>
          <w:sz w:val="20"/>
          <w:szCs w:val="20"/>
          <w:lang w:eastAsia="sr-Cyrl-CS"/>
        </w:rPr>
        <w:t>Established by the Law on the Games of Chance, Art. 17-18.</w:t>
      </w:r>
    </w:p>
  </w:footnote>
  <w:footnote w:id="15">
    <w:p w:rsidR="008227A2" w:rsidRPr="00E10D96" w:rsidRDefault="008227A2" w:rsidP="00B62020">
      <w:pPr>
        <w:pStyle w:val="FootnoteText"/>
        <w:spacing w:before="0" w:after="0" w:line="240" w:lineRule="auto"/>
        <w:rPr>
          <w:rFonts w:ascii="Times New Roman" w:hAnsi="Times New Roman"/>
        </w:rPr>
      </w:pPr>
      <w:r w:rsidRPr="00E10D96">
        <w:rPr>
          <w:rStyle w:val="FootnoteReference"/>
          <w:rFonts w:ascii="Times New Roman" w:hAnsi="Times New Roman"/>
        </w:rPr>
        <w:footnoteRef/>
      </w:r>
      <w:r w:rsidRPr="00E10D96">
        <w:rPr>
          <w:rFonts w:ascii="Times New Roman" w:hAnsi="Times New Roman"/>
        </w:rPr>
        <w:t xml:space="preserve"> </w:t>
      </w:r>
      <w:r w:rsidRPr="00E10D96">
        <w:rPr>
          <w:rFonts w:ascii="Times New Roman" w:eastAsia="Times New Roman" w:hAnsi="Times New Roman"/>
          <w:lang w:eastAsia="sr-Cyrl-CS"/>
        </w:rPr>
        <w:t>Established by the Law on the Games of Chance, Art. 17-18.</w:t>
      </w:r>
    </w:p>
  </w:footnote>
  <w:footnote w:id="16">
    <w:p w:rsidR="008227A2" w:rsidRPr="00E10D96" w:rsidRDefault="008227A2" w:rsidP="00B62020">
      <w:pPr>
        <w:pStyle w:val="FootnoteText"/>
        <w:spacing w:before="0" w:after="0" w:line="240" w:lineRule="auto"/>
        <w:rPr>
          <w:rFonts w:ascii="Times New Roman" w:hAnsi="Times New Roman"/>
        </w:rPr>
      </w:pPr>
      <w:r w:rsidRPr="00E10D96">
        <w:rPr>
          <w:rStyle w:val="FootnoteReference"/>
          <w:rFonts w:ascii="Times New Roman" w:hAnsi="Times New Roman"/>
        </w:rPr>
        <w:footnoteRef/>
      </w:r>
      <w:r w:rsidRPr="00E10D96">
        <w:rPr>
          <w:rFonts w:ascii="Times New Roman" w:hAnsi="Times New Roman"/>
        </w:rPr>
        <w:t xml:space="preserve"> </w:t>
      </w:r>
      <w:r w:rsidRPr="00E10D96">
        <w:rPr>
          <w:rFonts w:ascii="Times New Roman" w:eastAsia="Times New Roman" w:hAnsi="Times New Roman"/>
          <w:lang w:eastAsia="sr-Cyrl-CS"/>
        </w:rPr>
        <w:t>Established by the Law on the Games of Chance, Art. 17-18.</w:t>
      </w:r>
    </w:p>
  </w:footnote>
  <w:footnote w:id="17">
    <w:p w:rsidR="008227A2" w:rsidRPr="004D7000" w:rsidRDefault="008227A2" w:rsidP="00026901">
      <w:pPr>
        <w:pStyle w:val="FootnoteText"/>
        <w:rPr>
          <w:rFonts w:ascii="Times New Roman" w:hAnsi="Times New Roman"/>
          <w:sz w:val="18"/>
          <w:szCs w:val="18"/>
        </w:rPr>
      </w:pPr>
      <w:r w:rsidRPr="004D7000">
        <w:rPr>
          <w:rStyle w:val="FootnoteReference"/>
          <w:rFonts w:ascii="Times New Roman" w:hAnsi="Times New Roman"/>
          <w:sz w:val="18"/>
          <w:szCs w:val="18"/>
        </w:rPr>
        <w:footnoteRef/>
      </w:r>
      <w:r w:rsidRPr="004D7000">
        <w:rPr>
          <w:rFonts w:ascii="Times New Roman" w:hAnsi="Times New Roman"/>
          <w:sz w:val="18"/>
          <w:szCs w:val="18"/>
        </w:rPr>
        <w:t xml:space="preserve"> </w:t>
      </w:r>
      <w:r w:rsidRPr="004D7000">
        <w:rPr>
          <w:rFonts w:ascii="Times New Roman" w:hAnsi="Times New Roman"/>
          <w:szCs w:val="24"/>
        </w:rPr>
        <w:t xml:space="preserve">Office for Cooperation with Civil Society, Government of the Republic of Serbia, Annual </w:t>
      </w:r>
      <w:r w:rsidR="009D2A67">
        <w:rPr>
          <w:rFonts w:ascii="Times New Roman" w:hAnsi="Times New Roman"/>
          <w:szCs w:val="24"/>
        </w:rPr>
        <w:t xml:space="preserve">Summary </w:t>
      </w:r>
      <w:r w:rsidRPr="004D7000">
        <w:rPr>
          <w:rFonts w:ascii="Times New Roman" w:hAnsi="Times New Roman"/>
          <w:szCs w:val="24"/>
        </w:rPr>
        <w:t xml:space="preserve">Report on the </w:t>
      </w:r>
      <w:r w:rsidR="009D2A67">
        <w:rPr>
          <w:rFonts w:ascii="Times New Roman" w:hAnsi="Times New Roman"/>
          <w:szCs w:val="24"/>
        </w:rPr>
        <w:t xml:space="preserve">Budget </w:t>
      </w:r>
      <w:r w:rsidRPr="004D7000">
        <w:rPr>
          <w:rFonts w:ascii="Times New Roman" w:hAnsi="Times New Roman"/>
          <w:szCs w:val="24"/>
        </w:rPr>
        <w:t xml:space="preserve">Expenditures </w:t>
      </w:r>
      <w:r w:rsidR="009D2A67">
        <w:rPr>
          <w:rFonts w:ascii="Times New Roman" w:hAnsi="Times New Roman"/>
          <w:szCs w:val="24"/>
        </w:rPr>
        <w:t xml:space="preserve">Provided to the Associations and other </w:t>
      </w:r>
      <w:r w:rsidRPr="004D7000">
        <w:rPr>
          <w:rFonts w:ascii="Times New Roman" w:hAnsi="Times New Roman"/>
          <w:szCs w:val="24"/>
        </w:rPr>
        <w:t xml:space="preserve">Civil Society Organizations </w:t>
      </w:r>
      <w:r w:rsidR="009D2A67">
        <w:rPr>
          <w:rFonts w:ascii="Times New Roman" w:hAnsi="Times New Roman"/>
          <w:szCs w:val="24"/>
        </w:rPr>
        <w:t xml:space="preserve">from the Budget of the Republic of Serbia in </w:t>
      </w:r>
      <w:r w:rsidRPr="004D7000">
        <w:rPr>
          <w:rFonts w:ascii="Times New Roman" w:hAnsi="Times New Roman"/>
          <w:szCs w:val="24"/>
        </w:rPr>
        <w:t>2011</w:t>
      </w:r>
      <w:r w:rsidRPr="004D7000">
        <w:rPr>
          <w:rFonts w:ascii="Times New Roman" w:hAnsi="Times New Roman"/>
          <w:sz w:val="18"/>
          <w:szCs w:val="18"/>
          <w:lang w:val="sr-Cyrl-RS"/>
        </w:rPr>
        <w:t xml:space="preserve">. </w:t>
      </w:r>
    </w:p>
  </w:footnote>
  <w:footnote w:id="18">
    <w:p w:rsidR="008227A2" w:rsidRPr="00B04284" w:rsidRDefault="008227A2" w:rsidP="00B04284">
      <w:pPr>
        <w:pStyle w:val="BodyText"/>
        <w:spacing w:after="0" w:line="100" w:lineRule="atLeast"/>
        <w:rPr>
          <w:rFonts w:eastAsia="Arial" w:cs="Times New Roman"/>
          <w:sz w:val="20"/>
          <w:szCs w:val="20"/>
          <w:lang w:val="en-GB"/>
        </w:rPr>
      </w:pPr>
      <w:r w:rsidRPr="00C27283">
        <w:rPr>
          <w:rStyle w:val="FootnoteReference"/>
          <w:sz w:val="20"/>
          <w:szCs w:val="20"/>
          <w:lang w:val="en-GB"/>
        </w:rPr>
        <w:footnoteRef/>
      </w:r>
      <w:r w:rsidRPr="00C27283">
        <w:rPr>
          <w:sz w:val="20"/>
          <w:szCs w:val="20"/>
          <w:lang w:val="en-GB"/>
        </w:rPr>
        <w:t xml:space="preserve"> </w:t>
      </w:r>
      <w:r w:rsidRPr="00597853">
        <w:rPr>
          <w:rFonts w:cs="Times New Roman"/>
          <w:sz w:val="20"/>
          <w:szCs w:val="20"/>
          <w:lang w:val="en-GB"/>
        </w:rPr>
        <w:t xml:space="preserve">MEL, </w:t>
      </w:r>
      <w:r w:rsidRPr="00597853">
        <w:rPr>
          <w:rFonts w:cs="Times New Roman"/>
          <w:i/>
          <w:iCs/>
          <w:sz w:val="20"/>
          <w:szCs w:val="20"/>
          <w:lang w:val="en-GB"/>
        </w:rPr>
        <w:t>Equal – Community Initiative Programme. Hungary 2004-2006</w:t>
      </w:r>
      <w:r w:rsidRPr="00597853">
        <w:rPr>
          <w:rFonts w:cs="Times New Roman"/>
          <w:sz w:val="20"/>
          <w:szCs w:val="20"/>
          <w:lang w:val="en-GB"/>
        </w:rPr>
        <w:t xml:space="preserve">, Budapest, Ministry of Employment and Labour, 2003; MLSA, </w:t>
      </w:r>
      <w:r w:rsidRPr="00597853">
        <w:rPr>
          <w:rFonts w:eastAsia="Arial" w:cs="Times New Roman"/>
          <w:i/>
          <w:iCs/>
          <w:sz w:val="20"/>
          <w:szCs w:val="20"/>
          <w:lang w:val="en-GB"/>
        </w:rPr>
        <w:t>First phase evaluation of Community Initiative EQUAL</w:t>
      </w:r>
      <w:r>
        <w:rPr>
          <w:rFonts w:eastAsia="Arial" w:cs="Times New Roman"/>
          <w:i/>
          <w:iCs/>
          <w:sz w:val="20"/>
          <w:szCs w:val="20"/>
          <w:lang w:val="en-GB"/>
        </w:rPr>
        <w:t xml:space="preserve"> </w:t>
      </w:r>
      <w:r w:rsidRPr="00597853">
        <w:rPr>
          <w:rFonts w:eastAsia="Arial" w:cs="Times New Roman"/>
          <w:i/>
          <w:iCs/>
          <w:sz w:val="20"/>
          <w:szCs w:val="20"/>
          <w:lang w:val="en-GB"/>
        </w:rPr>
        <w:t xml:space="preserve">- 2nd round in Czech Republic, </w:t>
      </w:r>
      <w:r w:rsidRPr="00597853">
        <w:rPr>
          <w:rFonts w:eastAsia="Arial" w:cs="Times New Roman"/>
          <w:sz w:val="20"/>
          <w:szCs w:val="20"/>
          <w:lang w:val="en-GB"/>
        </w:rPr>
        <w:t xml:space="preserve">Praha, Ministry of Labour and Social Affairs, 2005; MLSA, </w:t>
      </w:r>
      <w:r w:rsidRPr="00597853">
        <w:rPr>
          <w:rFonts w:eastAsia="Arial" w:cs="Times New Roman"/>
          <w:i/>
          <w:iCs/>
          <w:sz w:val="20"/>
          <w:szCs w:val="20"/>
          <w:lang w:val="en-GB"/>
        </w:rPr>
        <w:t xml:space="preserve">Second phase evaluation of Community Initiative EQUAL, </w:t>
      </w:r>
      <w:r w:rsidRPr="00597853">
        <w:rPr>
          <w:rFonts w:eastAsia="Arial" w:cs="Times New Roman"/>
          <w:sz w:val="20"/>
          <w:szCs w:val="20"/>
          <w:lang w:val="en-GB"/>
        </w:rPr>
        <w:t xml:space="preserve">Praha, Ministry of Labour and Social Affairs, 2006; MLSA, </w:t>
      </w:r>
      <w:r w:rsidRPr="00597853">
        <w:rPr>
          <w:rFonts w:eastAsia="Arial" w:cs="Times New Roman"/>
          <w:i/>
          <w:iCs/>
          <w:sz w:val="20"/>
          <w:szCs w:val="20"/>
          <w:lang w:val="en-GB"/>
        </w:rPr>
        <w:t xml:space="preserve">Third Phase of the Ongoing Evaluation of the Community Initiative Programme EQUAL, </w:t>
      </w:r>
      <w:r w:rsidRPr="00597853">
        <w:rPr>
          <w:rFonts w:eastAsia="Arial" w:cs="Times New Roman"/>
          <w:sz w:val="20"/>
          <w:szCs w:val="20"/>
          <w:lang w:val="en-GB"/>
        </w:rPr>
        <w:t>Praha, Ministry of Labour and Social Affairs, 2007</w:t>
      </w:r>
      <w:r>
        <w:rPr>
          <w:rFonts w:eastAsia="Arial" w:cs="Times New Roman"/>
          <w:sz w:val="20"/>
          <w:szCs w:val="20"/>
          <w:lang w:val="en-GB"/>
        </w:rPr>
        <w:t>.</w:t>
      </w:r>
    </w:p>
  </w:footnote>
  <w:footnote w:id="19">
    <w:p w:rsidR="008227A2" w:rsidRDefault="008227A2" w:rsidP="00EF6050">
      <w:pPr>
        <w:pStyle w:val="FootnoteText"/>
        <w:spacing w:after="0"/>
        <w:jc w:val="left"/>
      </w:pPr>
      <w:r w:rsidRPr="00C27283">
        <w:rPr>
          <w:rStyle w:val="FootnoteReference"/>
          <w:lang w:val="en-GB"/>
        </w:rPr>
        <w:footnoteRef/>
      </w:r>
      <w:r w:rsidRPr="00297CFA">
        <w:t xml:space="preserve"> </w:t>
      </w:r>
      <w:hyperlink r:id="rId3" w:history="1">
        <w:r w:rsidRPr="00BB38B9">
          <w:rPr>
            <w:rStyle w:val="Hyperlink"/>
            <w:rFonts w:ascii="Times New Roman" w:hAnsi="Times New Roman"/>
            <w:szCs w:val="18"/>
            <w:lang w:val="en-GB"/>
          </w:rPr>
          <w:t>http</w:t>
        </w:r>
        <w:r w:rsidRPr="00297CFA">
          <w:rPr>
            <w:rStyle w:val="Hyperlink"/>
            <w:rFonts w:ascii="Times New Roman" w:hAnsi="Times New Roman"/>
            <w:szCs w:val="18"/>
          </w:rPr>
          <w:t>://</w:t>
        </w:r>
        <w:r w:rsidRPr="00BB38B9">
          <w:rPr>
            <w:rStyle w:val="Hyperlink"/>
            <w:rFonts w:ascii="Times New Roman" w:hAnsi="Times New Roman"/>
            <w:szCs w:val="18"/>
            <w:lang w:val="en-GB"/>
          </w:rPr>
          <w:t>ec</w:t>
        </w:r>
        <w:r w:rsidRPr="00297CFA">
          <w:rPr>
            <w:rStyle w:val="Hyperlink"/>
            <w:rFonts w:ascii="Times New Roman" w:hAnsi="Times New Roman"/>
            <w:szCs w:val="18"/>
          </w:rPr>
          <w:t>.</w:t>
        </w:r>
        <w:r w:rsidRPr="00BB38B9">
          <w:rPr>
            <w:rStyle w:val="Hyperlink"/>
            <w:rFonts w:ascii="Times New Roman" w:hAnsi="Times New Roman"/>
            <w:szCs w:val="18"/>
            <w:lang w:val="en-GB"/>
          </w:rPr>
          <w:t>europa</w:t>
        </w:r>
        <w:r w:rsidRPr="00297CFA">
          <w:rPr>
            <w:rStyle w:val="Hyperlink"/>
            <w:rFonts w:ascii="Times New Roman" w:hAnsi="Times New Roman"/>
            <w:szCs w:val="18"/>
          </w:rPr>
          <w:t>.</w:t>
        </w:r>
        <w:r w:rsidRPr="00BB38B9">
          <w:rPr>
            <w:rStyle w:val="Hyperlink"/>
            <w:rFonts w:ascii="Times New Roman" w:hAnsi="Times New Roman"/>
            <w:szCs w:val="18"/>
            <w:lang w:val="en-GB"/>
          </w:rPr>
          <w:t>eu</w:t>
        </w:r>
        <w:r w:rsidRPr="00297CFA">
          <w:rPr>
            <w:rStyle w:val="Hyperlink"/>
            <w:rFonts w:ascii="Times New Roman" w:hAnsi="Times New Roman"/>
            <w:szCs w:val="18"/>
          </w:rPr>
          <w:t>/</w:t>
        </w:r>
        <w:r w:rsidRPr="00BB38B9">
          <w:rPr>
            <w:rStyle w:val="Hyperlink"/>
            <w:rFonts w:ascii="Times New Roman" w:hAnsi="Times New Roman"/>
            <w:szCs w:val="18"/>
            <w:lang w:val="en-GB"/>
          </w:rPr>
          <w:t>social</w:t>
        </w:r>
        <w:r w:rsidRPr="00297CFA">
          <w:rPr>
            <w:rStyle w:val="Hyperlink"/>
            <w:rFonts w:ascii="Times New Roman" w:hAnsi="Times New Roman"/>
            <w:szCs w:val="18"/>
          </w:rPr>
          <w:t>/</w:t>
        </w:r>
        <w:r w:rsidRPr="00BB38B9">
          <w:rPr>
            <w:rStyle w:val="Hyperlink"/>
            <w:rFonts w:ascii="Times New Roman" w:hAnsi="Times New Roman"/>
            <w:szCs w:val="18"/>
            <w:lang w:val="en-GB"/>
          </w:rPr>
          <w:t>main</w:t>
        </w:r>
        <w:r w:rsidRPr="00297CFA">
          <w:rPr>
            <w:rStyle w:val="Hyperlink"/>
            <w:rFonts w:ascii="Times New Roman" w:hAnsi="Times New Roman"/>
            <w:szCs w:val="18"/>
          </w:rPr>
          <w:t>.</w:t>
        </w:r>
        <w:r w:rsidRPr="00BB38B9">
          <w:rPr>
            <w:rStyle w:val="Hyperlink"/>
            <w:rFonts w:ascii="Times New Roman" w:hAnsi="Times New Roman"/>
            <w:szCs w:val="18"/>
            <w:lang w:val="en-GB"/>
          </w:rPr>
          <w:t>jsp</w:t>
        </w:r>
        <w:r w:rsidRPr="00297CFA">
          <w:rPr>
            <w:rStyle w:val="Hyperlink"/>
            <w:rFonts w:ascii="Times New Roman" w:hAnsi="Times New Roman"/>
            <w:szCs w:val="18"/>
          </w:rPr>
          <w:t>?</w:t>
        </w:r>
        <w:r w:rsidRPr="00BB38B9">
          <w:rPr>
            <w:rStyle w:val="Hyperlink"/>
            <w:rFonts w:ascii="Times New Roman" w:hAnsi="Times New Roman"/>
            <w:szCs w:val="18"/>
            <w:lang w:val="en-GB"/>
          </w:rPr>
          <w:t>catId</w:t>
        </w:r>
        <w:r w:rsidRPr="00297CFA">
          <w:rPr>
            <w:rStyle w:val="Hyperlink"/>
            <w:rFonts w:ascii="Times New Roman" w:hAnsi="Times New Roman"/>
            <w:szCs w:val="18"/>
          </w:rPr>
          <w:t>=370&amp;</w:t>
        </w:r>
        <w:r w:rsidRPr="00BB38B9">
          <w:rPr>
            <w:rStyle w:val="Hyperlink"/>
            <w:rFonts w:ascii="Times New Roman" w:hAnsi="Times New Roman"/>
            <w:szCs w:val="18"/>
            <w:lang w:val="en-GB"/>
          </w:rPr>
          <w:t>langId</w:t>
        </w:r>
        <w:r w:rsidRPr="00297CFA">
          <w:rPr>
            <w:rStyle w:val="Hyperlink"/>
            <w:rFonts w:ascii="Times New Roman" w:hAnsi="Times New Roman"/>
            <w:szCs w:val="18"/>
          </w:rPr>
          <w:t>=</w:t>
        </w:r>
        <w:r w:rsidRPr="00BB38B9">
          <w:rPr>
            <w:rStyle w:val="Hyperlink"/>
            <w:rFonts w:ascii="Times New Roman" w:hAnsi="Times New Roman"/>
            <w:szCs w:val="18"/>
            <w:lang w:val="en-GB"/>
          </w:rPr>
          <w:t>en</w:t>
        </w:r>
        <w:r w:rsidRPr="00297CFA">
          <w:rPr>
            <w:rStyle w:val="Hyperlink"/>
            <w:rFonts w:ascii="Times New Roman" w:hAnsi="Times New Roman"/>
            <w:szCs w:val="18"/>
          </w:rPr>
          <w:t>&amp;</w:t>
        </w:r>
        <w:r w:rsidRPr="00BB38B9">
          <w:rPr>
            <w:rStyle w:val="Hyperlink"/>
            <w:rFonts w:ascii="Times New Roman" w:hAnsi="Times New Roman"/>
            <w:szCs w:val="18"/>
            <w:lang w:val="en-GB"/>
          </w:rPr>
          <w:t>featuresId</w:t>
        </w:r>
        <w:r w:rsidRPr="00297CFA">
          <w:rPr>
            <w:rStyle w:val="Hyperlink"/>
            <w:rFonts w:ascii="Times New Roman" w:hAnsi="Times New Roman"/>
            <w:szCs w:val="18"/>
          </w:rPr>
          <w:t>=106&amp;</w:t>
        </w:r>
        <w:r w:rsidRPr="00BB38B9">
          <w:rPr>
            <w:rStyle w:val="Hyperlink"/>
            <w:rFonts w:ascii="Times New Roman" w:hAnsi="Times New Roman"/>
            <w:szCs w:val="18"/>
            <w:lang w:val="en-GB"/>
          </w:rPr>
          <w:t>furtherFeatures</w:t>
        </w:r>
        <w:r w:rsidRPr="00297CFA">
          <w:rPr>
            <w:rStyle w:val="Hyperlink"/>
            <w:rFonts w:ascii="Times New Roman" w:hAnsi="Times New Roman"/>
            <w:szCs w:val="18"/>
          </w:rPr>
          <w:t>=</w:t>
        </w:r>
        <w:r w:rsidRPr="00BB38B9">
          <w:rPr>
            <w:rStyle w:val="Hyperlink"/>
            <w:rFonts w:ascii="Times New Roman" w:hAnsi="Times New Roman"/>
            <w:szCs w:val="18"/>
            <w:lang w:val="en-GB"/>
          </w:rPr>
          <w:t>yes</w:t>
        </w:r>
      </w:hyperlink>
      <w:r w:rsidRPr="00297CFA">
        <w:rPr>
          <w:rFonts w:ascii="Times New Roman" w:hAnsi="Times New Roman"/>
          <w:szCs w:val="18"/>
        </w:rPr>
        <w:t xml:space="preserve"> </w:t>
      </w:r>
    </w:p>
  </w:footnote>
  <w:footnote w:id="20">
    <w:p w:rsidR="008227A2" w:rsidRDefault="008227A2" w:rsidP="00EF6050">
      <w:pPr>
        <w:pStyle w:val="FootnoteText"/>
        <w:spacing w:after="0"/>
      </w:pPr>
      <w:r w:rsidRPr="00597853">
        <w:rPr>
          <w:rStyle w:val="FootnoteReference"/>
          <w:rFonts w:ascii="Times New Roman" w:hAnsi="Times New Roman"/>
          <w:lang w:val="en-GB"/>
        </w:rPr>
        <w:footnoteRef/>
      </w:r>
      <w:r w:rsidRPr="00597853">
        <w:rPr>
          <w:rFonts w:ascii="Times New Roman" w:hAnsi="Times New Roman"/>
          <w:lang w:val="en-GB"/>
        </w:rPr>
        <w:t xml:space="preserve"> </w:t>
      </w:r>
      <w:r w:rsidRPr="00597853">
        <w:rPr>
          <w:rFonts w:ascii="Times New Roman" w:hAnsi="Times New Roman"/>
          <w:szCs w:val="18"/>
          <w:lang w:val="en-GB"/>
        </w:rPr>
        <w:t>ESF spending amounts to around 10% of the EU’s total budget - between 2007 and 2013, approximately €76 billion has been allocated to the ESF.</w:t>
      </w:r>
    </w:p>
  </w:footnote>
  <w:footnote w:id="21">
    <w:p w:rsidR="008227A2" w:rsidRDefault="008227A2" w:rsidP="00DB2113">
      <w:pPr>
        <w:pStyle w:val="FootnoteText"/>
        <w:spacing w:after="0"/>
      </w:pPr>
      <w:r w:rsidRPr="00597853">
        <w:rPr>
          <w:rStyle w:val="FootnoteReference"/>
          <w:rFonts w:ascii="Times New Roman" w:hAnsi="Times New Roman"/>
          <w:szCs w:val="18"/>
          <w:lang w:val="en-GB"/>
        </w:rPr>
        <w:footnoteRef/>
      </w:r>
      <w:r>
        <w:rPr>
          <w:rFonts w:ascii="Times New Roman" w:hAnsi="Times New Roman"/>
          <w:szCs w:val="18"/>
          <w:lang w:val="en-GB"/>
        </w:rPr>
        <w:t xml:space="preserve"> European Commission,</w:t>
      </w:r>
      <w:r w:rsidRPr="00597853">
        <w:rPr>
          <w:rFonts w:ascii="Times New Roman" w:hAnsi="Times New Roman"/>
          <w:szCs w:val="18"/>
          <w:lang w:val="en-GB"/>
        </w:rPr>
        <w:t xml:space="preserve"> DG for Employment, Social Affairs &amp; Inclusion. “The European Social Fund: a cornerstone in the fight against poverty and social exclusion”</w:t>
      </w:r>
      <w:r w:rsidR="00AE1969">
        <w:rPr>
          <w:rFonts w:ascii="Times New Roman" w:hAnsi="Times New Roman"/>
          <w:szCs w:val="18"/>
          <w:lang w:val="en-GB"/>
        </w:rPr>
        <w:t>,</w:t>
      </w:r>
      <w:r w:rsidRPr="00597853">
        <w:rPr>
          <w:rFonts w:ascii="Times New Roman" w:hAnsi="Times New Roman"/>
          <w:szCs w:val="18"/>
          <w:lang w:val="en-GB"/>
        </w:rPr>
        <w:t xml:space="preserve"> 2010.</w:t>
      </w:r>
    </w:p>
  </w:footnote>
  <w:footnote w:id="22">
    <w:p w:rsidR="008227A2" w:rsidRDefault="008227A2" w:rsidP="00DB2113">
      <w:pPr>
        <w:pStyle w:val="FootnoteText"/>
        <w:spacing w:after="0"/>
      </w:pPr>
      <w:r w:rsidRPr="00C27283">
        <w:rPr>
          <w:rStyle w:val="FootnoteReference"/>
          <w:lang w:val="en-GB"/>
        </w:rPr>
        <w:footnoteRef/>
      </w:r>
      <w:r w:rsidRPr="00C27283">
        <w:rPr>
          <w:lang w:val="en-GB"/>
        </w:rPr>
        <w:t xml:space="preserve"> </w:t>
      </w:r>
      <w:r w:rsidRPr="00597853">
        <w:rPr>
          <w:rFonts w:ascii="Times New Roman" w:hAnsi="Times New Roman"/>
          <w:lang w:val="en-GB"/>
        </w:rPr>
        <w:t>European Commission Proposal (COM(2011) 607) for a Regulation of the European Parliament and of the Council on the European Social Fund and repealing Council Regulation (EC) No 1081/2006</w:t>
      </w:r>
      <w:r w:rsidR="00AE1969">
        <w:rPr>
          <w:rFonts w:ascii="Times New Roman" w:hAnsi="Times New Roman"/>
          <w:lang w:val="en-GB"/>
        </w:rPr>
        <w:t>.</w:t>
      </w:r>
    </w:p>
  </w:footnote>
  <w:footnote w:id="23">
    <w:p w:rsidR="008227A2" w:rsidRPr="00FA2F9B" w:rsidRDefault="008227A2" w:rsidP="00DB2113">
      <w:pPr>
        <w:pStyle w:val="FootnoteText"/>
        <w:spacing w:after="0" w:line="240" w:lineRule="auto"/>
        <w:rPr>
          <w:lang w:val="en-US"/>
        </w:rPr>
      </w:pPr>
      <w:r>
        <w:rPr>
          <w:rStyle w:val="FootnoteReference"/>
        </w:rPr>
        <w:footnoteRef/>
      </w:r>
      <w:r w:rsidRPr="005A5809">
        <w:rPr>
          <w:rFonts w:ascii="Times New Roman" w:hAnsi="Times New Roman"/>
          <w:szCs w:val="18"/>
          <w:lang w:val="en-GB"/>
        </w:rPr>
        <w:t xml:space="preserve"> Council Regulation (EC) No 1085/2006 of 17 July 2006 – ‘IPA Establishing Regulation’, and Commission Regulation (EC) No 718/2007 of 12 June 2007 implementing Council Regulation (EC) No 1085/2006 – ‘IPA Implementing Regulation’</w:t>
      </w:r>
      <w:r>
        <w:rPr>
          <w:rFonts w:ascii="Times New Roman" w:hAnsi="Times New Roman"/>
          <w:szCs w:val="18"/>
          <w:lang w:val="en-GB"/>
        </w:rPr>
        <w:t>.</w:t>
      </w:r>
    </w:p>
  </w:footnote>
  <w:footnote w:id="24">
    <w:p w:rsidR="008227A2" w:rsidRPr="00FA2F9B" w:rsidRDefault="008227A2" w:rsidP="00DB2113">
      <w:pPr>
        <w:pStyle w:val="FootnoteText"/>
        <w:spacing w:after="0" w:line="240" w:lineRule="auto"/>
        <w:rPr>
          <w:lang w:val="en-US"/>
        </w:rPr>
      </w:pPr>
      <w:r>
        <w:rPr>
          <w:rStyle w:val="FootnoteReference"/>
        </w:rPr>
        <w:footnoteRef/>
      </w:r>
      <w:r>
        <w:t xml:space="preserve"> </w:t>
      </w:r>
      <w:r w:rsidRPr="005A5809">
        <w:rPr>
          <w:rFonts w:ascii="Times New Roman" w:hAnsi="Times New Roman"/>
          <w:szCs w:val="18"/>
          <w:lang w:val="en-GB"/>
        </w:rPr>
        <w:t>Through the endorsement of the “Law Confirming the Framework Agreement between the Government of the Republic of Serbia and the Commission of European Communities about the rules for cooperation in connection with financial assistance of the European Community to the Republic of Serbia in implementation of assistance within the framework of Instrument of Pre-accession Assistance (IPA)” (Official Gazette – International Agreements 124/07)</w:t>
      </w:r>
      <w:r>
        <w:rPr>
          <w:rFonts w:ascii="Times New Roman" w:hAnsi="Times New Roman"/>
          <w:szCs w:val="18"/>
          <w:lang w:val="en-GB"/>
        </w:rPr>
        <w:t>.</w:t>
      </w:r>
    </w:p>
  </w:footnote>
  <w:footnote w:id="25">
    <w:p w:rsidR="008227A2" w:rsidRPr="00FA2F9B" w:rsidRDefault="008227A2" w:rsidP="00DB2113">
      <w:pPr>
        <w:pStyle w:val="FootnoteText"/>
        <w:spacing w:after="0" w:line="240" w:lineRule="auto"/>
        <w:rPr>
          <w:lang w:val="en-US"/>
        </w:rPr>
      </w:pPr>
      <w:r>
        <w:rPr>
          <w:rStyle w:val="FootnoteReference"/>
        </w:rPr>
        <w:footnoteRef/>
      </w:r>
      <w:r>
        <w:t xml:space="preserve"> </w:t>
      </w:r>
      <w:r w:rsidRPr="005A5809">
        <w:rPr>
          <w:rFonts w:ascii="Times New Roman" w:hAnsi="Times New Roman"/>
          <w:szCs w:val="18"/>
          <w:lang w:val="en-GB"/>
        </w:rPr>
        <w:t>IPA Implementing Regulation</w:t>
      </w:r>
      <w:r>
        <w:rPr>
          <w:rFonts w:ascii="Times New Roman" w:hAnsi="Times New Roman"/>
          <w:szCs w:val="18"/>
          <w:lang w:val="en-GB"/>
        </w:rPr>
        <w:t>.</w:t>
      </w:r>
    </w:p>
  </w:footnote>
  <w:footnote w:id="26">
    <w:p w:rsidR="008227A2" w:rsidRDefault="008227A2" w:rsidP="00DB2113">
      <w:pPr>
        <w:pStyle w:val="FootnoteText"/>
        <w:spacing w:after="0"/>
      </w:pPr>
      <w:r w:rsidRPr="00C27283">
        <w:rPr>
          <w:rStyle w:val="FootnoteReference"/>
          <w:lang w:val="en-GB"/>
        </w:rPr>
        <w:footnoteRef/>
      </w:r>
      <w:r w:rsidRPr="00C27283">
        <w:rPr>
          <w:lang w:val="en-GB"/>
        </w:rPr>
        <w:t xml:space="preserve"> </w:t>
      </w:r>
      <w:r w:rsidRPr="00597853">
        <w:rPr>
          <w:rFonts w:ascii="Times New Roman" w:hAnsi="Times New Roman"/>
          <w:lang w:val="en-GB"/>
        </w:rPr>
        <w:t>European Court of Auditors, “Has EU assistance improved Croatia's capacity to manage post-accession funding?”, Special Report No 14/2011, 2011;</w:t>
      </w:r>
      <w:r>
        <w:rPr>
          <w:rFonts w:ascii="Times New Roman" w:hAnsi="Times New Roman"/>
        </w:rPr>
        <w:t xml:space="preserve"> </w:t>
      </w:r>
      <w:r w:rsidRPr="00597853">
        <w:rPr>
          <w:rFonts w:ascii="Times New Roman" w:hAnsi="Times New Roman"/>
          <w:lang w:val="en-GB"/>
        </w:rPr>
        <w:t>World Bank, EU-8 Administrative Capacity in the New Member States: The Limits of Innovation?, 2006</w:t>
      </w:r>
    </w:p>
  </w:footnote>
  <w:footnote w:id="27">
    <w:p w:rsidR="008227A2" w:rsidRDefault="008227A2" w:rsidP="00DB2113">
      <w:pPr>
        <w:spacing w:after="0"/>
      </w:pPr>
      <w:r w:rsidRPr="00597853">
        <w:rPr>
          <w:rStyle w:val="FootnoteReference"/>
          <w:sz w:val="20"/>
          <w:szCs w:val="20"/>
          <w:lang w:val="en-GB"/>
        </w:rPr>
        <w:footnoteRef/>
      </w:r>
      <w:r w:rsidRPr="00597853">
        <w:rPr>
          <w:sz w:val="20"/>
          <w:szCs w:val="20"/>
          <w:lang w:val="en-GB"/>
        </w:rPr>
        <w:t xml:space="preserve"> The Netherlands Economic Institute, Absorption capacity for Structural Funds in the regions of Slovenia, Ljubljana, 2002.</w:t>
      </w:r>
    </w:p>
  </w:footnote>
  <w:footnote w:id="28">
    <w:p w:rsidR="008227A2" w:rsidRDefault="008227A2" w:rsidP="00541EC7">
      <w:pPr>
        <w:pStyle w:val="FootnoteText"/>
        <w:spacing w:before="60" w:after="60"/>
      </w:pPr>
      <w:r>
        <w:rPr>
          <w:rStyle w:val="FootnoteReference"/>
        </w:rPr>
        <w:footnoteRef/>
      </w:r>
      <w:r>
        <w:t xml:space="preserve"> </w:t>
      </w:r>
      <w:r w:rsidRPr="00597853">
        <w:rPr>
          <w:rFonts w:ascii="Times New Roman" w:hAnsi="Times New Roman"/>
        </w:rPr>
        <w:t>European Commission, Commission Opinion on Serbia's application for membership of the European Union-Analytical Report, COM(2011) 668, October 2011.</w:t>
      </w:r>
    </w:p>
  </w:footnote>
  <w:footnote w:id="29">
    <w:p w:rsidR="008227A2" w:rsidRDefault="008227A2" w:rsidP="00541EC7">
      <w:pPr>
        <w:pStyle w:val="FootnoteText"/>
        <w:spacing w:before="60" w:after="60" w:line="240" w:lineRule="auto"/>
      </w:pPr>
      <w:r w:rsidRPr="00C27283">
        <w:rPr>
          <w:rStyle w:val="FootnoteReference"/>
          <w:lang w:val="en-GB"/>
        </w:rPr>
        <w:footnoteRef/>
      </w:r>
      <w:r w:rsidRPr="00C27283">
        <w:rPr>
          <w:lang w:val="en-GB"/>
        </w:rPr>
        <w:t xml:space="preserve"> </w:t>
      </w:r>
      <w:r w:rsidRPr="00597853">
        <w:rPr>
          <w:rFonts w:ascii="Times New Roman" w:hAnsi="Times New Roman"/>
          <w:lang w:val="en-GB"/>
        </w:rPr>
        <w:t>and corresponding amendments and corrections</w:t>
      </w:r>
    </w:p>
  </w:footnote>
  <w:footnote w:id="30">
    <w:p w:rsidR="008227A2" w:rsidRDefault="008227A2" w:rsidP="00DB2113">
      <w:pPr>
        <w:pStyle w:val="FootnoteText"/>
        <w:spacing w:after="0" w:line="240" w:lineRule="auto"/>
      </w:pPr>
      <w:r w:rsidRPr="00C27283">
        <w:rPr>
          <w:rStyle w:val="FootnoteReference"/>
          <w:lang w:val="en-GB"/>
        </w:rPr>
        <w:footnoteRef/>
      </w:r>
      <w:r w:rsidRPr="00C27283">
        <w:rPr>
          <w:lang w:val="en-GB"/>
        </w:rPr>
        <w:t xml:space="preserve"> </w:t>
      </w:r>
      <w:r w:rsidRPr="00155F67">
        <w:rPr>
          <w:rFonts w:ascii="Times New Roman" w:hAnsi="Times New Roman"/>
          <w:lang w:val="en-GB"/>
        </w:rPr>
        <w:t>Based on the steps in PRAG and assumptions about how long it takes various contracting bodies and evaluation committees, it takes some 10 months to contract service contracts, 8 months for supplies and 10 months for works.</w:t>
      </w:r>
    </w:p>
  </w:footnote>
  <w:footnote w:id="31">
    <w:p w:rsidR="008227A2" w:rsidRDefault="008227A2" w:rsidP="00DB2113">
      <w:pPr>
        <w:pStyle w:val="FootnoteText"/>
        <w:spacing w:after="0"/>
      </w:pPr>
      <w:r w:rsidRPr="00C27283">
        <w:rPr>
          <w:rStyle w:val="FootnoteReference"/>
          <w:lang w:val="en-GB"/>
        </w:rPr>
        <w:footnoteRef/>
      </w:r>
      <w:r w:rsidRPr="00C27283">
        <w:rPr>
          <w:lang w:val="en-GB"/>
        </w:rPr>
        <w:t xml:space="preserve"> </w:t>
      </w:r>
      <w:r w:rsidRPr="00597853">
        <w:rPr>
          <w:rFonts w:ascii="Times New Roman" w:hAnsi="Times New Roman"/>
          <w:lang w:val="en-GB"/>
        </w:rPr>
        <w:t xml:space="preserve">IPA Glossary; December 2010. </w:t>
      </w:r>
    </w:p>
  </w:footnote>
  <w:footnote w:id="32">
    <w:p w:rsidR="008227A2" w:rsidRDefault="008227A2" w:rsidP="00DB2113">
      <w:pPr>
        <w:pStyle w:val="FootnoteText"/>
        <w:spacing w:after="0"/>
        <w:jc w:val="left"/>
      </w:pPr>
      <w:r w:rsidRPr="00597853">
        <w:rPr>
          <w:rStyle w:val="FootnoteReference"/>
          <w:rFonts w:ascii="Times New Roman" w:hAnsi="Times New Roman"/>
          <w:lang w:val="en-GB"/>
        </w:rPr>
        <w:footnoteRef/>
      </w:r>
      <w:r>
        <w:rPr>
          <w:rFonts w:ascii="Times New Roman" w:hAnsi="Times New Roman"/>
          <w:lang w:val="en-GB"/>
        </w:rPr>
        <w:t xml:space="preserve"> European Commission,</w:t>
      </w:r>
      <w:r w:rsidRPr="00597853">
        <w:rPr>
          <w:rFonts w:ascii="Times New Roman" w:hAnsi="Times New Roman"/>
          <w:lang w:val="en-GB"/>
        </w:rPr>
        <w:t xml:space="preserve"> DG for Employment, Social Affairs &amp; Inclusion, “European Social Fund”. </w:t>
      </w:r>
      <w:hyperlink r:id="rId4" w:history="1">
        <w:r w:rsidRPr="00BB38B9">
          <w:rPr>
            <w:rStyle w:val="Hyperlink"/>
            <w:rFonts w:ascii="Times New Roman" w:hAnsi="Times New Roman"/>
            <w:lang w:val="en-GB"/>
          </w:rPr>
          <w:t>http</w:t>
        </w:r>
        <w:r w:rsidRPr="005918A5">
          <w:rPr>
            <w:rStyle w:val="Hyperlink"/>
            <w:rFonts w:ascii="Times New Roman" w:hAnsi="Times New Roman"/>
          </w:rPr>
          <w:t>://</w:t>
        </w:r>
        <w:r w:rsidRPr="00BB38B9">
          <w:rPr>
            <w:rStyle w:val="Hyperlink"/>
            <w:rFonts w:ascii="Times New Roman" w:hAnsi="Times New Roman"/>
            <w:lang w:val="en-GB"/>
          </w:rPr>
          <w:t>ec</w:t>
        </w:r>
        <w:r w:rsidRPr="005918A5">
          <w:rPr>
            <w:rStyle w:val="Hyperlink"/>
            <w:rFonts w:ascii="Times New Roman" w:hAnsi="Times New Roman"/>
          </w:rPr>
          <w:t>.</w:t>
        </w:r>
        <w:r w:rsidRPr="00BB38B9">
          <w:rPr>
            <w:rStyle w:val="Hyperlink"/>
            <w:rFonts w:ascii="Times New Roman" w:hAnsi="Times New Roman"/>
            <w:lang w:val="en-GB"/>
          </w:rPr>
          <w:t>europa</w:t>
        </w:r>
        <w:r w:rsidRPr="005918A5">
          <w:rPr>
            <w:rStyle w:val="Hyperlink"/>
            <w:rFonts w:ascii="Times New Roman" w:hAnsi="Times New Roman"/>
          </w:rPr>
          <w:t>.</w:t>
        </w:r>
        <w:r w:rsidRPr="00BB38B9">
          <w:rPr>
            <w:rStyle w:val="Hyperlink"/>
            <w:rFonts w:ascii="Times New Roman" w:hAnsi="Times New Roman"/>
            <w:lang w:val="en-GB"/>
          </w:rPr>
          <w:t>eu</w:t>
        </w:r>
        <w:r w:rsidRPr="005918A5">
          <w:rPr>
            <w:rStyle w:val="Hyperlink"/>
            <w:rFonts w:ascii="Times New Roman" w:hAnsi="Times New Roman"/>
          </w:rPr>
          <w:t>/</w:t>
        </w:r>
        <w:r w:rsidRPr="00BB38B9">
          <w:rPr>
            <w:rStyle w:val="Hyperlink"/>
            <w:rFonts w:ascii="Times New Roman" w:hAnsi="Times New Roman"/>
            <w:lang w:val="en-GB"/>
          </w:rPr>
          <w:t>esf</w:t>
        </w:r>
        <w:r w:rsidRPr="005918A5">
          <w:rPr>
            <w:rStyle w:val="Hyperlink"/>
            <w:rFonts w:ascii="Times New Roman" w:hAnsi="Times New Roman"/>
          </w:rPr>
          <w:t>/</w:t>
        </w:r>
        <w:r w:rsidRPr="00BB38B9">
          <w:rPr>
            <w:rStyle w:val="Hyperlink"/>
            <w:rFonts w:ascii="Times New Roman" w:hAnsi="Times New Roman"/>
            <w:lang w:val="en-GB"/>
          </w:rPr>
          <w:t>main</w:t>
        </w:r>
        <w:r w:rsidRPr="005918A5">
          <w:rPr>
            <w:rStyle w:val="Hyperlink"/>
            <w:rFonts w:ascii="Times New Roman" w:hAnsi="Times New Roman"/>
          </w:rPr>
          <w:t>.</w:t>
        </w:r>
        <w:r w:rsidRPr="00BB38B9">
          <w:rPr>
            <w:rStyle w:val="Hyperlink"/>
            <w:rFonts w:ascii="Times New Roman" w:hAnsi="Times New Roman"/>
            <w:lang w:val="en-GB"/>
          </w:rPr>
          <w:t>jsp</w:t>
        </w:r>
        <w:r w:rsidRPr="005918A5">
          <w:rPr>
            <w:rStyle w:val="Hyperlink"/>
            <w:rFonts w:ascii="Times New Roman" w:hAnsi="Times New Roman"/>
          </w:rPr>
          <w:t>?</w:t>
        </w:r>
        <w:r w:rsidRPr="00BB38B9">
          <w:rPr>
            <w:rStyle w:val="Hyperlink"/>
            <w:rFonts w:ascii="Times New Roman" w:hAnsi="Times New Roman"/>
            <w:lang w:val="en-GB"/>
          </w:rPr>
          <w:t>catId</w:t>
        </w:r>
        <w:r w:rsidRPr="005918A5">
          <w:rPr>
            <w:rStyle w:val="Hyperlink"/>
            <w:rFonts w:ascii="Times New Roman" w:hAnsi="Times New Roman"/>
          </w:rPr>
          <w:t>=32&amp;</w:t>
        </w:r>
        <w:r w:rsidRPr="00BB38B9">
          <w:rPr>
            <w:rStyle w:val="Hyperlink"/>
            <w:rFonts w:ascii="Times New Roman" w:hAnsi="Times New Roman"/>
            <w:lang w:val="en-GB"/>
          </w:rPr>
          <w:t>langId</w:t>
        </w:r>
        <w:r w:rsidRPr="005918A5">
          <w:rPr>
            <w:rStyle w:val="Hyperlink"/>
            <w:rFonts w:ascii="Times New Roman" w:hAnsi="Times New Roman"/>
          </w:rPr>
          <w:t>=</w:t>
        </w:r>
        <w:r w:rsidRPr="00BB38B9">
          <w:rPr>
            <w:rStyle w:val="Hyperlink"/>
            <w:rFonts w:ascii="Times New Roman" w:hAnsi="Times New Roman"/>
            <w:lang w:val="en-GB"/>
          </w:rPr>
          <w:t>en</w:t>
        </w:r>
      </w:hyperlink>
      <w:r w:rsidRPr="005918A5">
        <w:rPr>
          <w:rFonts w:ascii="Times New Roman" w:hAnsi="Times New Roman"/>
        </w:rPr>
        <w:t xml:space="preserve"> </w:t>
      </w:r>
    </w:p>
  </w:footnote>
  <w:footnote w:id="33">
    <w:p w:rsidR="008227A2" w:rsidRPr="004F7BF2" w:rsidRDefault="008227A2" w:rsidP="00E70705">
      <w:pPr>
        <w:spacing w:before="0" w:after="0" w:line="240" w:lineRule="auto"/>
        <w:rPr>
          <w:lang w:val="ru-RU"/>
        </w:rPr>
      </w:pPr>
      <w:r w:rsidRPr="004F56AC">
        <w:rPr>
          <w:rStyle w:val="FootnoteReference"/>
          <w:sz w:val="20"/>
          <w:szCs w:val="20"/>
        </w:rPr>
        <w:footnoteRef/>
      </w:r>
      <w:r w:rsidRPr="004F56AC">
        <w:rPr>
          <w:sz w:val="20"/>
          <w:szCs w:val="20"/>
          <w:lang w:val="ru-RU"/>
        </w:rPr>
        <w:t xml:space="preserve"> </w:t>
      </w:r>
      <w:r>
        <w:rPr>
          <w:sz w:val="20"/>
          <w:szCs w:val="20"/>
        </w:rPr>
        <w:t xml:space="preserve">Decree on Decentralized Management of Development Aid of the European Union within the Instrument for Pre-accession </w:t>
      </w:r>
      <w:r w:rsidRPr="004F56AC">
        <w:rPr>
          <w:sz w:val="20"/>
          <w:szCs w:val="20"/>
          <w:lang w:val="ru-RU"/>
        </w:rPr>
        <w:t xml:space="preserve"> </w:t>
      </w:r>
      <w:r>
        <w:rPr>
          <w:sz w:val="20"/>
          <w:szCs w:val="20"/>
        </w:rPr>
        <w:t>(IPA</w:t>
      </w:r>
      <w:r>
        <w:rPr>
          <w:sz w:val="20"/>
          <w:szCs w:val="20"/>
          <w:lang w:val="ru-RU"/>
        </w:rPr>
        <w:t>) (</w:t>
      </w:r>
      <w:r>
        <w:rPr>
          <w:sz w:val="20"/>
          <w:szCs w:val="20"/>
        </w:rPr>
        <w:t>“Official Gazette of RS”, no</w:t>
      </w:r>
      <w:r w:rsidRPr="004F56AC">
        <w:rPr>
          <w:sz w:val="20"/>
          <w:szCs w:val="20"/>
          <w:lang w:val="ru-RU"/>
        </w:rPr>
        <w:t>. 70/11; 49/12)</w:t>
      </w:r>
    </w:p>
  </w:footnote>
  <w:footnote w:id="34">
    <w:p w:rsidR="001C32D9" w:rsidRPr="001C32D9" w:rsidRDefault="001C32D9" w:rsidP="001C32D9">
      <w:pPr>
        <w:pStyle w:val="FootnoteText"/>
        <w:spacing w:before="0" w:after="0" w:line="240" w:lineRule="auto"/>
      </w:pPr>
      <w:r>
        <w:rPr>
          <w:rStyle w:val="FootnoteReference"/>
        </w:rPr>
        <w:footnoteRef/>
      </w:r>
      <w:r>
        <w:t xml:space="preserve"> </w:t>
      </w:r>
      <w:r w:rsidRPr="001C32D9">
        <w:rPr>
          <w:rFonts w:ascii="Times New Roman" w:hAnsi="Times New Roman"/>
        </w:rPr>
        <w:t>Republic of Croatia, Operational Program for Human Resources Development 2007-2011 – second version, 2010.</w:t>
      </w:r>
    </w:p>
  </w:footnote>
  <w:footnote w:id="35">
    <w:p w:rsidR="008227A2" w:rsidRPr="004D067E" w:rsidRDefault="008227A2" w:rsidP="001C32D9">
      <w:pPr>
        <w:spacing w:before="0" w:after="0" w:line="240" w:lineRule="auto"/>
        <w:rPr>
          <w:sz w:val="20"/>
          <w:szCs w:val="20"/>
          <w:lang w:val="sr-Latn-CS"/>
        </w:rPr>
      </w:pPr>
      <w:r w:rsidRPr="004D067E">
        <w:rPr>
          <w:rStyle w:val="FootnoteReference"/>
        </w:rPr>
        <w:footnoteRef/>
      </w:r>
      <w:r>
        <w:rPr>
          <w:rFonts w:eastAsia="Times New Roman"/>
          <w:sz w:val="20"/>
        </w:rPr>
        <w:t>Regulation on the Scope and Content of Responsibilities and the Authorisations of the Bodies Responsible for Management of the Instrument for Pre-accession Assistance (IPA) (Official Gazette No 34/2008).</w:t>
      </w:r>
    </w:p>
  </w:footnote>
  <w:footnote w:id="36">
    <w:p w:rsidR="008227A2" w:rsidRPr="00597853" w:rsidRDefault="008227A2" w:rsidP="00444EA0">
      <w:pPr>
        <w:pStyle w:val="FootnoteText"/>
        <w:spacing w:after="0" w:line="240" w:lineRule="auto"/>
        <w:rPr>
          <w:rFonts w:ascii="Times New Roman" w:hAnsi="Times New Roman"/>
          <w:lang w:val="en-GB"/>
        </w:rPr>
      </w:pPr>
      <w:r w:rsidRPr="00C27283">
        <w:rPr>
          <w:rStyle w:val="FootnoteReference"/>
          <w:lang w:val="en-GB"/>
        </w:rPr>
        <w:footnoteRef/>
      </w:r>
      <w:r w:rsidRPr="00C27283">
        <w:rPr>
          <w:lang w:val="en-GB"/>
        </w:rPr>
        <w:t xml:space="preserve"> </w:t>
      </w:r>
      <w:r w:rsidRPr="00597853">
        <w:rPr>
          <w:rFonts w:ascii="Times New Roman" w:hAnsi="Times New Roman"/>
          <w:lang w:val="en-GB"/>
        </w:rPr>
        <w:t>Government of the Republic of Serbia, First National Report on Social Inclusion and Poverty Reduction in the Republic of Serbia, Belgrade, 2011.</w:t>
      </w:r>
    </w:p>
  </w:footnote>
  <w:footnote w:id="37">
    <w:p w:rsidR="008227A2" w:rsidRPr="00597853" w:rsidRDefault="008227A2" w:rsidP="00895D67">
      <w:pPr>
        <w:pStyle w:val="BodyText"/>
        <w:spacing w:after="0" w:line="100" w:lineRule="atLeast"/>
        <w:rPr>
          <w:rFonts w:eastAsia="Courier" w:cs="Times New Roman"/>
          <w:sz w:val="20"/>
          <w:szCs w:val="20"/>
          <w:lang w:val="en-GB"/>
        </w:rPr>
      </w:pPr>
      <w:r w:rsidRPr="00C27283">
        <w:rPr>
          <w:rStyle w:val="FootnoteReference"/>
          <w:sz w:val="20"/>
          <w:szCs w:val="20"/>
          <w:lang w:val="en-GB"/>
        </w:rPr>
        <w:footnoteRef/>
      </w:r>
      <w:r w:rsidRPr="00C27283">
        <w:rPr>
          <w:sz w:val="20"/>
          <w:szCs w:val="20"/>
          <w:lang w:val="en-GB"/>
        </w:rPr>
        <w:t xml:space="preserve"> </w:t>
      </w:r>
      <w:r w:rsidRPr="00597853">
        <w:rPr>
          <w:rFonts w:cs="Times New Roman"/>
          <w:sz w:val="20"/>
          <w:szCs w:val="20"/>
          <w:lang w:val="en-GB"/>
        </w:rPr>
        <w:t xml:space="preserve">This </w:t>
      </w:r>
      <w:r>
        <w:rPr>
          <w:rFonts w:cs="Times New Roman"/>
          <w:sz w:val="20"/>
          <w:szCs w:val="20"/>
          <w:lang w:val="en-GB"/>
        </w:rPr>
        <w:t>proved to be a</w:t>
      </w:r>
      <w:r w:rsidRPr="00597853">
        <w:rPr>
          <w:rFonts w:cs="Times New Roman"/>
          <w:sz w:val="20"/>
          <w:szCs w:val="20"/>
          <w:lang w:val="en-GB"/>
        </w:rPr>
        <w:t xml:space="preserve"> </w:t>
      </w:r>
      <w:r w:rsidRPr="003C39B4">
        <w:rPr>
          <w:rFonts w:cs="Times New Roman"/>
          <w:sz w:val="20"/>
          <w:szCs w:val="20"/>
          <w:lang w:val="en-GB"/>
        </w:rPr>
        <w:t>trap</w:t>
      </w:r>
      <w:r w:rsidRPr="00597853">
        <w:rPr>
          <w:rFonts w:cs="Times New Roman"/>
          <w:sz w:val="20"/>
          <w:szCs w:val="20"/>
          <w:lang w:val="en-GB"/>
        </w:rPr>
        <w:t xml:space="preserve"> in which the World Bank financed and managed</w:t>
      </w:r>
      <w:r>
        <w:rPr>
          <w:rFonts w:cs="Times New Roman"/>
          <w:sz w:val="20"/>
          <w:szCs w:val="20"/>
          <w:lang w:val="en-GB"/>
        </w:rPr>
        <w:t xml:space="preserve"> the</w:t>
      </w:r>
      <w:r w:rsidRPr="00597853">
        <w:rPr>
          <w:rFonts w:cs="Times New Roman"/>
          <w:sz w:val="20"/>
          <w:szCs w:val="20"/>
          <w:lang w:val="en-GB"/>
        </w:rPr>
        <w:t xml:space="preserve"> Social Investment Funds</w:t>
      </w:r>
      <w:r>
        <w:rPr>
          <w:rFonts w:cs="Times New Roman"/>
          <w:sz w:val="20"/>
          <w:szCs w:val="20"/>
          <w:lang w:val="en-GB"/>
        </w:rPr>
        <w:t>. C</w:t>
      </w:r>
      <w:r w:rsidRPr="00597853">
        <w:rPr>
          <w:rFonts w:cs="Times New Roman"/>
          <w:sz w:val="20"/>
          <w:szCs w:val="20"/>
          <w:lang w:val="en-GB"/>
        </w:rPr>
        <w:t xml:space="preserve">ompare the following reviews: </w:t>
      </w:r>
      <w:r w:rsidRPr="00597853">
        <w:rPr>
          <w:rFonts w:eastAsia="Courier" w:cs="Times New Roman"/>
          <w:sz w:val="20"/>
          <w:szCs w:val="20"/>
          <w:lang w:val="en-GB"/>
        </w:rPr>
        <w:t xml:space="preserve">de Silva, Samantha and June-wei Sum (2008), </w:t>
      </w:r>
      <w:r w:rsidRPr="00597853">
        <w:rPr>
          <w:rFonts w:eastAsia="Courier" w:cs="Times New Roman"/>
          <w:i/>
          <w:iCs/>
          <w:sz w:val="20"/>
          <w:szCs w:val="20"/>
          <w:lang w:val="en-GB"/>
        </w:rPr>
        <w:t>Social Funds as an Instrument of Social Protection: An Analysis of Lending Trends</w:t>
      </w:r>
      <w:r w:rsidRPr="00597853">
        <w:rPr>
          <w:rFonts w:eastAsia="Courier" w:cs="Times New Roman"/>
          <w:sz w:val="20"/>
          <w:szCs w:val="20"/>
          <w:lang w:val="en-GB"/>
        </w:rPr>
        <w:t>, Wash</w:t>
      </w:r>
      <w:r>
        <w:rPr>
          <w:rFonts w:eastAsia="Courier" w:cs="Times New Roman"/>
          <w:sz w:val="20"/>
          <w:szCs w:val="20"/>
          <w:lang w:val="sr-Latn-CS"/>
        </w:rPr>
        <w:t>i</w:t>
      </w:r>
      <w:r w:rsidRPr="00597853">
        <w:rPr>
          <w:rFonts w:eastAsia="Courier" w:cs="Times New Roman"/>
          <w:sz w:val="20"/>
          <w:szCs w:val="20"/>
          <w:lang w:val="en-GB"/>
        </w:rPr>
        <w:t xml:space="preserve">ngton D.C.: The World Bank; Tendler, Judith with Rodrigo Serrano (1999), </w:t>
      </w:r>
      <w:r w:rsidRPr="00597853">
        <w:rPr>
          <w:rFonts w:eastAsia="Courier" w:cs="Times New Roman"/>
          <w:i/>
          <w:iCs/>
          <w:sz w:val="20"/>
          <w:szCs w:val="20"/>
          <w:lang w:val="en-GB"/>
        </w:rPr>
        <w:t>The Rise of Social Funds: What Are They A Model Of?</w:t>
      </w:r>
      <w:r w:rsidRPr="00597853">
        <w:rPr>
          <w:rFonts w:eastAsia="Courier" w:cs="Times New Roman"/>
          <w:sz w:val="20"/>
          <w:szCs w:val="20"/>
          <w:lang w:val="en-GB"/>
        </w:rPr>
        <w:t xml:space="preserve">, New York: MIT and UNDP ; Tendler, Judith (2000), “Why are Social Funds so Popular?”, in Simon J. Evenett, Weiping Wu and Shahid Yusuf (eds), Local Dynamics in an Era of Globalization: 21st Century Catalysts for Development, Washington: World Bank/Oxford University Press; WB (2002), </w:t>
      </w:r>
      <w:r w:rsidRPr="00597853">
        <w:rPr>
          <w:rFonts w:eastAsia="Courier" w:cs="Times New Roman"/>
          <w:i/>
          <w:iCs/>
          <w:sz w:val="20"/>
          <w:szCs w:val="20"/>
          <w:lang w:val="en-GB"/>
        </w:rPr>
        <w:t xml:space="preserve">Social Funds – Assessing Effectiveness, </w:t>
      </w:r>
      <w:r w:rsidRPr="00597853">
        <w:rPr>
          <w:rFonts w:eastAsia="Courier" w:cs="Times New Roman"/>
          <w:sz w:val="20"/>
          <w:szCs w:val="20"/>
          <w:lang w:val="en-GB"/>
        </w:rPr>
        <w:t xml:space="preserve">Washington, D.C.: The World Bank; </w:t>
      </w:r>
      <w:r w:rsidRPr="00597853">
        <w:rPr>
          <w:rFonts w:cs="Times New Roman"/>
          <w:sz w:val="20"/>
          <w:szCs w:val="20"/>
          <w:lang w:val="en-GB"/>
        </w:rPr>
        <w:t>Govaertes, Piet (1998), Employment and Social Investment Funds in Central and Eastern Europe and CIS, Geneve: ILO</w:t>
      </w:r>
      <w:r>
        <w:rPr>
          <w:rFonts w:cs="Times New Roman"/>
          <w:sz w:val="20"/>
          <w:szCs w:val="20"/>
          <w:lang w:val="en-GB"/>
        </w:rPr>
        <w:t>.</w:t>
      </w:r>
    </w:p>
  </w:footnote>
  <w:footnote w:id="38">
    <w:p w:rsidR="008227A2" w:rsidRPr="008772C8" w:rsidRDefault="008227A2" w:rsidP="00701D9F">
      <w:pPr>
        <w:pStyle w:val="FootnoteText"/>
        <w:spacing w:before="0" w:after="0" w:line="240" w:lineRule="auto"/>
        <w:rPr>
          <w:rFonts w:ascii="Times New Roman" w:hAnsi="Times New Roman"/>
          <w:lang w:val="en-US"/>
        </w:rPr>
      </w:pPr>
      <w:r w:rsidRPr="00C653FE">
        <w:rPr>
          <w:rStyle w:val="FootnoteReference"/>
          <w:rFonts w:ascii="Times New Roman" w:hAnsi="Times New Roman"/>
        </w:rPr>
        <w:footnoteRef/>
      </w:r>
      <w:r>
        <w:rPr>
          <w:rFonts w:ascii="Times New Roman" w:hAnsi="Times New Roman"/>
        </w:rPr>
        <w:t xml:space="preserve"> </w:t>
      </w:r>
      <w:r w:rsidRPr="008772C8">
        <w:rPr>
          <w:rFonts w:ascii="Times New Roman" w:hAnsi="Times New Roman"/>
        </w:rPr>
        <w:t xml:space="preserve">Pursuant to Article 20 of the Decree on Decentralized Management of Development Aid of the European Union within the Instrument for Pre-accession </w:t>
      </w:r>
      <w:r w:rsidRPr="008772C8">
        <w:rPr>
          <w:rFonts w:ascii="Times New Roman" w:hAnsi="Times New Roman"/>
          <w:lang w:val="ru-RU"/>
        </w:rPr>
        <w:t xml:space="preserve"> </w:t>
      </w:r>
      <w:r w:rsidRPr="008772C8">
        <w:rPr>
          <w:rFonts w:ascii="Times New Roman" w:hAnsi="Times New Roman"/>
        </w:rPr>
        <w:t>(IPA</w:t>
      </w:r>
      <w:r w:rsidRPr="008772C8">
        <w:rPr>
          <w:rFonts w:ascii="Times New Roman" w:hAnsi="Times New Roman"/>
          <w:lang w:val="ru-RU"/>
        </w:rPr>
        <w:t>) (</w:t>
      </w:r>
      <w:r w:rsidRPr="008772C8">
        <w:rPr>
          <w:rFonts w:ascii="Times New Roman" w:hAnsi="Times New Roman"/>
        </w:rPr>
        <w:t>“Official Gazette of RS”, no</w:t>
      </w:r>
      <w:r w:rsidRPr="008772C8">
        <w:rPr>
          <w:rFonts w:ascii="Times New Roman" w:hAnsi="Times New Roman"/>
          <w:lang w:val="ru-RU"/>
        </w:rPr>
        <w:t>. 70/11; 49/12)</w:t>
      </w:r>
      <w:r w:rsidRPr="008772C8">
        <w:rPr>
          <w:rFonts w:ascii="Times New Roman" w:hAnsi="Times New Roman"/>
          <w:lang w:val="en-US"/>
        </w:rPr>
        <w:t>.</w:t>
      </w:r>
    </w:p>
  </w:footnote>
  <w:footnote w:id="39">
    <w:p w:rsidR="008227A2" w:rsidRPr="00597853" w:rsidRDefault="008227A2" w:rsidP="00444EA0">
      <w:pPr>
        <w:pStyle w:val="FootnoteText"/>
        <w:spacing w:after="0" w:line="240" w:lineRule="auto"/>
        <w:rPr>
          <w:rFonts w:ascii="Times New Roman" w:hAnsi="Times New Roman"/>
        </w:rPr>
      </w:pPr>
      <w:r>
        <w:rPr>
          <w:rStyle w:val="FootnoteReference"/>
        </w:rPr>
        <w:footnoteRef/>
      </w:r>
      <w:r>
        <w:t xml:space="preserve"> </w:t>
      </w:r>
      <w:r w:rsidRPr="00597853">
        <w:rPr>
          <w:rFonts w:ascii="Times New Roman" w:hAnsi="Times New Roman"/>
        </w:rPr>
        <w:t>Following the principle of consolidation, SIF should not entail</w:t>
      </w:r>
      <w:r w:rsidRPr="00597853">
        <w:rPr>
          <w:rFonts w:ascii="Times New Roman" w:hAnsi="Times New Roman"/>
          <w:szCs w:val="22"/>
        </w:rPr>
        <w:t xml:space="preserve"> more funds from the national budget, but contribute to</w:t>
      </w:r>
      <w:r>
        <w:rPr>
          <w:rFonts w:ascii="Times New Roman" w:hAnsi="Times New Roman"/>
          <w:szCs w:val="22"/>
        </w:rPr>
        <w:t xml:space="preserve"> a</w:t>
      </w:r>
      <w:r w:rsidRPr="00597853">
        <w:rPr>
          <w:rFonts w:ascii="Times New Roman" w:hAnsi="Times New Roman"/>
          <w:szCs w:val="22"/>
        </w:rPr>
        <w:t xml:space="preserve"> more effective redistribution and efficient utilisation of existing funds</w:t>
      </w:r>
      <w:r w:rsidRPr="00597853">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A2" w:rsidRDefault="008227A2" w:rsidP="003C7E47">
    <w:pPr>
      <w:pStyle w:val="Header"/>
      <w:ind w:firstLine="1440"/>
    </w:pPr>
  </w:p>
  <w:p w:rsidR="008227A2" w:rsidRDefault="008227A2" w:rsidP="00792DAA">
    <w:pPr>
      <w:pStyle w:val="Header"/>
      <w:ind w:firstLine="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A2" w:rsidRDefault="008227A2" w:rsidP="003C7E47">
    <w:pPr>
      <w:pStyle w:val="Header"/>
      <w:ind w:firstLine="1440"/>
    </w:pPr>
  </w:p>
  <w:p w:rsidR="008227A2" w:rsidRDefault="008227A2" w:rsidP="00792DAA">
    <w:pPr>
      <w:pStyle w:val="Header"/>
      <w:ind w:firstLine="1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843"/>
    <w:multiLevelType w:val="hybridMultilevel"/>
    <w:tmpl w:val="F9B2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853E0"/>
    <w:multiLevelType w:val="hybridMultilevel"/>
    <w:tmpl w:val="0E5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81D67"/>
    <w:multiLevelType w:val="hybridMultilevel"/>
    <w:tmpl w:val="46B8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9C5"/>
    <w:multiLevelType w:val="hybridMultilevel"/>
    <w:tmpl w:val="092C613E"/>
    <w:lvl w:ilvl="0" w:tplc="04090001">
      <w:start w:val="1"/>
      <w:numFmt w:val="bullet"/>
      <w:lvlText w:val=""/>
      <w:lvlJc w:val="left"/>
      <w:pPr>
        <w:ind w:left="1080" w:hanging="720"/>
      </w:pPr>
      <w:rPr>
        <w:rFonts w:ascii="Symbol" w:hAnsi="Symbol" w:hint="default"/>
      </w:rPr>
    </w:lvl>
    <w:lvl w:ilvl="1" w:tplc="102A9FE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F48C9"/>
    <w:multiLevelType w:val="hybridMultilevel"/>
    <w:tmpl w:val="25D4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116B4"/>
    <w:multiLevelType w:val="hybridMultilevel"/>
    <w:tmpl w:val="9AAC2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85120E"/>
    <w:multiLevelType w:val="hybridMultilevel"/>
    <w:tmpl w:val="B8D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A668B"/>
    <w:multiLevelType w:val="hybridMultilevel"/>
    <w:tmpl w:val="4C18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84FFA"/>
    <w:multiLevelType w:val="multilevel"/>
    <w:tmpl w:val="1E2CC38E"/>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29A307E5"/>
    <w:multiLevelType w:val="hybridMultilevel"/>
    <w:tmpl w:val="1B9C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F7A84"/>
    <w:multiLevelType w:val="hybridMultilevel"/>
    <w:tmpl w:val="EBD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A13C4"/>
    <w:multiLevelType w:val="hybridMultilevel"/>
    <w:tmpl w:val="234EF264"/>
    <w:lvl w:ilvl="0" w:tplc="910E2D60">
      <w:start w:val="1"/>
      <w:numFmt w:val="decimal"/>
      <w:lvlText w:val="%1."/>
      <w:lvlJc w:val="left"/>
      <w:pPr>
        <w:ind w:left="720" w:hanging="360"/>
      </w:pPr>
      <w:rPr>
        <w:i w:val="0"/>
      </w:rPr>
    </w:lvl>
    <w:lvl w:ilvl="1" w:tplc="795E88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D1291"/>
    <w:multiLevelType w:val="hybridMultilevel"/>
    <w:tmpl w:val="E9A05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11112B"/>
    <w:multiLevelType w:val="hybridMultilevel"/>
    <w:tmpl w:val="B7C0B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7C7181"/>
    <w:multiLevelType w:val="hybridMultilevel"/>
    <w:tmpl w:val="02C49CC6"/>
    <w:lvl w:ilvl="0" w:tplc="28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A4097C"/>
    <w:multiLevelType w:val="hybridMultilevel"/>
    <w:tmpl w:val="0696F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303928"/>
    <w:multiLevelType w:val="hybridMultilevel"/>
    <w:tmpl w:val="C90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B2D49"/>
    <w:multiLevelType w:val="hybridMultilevel"/>
    <w:tmpl w:val="FCB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E61EC"/>
    <w:multiLevelType w:val="hybridMultilevel"/>
    <w:tmpl w:val="CA02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9D31D2"/>
    <w:multiLevelType w:val="hybridMultilevel"/>
    <w:tmpl w:val="0FCA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B81C24"/>
    <w:multiLevelType w:val="multilevel"/>
    <w:tmpl w:val="C57488FC"/>
    <w:lvl w:ilvl="0">
      <w:start w:val="1"/>
      <w:numFmt w:val="decimal"/>
      <w:pStyle w:val="Heading1"/>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DBF3966"/>
    <w:multiLevelType w:val="hybridMultilevel"/>
    <w:tmpl w:val="915E2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0E12C5"/>
    <w:multiLevelType w:val="hybridMultilevel"/>
    <w:tmpl w:val="689A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82CE2"/>
    <w:multiLevelType w:val="hybridMultilevel"/>
    <w:tmpl w:val="440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E5E72"/>
    <w:multiLevelType w:val="hybridMultilevel"/>
    <w:tmpl w:val="3CE819B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724508D8"/>
    <w:multiLevelType w:val="hybridMultilevel"/>
    <w:tmpl w:val="D3F6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528BA"/>
    <w:multiLevelType w:val="hybridMultilevel"/>
    <w:tmpl w:val="B0D8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F1547"/>
    <w:multiLevelType w:val="hybridMultilevel"/>
    <w:tmpl w:val="8FC62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80633E"/>
    <w:multiLevelType w:val="hybridMultilevel"/>
    <w:tmpl w:val="213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E4234"/>
    <w:multiLevelType w:val="hybridMultilevel"/>
    <w:tmpl w:val="25CA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7"/>
  </w:num>
  <w:num w:numId="5">
    <w:abstractNumId w:val="25"/>
  </w:num>
  <w:num w:numId="6">
    <w:abstractNumId w:val="8"/>
  </w:num>
  <w:num w:numId="7">
    <w:abstractNumId w:val="27"/>
  </w:num>
  <w:num w:numId="8">
    <w:abstractNumId w:val="4"/>
  </w:num>
  <w:num w:numId="9">
    <w:abstractNumId w:val="29"/>
  </w:num>
  <w:num w:numId="10">
    <w:abstractNumId w:val="17"/>
  </w:num>
  <w:num w:numId="11">
    <w:abstractNumId w:val="1"/>
  </w:num>
  <w:num w:numId="12">
    <w:abstractNumId w:val="10"/>
  </w:num>
  <w:num w:numId="13">
    <w:abstractNumId w:val="6"/>
  </w:num>
  <w:num w:numId="14">
    <w:abstractNumId w:val="0"/>
  </w:num>
  <w:num w:numId="15">
    <w:abstractNumId w:val="16"/>
  </w:num>
  <w:num w:numId="16">
    <w:abstractNumId w:val="28"/>
  </w:num>
  <w:num w:numId="17">
    <w:abstractNumId w:val="23"/>
  </w:num>
  <w:num w:numId="18">
    <w:abstractNumId w:val="9"/>
  </w:num>
  <w:num w:numId="19">
    <w:abstractNumId w:val="12"/>
  </w:num>
  <w:num w:numId="20">
    <w:abstractNumId w:val="19"/>
  </w:num>
  <w:num w:numId="21">
    <w:abstractNumId w:val="26"/>
  </w:num>
  <w:num w:numId="22">
    <w:abstractNumId w:val="15"/>
  </w:num>
  <w:num w:numId="23">
    <w:abstractNumId w:val="18"/>
  </w:num>
  <w:num w:numId="24">
    <w:abstractNumId w:val="13"/>
  </w:num>
  <w:num w:numId="25">
    <w:abstractNumId w:val="21"/>
  </w:num>
  <w:num w:numId="26">
    <w:abstractNumId w:val="20"/>
  </w:num>
  <w:num w:numId="27">
    <w:abstractNumId w:val="11"/>
  </w:num>
  <w:num w:numId="28">
    <w:abstractNumId w:val="2"/>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34"/>
    <w:rsid w:val="00001568"/>
    <w:rsid w:val="000016F4"/>
    <w:rsid w:val="00002BD2"/>
    <w:rsid w:val="00003839"/>
    <w:rsid w:val="00003C09"/>
    <w:rsid w:val="00005985"/>
    <w:rsid w:val="00006294"/>
    <w:rsid w:val="00007C82"/>
    <w:rsid w:val="00012498"/>
    <w:rsid w:val="00012BB9"/>
    <w:rsid w:val="00013F10"/>
    <w:rsid w:val="00014E8B"/>
    <w:rsid w:val="000256ED"/>
    <w:rsid w:val="00026132"/>
    <w:rsid w:val="00026901"/>
    <w:rsid w:val="00027216"/>
    <w:rsid w:val="0002771A"/>
    <w:rsid w:val="00027C04"/>
    <w:rsid w:val="00027E80"/>
    <w:rsid w:val="000307D0"/>
    <w:rsid w:val="00033111"/>
    <w:rsid w:val="00037AE0"/>
    <w:rsid w:val="000404B0"/>
    <w:rsid w:val="0004290C"/>
    <w:rsid w:val="00045050"/>
    <w:rsid w:val="00046B06"/>
    <w:rsid w:val="00051207"/>
    <w:rsid w:val="00051497"/>
    <w:rsid w:val="00052E23"/>
    <w:rsid w:val="00055AC8"/>
    <w:rsid w:val="00057AD7"/>
    <w:rsid w:val="000633B4"/>
    <w:rsid w:val="000647A1"/>
    <w:rsid w:val="0006489F"/>
    <w:rsid w:val="0006682A"/>
    <w:rsid w:val="00067BA1"/>
    <w:rsid w:val="00071A91"/>
    <w:rsid w:val="00081BD2"/>
    <w:rsid w:val="00083A64"/>
    <w:rsid w:val="000905D0"/>
    <w:rsid w:val="00092F65"/>
    <w:rsid w:val="0009319E"/>
    <w:rsid w:val="00095DB6"/>
    <w:rsid w:val="000A000F"/>
    <w:rsid w:val="000A51FF"/>
    <w:rsid w:val="000A7C9B"/>
    <w:rsid w:val="000B1432"/>
    <w:rsid w:val="000C3B9B"/>
    <w:rsid w:val="000C73AA"/>
    <w:rsid w:val="000C7F84"/>
    <w:rsid w:val="000D06A5"/>
    <w:rsid w:val="000D14C3"/>
    <w:rsid w:val="000D7A2E"/>
    <w:rsid w:val="000E1273"/>
    <w:rsid w:val="000E2F20"/>
    <w:rsid w:val="000E372E"/>
    <w:rsid w:val="000F1B53"/>
    <w:rsid w:val="000F729C"/>
    <w:rsid w:val="000F754F"/>
    <w:rsid w:val="00101110"/>
    <w:rsid w:val="001011DB"/>
    <w:rsid w:val="00104645"/>
    <w:rsid w:val="00104A79"/>
    <w:rsid w:val="001163B5"/>
    <w:rsid w:val="00117CF0"/>
    <w:rsid w:val="00120CE6"/>
    <w:rsid w:val="00122054"/>
    <w:rsid w:val="001220BC"/>
    <w:rsid w:val="001243DA"/>
    <w:rsid w:val="00124CA4"/>
    <w:rsid w:val="001250AD"/>
    <w:rsid w:val="001312E6"/>
    <w:rsid w:val="00132089"/>
    <w:rsid w:val="0013278C"/>
    <w:rsid w:val="00134760"/>
    <w:rsid w:val="001368A9"/>
    <w:rsid w:val="001405D8"/>
    <w:rsid w:val="0014143E"/>
    <w:rsid w:val="00143809"/>
    <w:rsid w:val="00143876"/>
    <w:rsid w:val="00146DC2"/>
    <w:rsid w:val="00147497"/>
    <w:rsid w:val="0015014B"/>
    <w:rsid w:val="001509B1"/>
    <w:rsid w:val="00153204"/>
    <w:rsid w:val="00155F67"/>
    <w:rsid w:val="00162E58"/>
    <w:rsid w:val="00166C56"/>
    <w:rsid w:val="00167CD3"/>
    <w:rsid w:val="001714E4"/>
    <w:rsid w:val="00171522"/>
    <w:rsid w:val="00171DC5"/>
    <w:rsid w:val="00172F32"/>
    <w:rsid w:val="0018203A"/>
    <w:rsid w:val="00182D71"/>
    <w:rsid w:val="00186AA1"/>
    <w:rsid w:val="001873BD"/>
    <w:rsid w:val="001905F4"/>
    <w:rsid w:val="0019235E"/>
    <w:rsid w:val="00193F06"/>
    <w:rsid w:val="00194001"/>
    <w:rsid w:val="001940AB"/>
    <w:rsid w:val="001941AC"/>
    <w:rsid w:val="00195415"/>
    <w:rsid w:val="00195BBC"/>
    <w:rsid w:val="001A0E58"/>
    <w:rsid w:val="001A18B0"/>
    <w:rsid w:val="001B26A2"/>
    <w:rsid w:val="001B4EE5"/>
    <w:rsid w:val="001B6D33"/>
    <w:rsid w:val="001B7677"/>
    <w:rsid w:val="001C32D9"/>
    <w:rsid w:val="001C5C75"/>
    <w:rsid w:val="001E380D"/>
    <w:rsid w:val="001E5A04"/>
    <w:rsid w:val="001F0E69"/>
    <w:rsid w:val="001F25CD"/>
    <w:rsid w:val="00210D84"/>
    <w:rsid w:val="0021308A"/>
    <w:rsid w:val="002130B3"/>
    <w:rsid w:val="00214553"/>
    <w:rsid w:val="0021646B"/>
    <w:rsid w:val="0022083F"/>
    <w:rsid w:val="00227819"/>
    <w:rsid w:val="00230728"/>
    <w:rsid w:val="002310C6"/>
    <w:rsid w:val="00232BDA"/>
    <w:rsid w:val="00241CE5"/>
    <w:rsid w:val="00253B51"/>
    <w:rsid w:val="00255CF4"/>
    <w:rsid w:val="002578CD"/>
    <w:rsid w:val="0026013E"/>
    <w:rsid w:val="00262861"/>
    <w:rsid w:val="002654FB"/>
    <w:rsid w:val="00270A48"/>
    <w:rsid w:val="00273061"/>
    <w:rsid w:val="00273831"/>
    <w:rsid w:val="00273A1E"/>
    <w:rsid w:val="00273A33"/>
    <w:rsid w:val="00273B50"/>
    <w:rsid w:val="002741FF"/>
    <w:rsid w:val="0027508C"/>
    <w:rsid w:val="002765BF"/>
    <w:rsid w:val="0028042E"/>
    <w:rsid w:val="00285984"/>
    <w:rsid w:val="00293C19"/>
    <w:rsid w:val="00293DA1"/>
    <w:rsid w:val="00297CFA"/>
    <w:rsid w:val="002A4E1E"/>
    <w:rsid w:val="002B06FD"/>
    <w:rsid w:val="002B561C"/>
    <w:rsid w:val="002C0D64"/>
    <w:rsid w:val="002C1F10"/>
    <w:rsid w:val="002D308D"/>
    <w:rsid w:val="002D4571"/>
    <w:rsid w:val="002D742F"/>
    <w:rsid w:val="002F0810"/>
    <w:rsid w:val="002F09DA"/>
    <w:rsid w:val="002F282A"/>
    <w:rsid w:val="002F3095"/>
    <w:rsid w:val="002F3E0E"/>
    <w:rsid w:val="00302DEA"/>
    <w:rsid w:val="00303AD1"/>
    <w:rsid w:val="00304485"/>
    <w:rsid w:val="00305B63"/>
    <w:rsid w:val="003112D1"/>
    <w:rsid w:val="00312991"/>
    <w:rsid w:val="00323215"/>
    <w:rsid w:val="00324431"/>
    <w:rsid w:val="0032498C"/>
    <w:rsid w:val="00325434"/>
    <w:rsid w:val="00327D69"/>
    <w:rsid w:val="00330BBB"/>
    <w:rsid w:val="0034499A"/>
    <w:rsid w:val="00345410"/>
    <w:rsid w:val="00345B73"/>
    <w:rsid w:val="00346647"/>
    <w:rsid w:val="00346ED8"/>
    <w:rsid w:val="003470EB"/>
    <w:rsid w:val="0034717C"/>
    <w:rsid w:val="00351681"/>
    <w:rsid w:val="00352A6A"/>
    <w:rsid w:val="00354E01"/>
    <w:rsid w:val="00360BA6"/>
    <w:rsid w:val="00366906"/>
    <w:rsid w:val="00366E2A"/>
    <w:rsid w:val="00371E0E"/>
    <w:rsid w:val="00376150"/>
    <w:rsid w:val="003777DC"/>
    <w:rsid w:val="003819D5"/>
    <w:rsid w:val="00384490"/>
    <w:rsid w:val="0038637C"/>
    <w:rsid w:val="003867E2"/>
    <w:rsid w:val="00386A22"/>
    <w:rsid w:val="00386E9B"/>
    <w:rsid w:val="00387100"/>
    <w:rsid w:val="00390A03"/>
    <w:rsid w:val="003914E7"/>
    <w:rsid w:val="003929B7"/>
    <w:rsid w:val="003932D9"/>
    <w:rsid w:val="00395DF4"/>
    <w:rsid w:val="003963E3"/>
    <w:rsid w:val="003A0A0A"/>
    <w:rsid w:val="003A0B88"/>
    <w:rsid w:val="003A0D6B"/>
    <w:rsid w:val="003A1505"/>
    <w:rsid w:val="003A2A7D"/>
    <w:rsid w:val="003B00C9"/>
    <w:rsid w:val="003B596F"/>
    <w:rsid w:val="003B61BB"/>
    <w:rsid w:val="003C00C9"/>
    <w:rsid w:val="003C1A20"/>
    <w:rsid w:val="003C297A"/>
    <w:rsid w:val="003C3078"/>
    <w:rsid w:val="003C39B4"/>
    <w:rsid w:val="003C7E47"/>
    <w:rsid w:val="003D1C1D"/>
    <w:rsid w:val="003D2BBB"/>
    <w:rsid w:val="003D3EA9"/>
    <w:rsid w:val="003D5485"/>
    <w:rsid w:val="003E17AD"/>
    <w:rsid w:val="003E78D7"/>
    <w:rsid w:val="003F1519"/>
    <w:rsid w:val="003F2A98"/>
    <w:rsid w:val="003F3005"/>
    <w:rsid w:val="003F46F1"/>
    <w:rsid w:val="003F581A"/>
    <w:rsid w:val="003F7538"/>
    <w:rsid w:val="004041CE"/>
    <w:rsid w:val="004058E7"/>
    <w:rsid w:val="00406294"/>
    <w:rsid w:val="00407B40"/>
    <w:rsid w:val="0041299C"/>
    <w:rsid w:val="00412B71"/>
    <w:rsid w:val="00416612"/>
    <w:rsid w:val="00417A27"/>
    <w:rsid w:val="00420574"/>
    <w:rsid w:val="00422B17"/>
    <w:rsid w:val="00423240"/>
    <w:rsid w:val="00423675"/>
    <w:rsid w:val="00423D1F"/>
    <w:rsid w:val="00425218"/>
    <w:rsid w:val="00431B40"/>
    <w:rsid w:val="00432D81"/>
    <w:rsid w:val="00437672"/>
    <w:rsid w:val="00441903"/>
    <w:rsid w:val="00444EA0"/>
    <w:rsid w:val="00445194"/>
    <w:rsid w:val="00445EBC"/>
    <w:rsid w:val="004472B9"/>
    <w:rsid w:val="00451AAB"/>
    <w:rsid w:val="004520E8"/>
    <w:rsid w:val="004564A1"/>
    <w:rsid w:val="00460BF5"/>
    <w:rsid w:val="00470389"/>
    <w:rsid w:val="0047186A"/>
    <w:rsid w:val="004779D0"/>
    <w:rsid w:val="00484581"/>
    <w:rsid w:val="00487922"/>
    <w:rsid w:val="00491311"/>
    <w:rsid w:val="0049586B"/>
    <w:rsid w:val="0049691E"/>
    <w:rsid w:val="004A0712"/>
    <w:rsid w:val="004A10E2"/>
    <w:rsid w:val="004A5C50"/>
    <w:rsid w:val="004B29DB"/>
    <w:rsid w:val="004B3861"/>
    <w:rsid w:val="004B45FF"/>
    <w:rsid w:val="004B50FD"/>
    <w:rsid w:val="004B79E4"/>
    <w:rsid w:val="004B7C20"/>
    <w:rsid w:val="004C1053"/>
    <w:rsid w:val="004C3D09"/>
    <w:rsid w:val="004C6534"/>
    <w:rsid w:val="004D013C"/>
    <w:rsid w:val="004D561A"/>
    <w:rsid w:val="004D7000"/>
    <w:rsid w:val="004E3AF4"/>
    <w:rsid w:val="004F4ED8"/>
    <w:rsid w:val="004F6493"/>
    <w:rsid w:val="004F7008"/>
    <w:rsid w:val="00500199"/>
    <w:rsid w:val="00501C74"/>
    <w:rsid w:val="0050248F"/>
    <w:rsid w:val="0050267A"/>
    <w:rsid w:val="0050273A"/>
    <w:rsid w:val="00506CB1"/>
    <w:rsid w:val="005070EC"/>
    <w:rsid w:val="00507788"/>
    <w:rsid w:val="00513AE7"/>
    <w:rsid w:val="00517A3C"/>
    <w:rsid w:val="00523108"/>
    <w:rsid w:val="00524338"/>
    <w:rsid w:val="00534726"/>
    <w:rsid w:val="005356D8"/>
    <w:rsid w:val="00541EC7"/>
    <w:rsid w:val="00543594"/>
    <w:rsid w:val="0054409B"/>
    <w:rsid w:val="005441E6"/>
    <w:rsid w:val="00544489"/>
    <w:rsid w:val="00553FFC"/>
    <w:rsid w:val="00555B5D"/>
    <w:rsid w:val="00556243"/>
    <w:rsid w:val="00557B20"/>
    <w:rsid w:val="00557CE1"/>
    <w:rsid w:val="00564483"/>
    <w:rsid w:val="0057480C"/>
    <w:rsid w:val="00585C37"/>
    <w:rsid w:val="005909A6"/>
    <w:rsid w:val="00590FC8"/>
    <w:rsid w:val="005918A5"/>
    <w:rsid w:val="00591FE9"/>
    <w:rsid w:val="005965E3"/>
    <w:rsid w:val="00596EA4"/>
    <w:rsid w:val="00597853"/>
    <w:rsid w:val="005A1427"/>
    <w:rsid w:val="005A3C3A"/>
    <w:rsid w:val="005A5809"/>
    <w:rsid w:val="005A6F21"/>
    <w:rsid w:val="005B06A9"/>
    <w:rsid w:val="005B2678"/>
    <w:rsid w:val="005B2BE0"/>
    <w:rsid w:val="005B2D70"/>
    <w:rsid w:val="005B5F57"/>
    <w:rsid w:val="005B63D0"/>
    <w:rsid w:val="005C03C7"/>
    <w:rsid w:val="005C0408"/>
    <w:rsid w:val="005C0A08"/>
    <w:rsid w:val="005C2AF1"/>
    <w:rsid w:val="005C3C49"/>
    <w:rsid w:val="005C4E58"/>
    <w:rsid w:val="005C6135"/>
    <w:rsid w:val="005D0980"/>
    <w:rsid w:val="005D15BD"/>
    <w:rsid w:val="005D15ED"/>
    <w:rsid w:val="005D2F1D"/>
    <w:rsid w:val="005D483B"/>
    <w:rsid w:val="005D73A6"/>
    <w:rsid w:val="005E10EB"/>
    <w:rsid w:val="005E2834"/>
    <w:rsid w:val="005E3081"/>
    <w:rsid w:val="005E341F"/>
    <w:rsid w:val="005E4C20"/>
    <w:rsid w:val="005E51E2"/>
    <w:rsid w:val="005E5BCF"/>
    <w:rsid w:val="005E7D2A"/>
    <w:rsid w:val="005F1A49"/>
    <w:rsid w:val="005F2B48"/>
    <w:rsid w:val="005F5E7A"/>
    <w:rsid w:val="005F6835"/>
    <w:rsid w:val="006022B9"/>
    <w:rsid w:val="00602805"/>
    <w:rsid w:val="00603533"/>
    <w:rsid w:val="006039C7"/>
    <w:rsid w:val="00606550"/>
    <w:rsid w:val="00614D5D"/>
    <w:rsid w:val="0061613F"/>
    <w:rsid w:val="00624258"/>
    <w:rsid w:val="00625D10"/>
    <w:rsid w:val="00634E06"/>
    <w:rsid w:val="006415D6"/>
    <w:rsid w:val="006419FF"/>
    <w:rsid w:val="00642E5A"/>
    <w:rsid w:val="0064606C"/>
    <w:rsid w:val="0064679C"/>
    <w:rsid w:val="00651A1A"/>
    <w:rsid w:val="00653CCD"/>
    <w:rsid w:val="00654962"/>
    <w:rsid w:val="00661CBA"/>
    <w:rsid w:val="006620B7"/>
    <w:rsid w:val="00662711"/>
    <w:rsid w:val="00667971"/>
    <w:rsid w:val="006769C7"/>
    <w:rsid w:val="00676F32"/>
    <w:rsid w:val="00681568"/>
    <w:rsid w:val="00687897"/>
    <w:rsid w:val="006927AF"/>
    <w:rsid w:val="0069416F"/>
    <w:rsid w:val="006A0455"/>
    <w:rsid w:val="006A3910"/>
    <w:rsid w:val="006A5AEB"/>
    <w:rsid w:val="006A798A"/>
    <w:rsid w:val="006B032E"/>
    <w:rsid w:val="006B0D77"/>
    <w:rsid w:val="006B24E3"/>
    <w:rsid w:val="006B2864"/>
    <w:rsid w:val="006B5387"/>
    <w:rsid w:val="006B55E2"/>
    <w:rsid w:val="006B56C9"/>
    <w:rsid w:val="006B6081"/>
    <w:rsid w:val="006B7850"/>
    <w:rsid w:val="006C5F72"/>
    <w:rsid w:val="006C63AF"/>
    <w:rsid w:val="006C64D9"/>
    <w:rsid w:val="006D31D3"/>
    <w:rsid w:val="006D563E"/>
    <w:rsid w:val="006E74B3"/>
    <w:rsid w:val="006F2042"/>
    <w:rsid w:val="006F2F34"/>
    <w:rsid w:val="006F3E1C"/>
    <w:rsid w:val="006F406A"/>
    <w:rsid w:val="00701D9F"/>
    <w:rsid w:val="00704699"/>
    <w:rsid w:val="00707A1E"/>
    <w:rsid w:val="00711DAD"/>
    <w:rsid w:val="0071523B"/>
    <w:rsid w:val="00715D63"/>
    <w:rsid w:val="00716EDF"/>
    <w:rsid w:val="0072439E"/>
    <w:rsid w:val="00726089"/>
    <w:rsid w:val="007301EC"/>
    <w:rsid w:val="007371D9"/>
    <w:rsid w:val="00740CE1"/>
    <w:rsid w:val="00752269"/>
    <w:rsid w:val="00753641"/>
    <w:rsid w:val="00757089"/>
    <w:rsid w:val="007601F1"/>
    <w:rsid w:val="00760442"/>
    <w:rsid w:val="007636A6"/>
    <w:rsid w:val="0076711A"/>
    <w:rsid w:val="00770ECE"/>
    <w:rsid w:val="0077357E"/>
    <w:rsid w:val="0077633E"/>
    <w:rsid w:val="00783DE7"/>
    <w:rsid w:val="00787C82"/>
    <w:rsid w:val="00792DAA"/>
    <w:rsid w:val="0079527F"/>
    <w:rsid w:val="007A18F4"/>
    <w:rsid w:val="007B1416"/>
    <w:rsid w:val="007B1B77"/>
    <w:rsid w:val="007B38B4"/>
    <w:rsid w:val="007B554E"/>
    <w:rsid w:val="007B6997"/>
    <w:rsid w:val="007C2159"/>
    <w:rsid w:val="007C2437"/>
    <w:rsid w:val="007C4239"/>
    <w:rsid w:val="007C5425"/>
    <w:rsid w:val="007D005A"/>
    <w:rsid w:val="007D5276"/>
    <w:rsid w:val="007D6387"/>
    <w:rsid w:val="007D76A7"/>
    <w:rsid w:val="007E1FB2"/>
    <w:rsid w:val="007E2705"/>
    <w:rsid w:val="007E467B"/>
    <w:rsid w:val="007E4746"/>
    <w:rsid w:val="007E630C"/>
    <w:rsid w:val="007E7CBC"/>
    <w:rsid w:val="007F6285"/>
    <w:rsid w:val="00800B85"/>
    <w:rsid w:val="00801862"/>
    <w:rsid w:val="00801AB9"/>
    <w:rsid w:val="00811D67"/>
    <w:rsid w:val="008175B9"/>
    <w:rsid w:val="008227A2"/>
    <w:rsid w:val="0082494F"/>
    <w:rsid w:val="00825124"/>
    <w:rsid w:val="00825384"/>
    <w:rsid w:val="00825954"/>
    <w:rsid w:val="0082695F"/>
    <w:rsid w:val="00833871"/>
    <w:rsid w:val="00835F99"/>
    <w:rsid w:val="008417C8"/>
    <w:rsid w:val="00841BE4"/>
    <w:rsid w:val="00842B69"/>
    <w:rsid w:val="008431C4"/>
    <w:rsid w:val="008432C8"/>
    <w:rsid w:val="00854DA0"/>
    <w:rsid w:val="00862447"/>
    <w:rsid w:val="00862F14"/>
    <w:rsid w:val="008671D9"/>
    <w:rsid w:val="00870BCA"/>
    <w:rsid w:val="00873471"/>
    <w:rsid w:val="008740CB"/>
    <w:rsid w:val="0087654B"/>
    <w:rsid w:val="00876D33"/>
    <w:rsid w:val="008772C8"/>
    <w:rsid w:val="00877B69"/>
    <w:rsid w:val="00884A49"/>
    <w:rsid w:val="008867BF"/>
    <w:rsid w:val="0089099C"/>
    <w:rsid w:val="0089222C"/>
    <w:rsid w:val="008947D1"/>
    <w:rsid w:val="00895D67"/>
    <w:rsid w:val="008A224F"/>
    <w:rsid w:val="008A29F6"/>
    <w:rsid w:val="008A5061"/>
    <w:rsid w:val="008B263C"/>
    <w:rsid w:val="008C08A9"/>
    <w:rsid w:val="008C1E97"/>
    <w:rsid w:val="008C3311"/>
    <w:rsid w:val="008C4D9D"/>
    <w:rsid w:val="008C59E3"/>
    <w:rsid w:val="008C6EA3"/>
    <w:rsid w:val="008C74D5"/>
    <w:rsid w:val="008D0390"/>
    <w:rsid w:val="008D03FA"/>
    <w:rsid w:val="008D0623"/>
    <w:rsid w:val="008D1B10"/>
    <w:rsid w:val="008D73D6"/>
    <w:rsid w:val="008D7F66"/>
    <w:rsid w:val="008E00AF"/>
    <w:rsid w:val="008E0B7A"/>
    <w:rsid w:val="008E1084"/>
    <w:rsid w:val="008E56AE"/>
    <w:rsid w:val="008E5F07"/>
    <w:rsid w:val="008E759D"/>
    <w:rsid w:val="008E764F"/>
    <w:rsid w:val="008E7C64"/>
    <w:rsid w:val="008F4572"/>
    <w:rsid w:val="008F56B0"/>
    <w:rsid w:val="008F641D"/>
    <w:rsid w:val="00905159"/>
    <w:rsid w:val="00915234"/>
    <w:rsid w:val="00916B84"/>
    <w:rsid w:val="00920D5A"/>
    <w:rsid w:val="00923FD5"/>
    <w:rsid w:val="00925C47"/>
    <w:rsid w:val="0092798C"/>
    <w:rsid w:val="009332A6"/>
    <w:rsid w:val="00933999"/>
    <w:rsid w:val="00933BFE"/>
    <w:rsid w:val="00934050"/>
    <w:rsid w:val="00935352"/>
    <w:rsid w:val="009354CB"/>
    <w:rsid w:val="009372F8"/>
    <w:rsid w:val="00940AD8"/>
    <w:rsid w:val="009437CB"/>
    <w:rsid w:val="009464F9"/>
    <w:rsid w:val="00947751"/>
    <w:rsid w:val="009508D6"/>
    <w:rsid w:val="009536CA"/>
    <w:rsid w:val="009538F0"/>
    <w:rsid w:val="009568A0"/>
    <w:rsid w:val="00956EDC"/>
    <w:rsid w:val="00961C4E"/>
    <w:rsid w:val="00964B52"/>
    <w:rsid w:val="009652D6"/>
    <w:rsid w:val="00976D3F"/>
    <w:rsid w:val="00981BB8"/>
    <w:rsid w:val="00981F83"/>
    <w:rsid w:val="00982B80"/>
    <w:rsid w:val="00983B1D"/>
    <w:rsid w:val="00986B5E"/>
    <w:rsid w:val="009871A6"/>
    <w:rsid w:val="0098778D"/>
    <w:rsid w:val="0099054C"/>
    <w:rsid w:val="009A1CE8"/>
    <w:rsid w:val="009A28D8"/>
    <w:rsid w:val="009A49A6"/>
    <w:rsid w:val="009A5953"/>
    <w:rsid w:val="009B3ACE"/>
    <w:rsid w:val="009B5B7F"/>
    <w:rsid w:val="009B67CF"/>
    <w:rsid w:val="009C5983"/>
    <w:rsid w:val="009D0B3F"/>
    <w:rsid w:val="009D11E9"/>
    <w:rsid w:val="009D2A67"/>
    <w:rsid w:val="009D4900"/>
    <w:rsid w:val="009D77CF"/>
    <w:rsid w:val="009E0E4B"/>
    <w:rsid w:val="009E0ED4"/>
    <w:rsid w:val="009E1649"/>
    <w:rsid w:val="009E237D"/>
    <w:rsid w:val="009E33C6"/>
    <w:rsid w:val="009E7673"/>
    <w:rsid w:val="009E7F08"/>
    <w:rsid w:val="009F2EBB"/>
    <w:rsid w:val="009F36AF"/>
    <w:rsid w:val="009F7759"/>
    <w:rsid w:val="009F79C2"/>
    <w:rsid w:val="00A00D19"/>
    <w:rsid w:val="00A04195"/>
    <w:rsid w:val="00A05CC8"/>
    <w:rsid w:val="00A06299"/>
    <w:rsid w:val="00A07B29"/>
    <w:rsid w:val="00A12F9A"/>
    <w:rsid w:val="00A14D94"/>
    <w:rsid w:val="00A1702C"/>
    <w:rsid w:val="00A17CBB"/>
    <w:rsid w:val="00A2007C"/>
    <w:rsid w:val="00A204B8"/>
    <w:rsid w:val="00A20C59"/>
    <w:rsid w:val="00A21A85"/>
    <w:rsid w:val="00A21EC6"/>
    <w:rsid w:val="00A222FB"/>
    <w:rsid w:val="00A22D05"/>
    <w:rsid w:val="00A2364F"/>
    <w:rsid w:val="00A254FA"/>
    <w:rsid w:val="00A30A9B"/>
    <w:rsid w:val="00A340B4"/>
    <w:rsid w:val="00A36C84"/>
    <w:rsid w:val="00A45396"/>
    <w:rsid w:val="00A45A9D"/>
    <w:rsid w:val="00A46908"/>
    <w:rsid w:val="00A474AD"/>
    <w:rsid w:val="00A50904"/>
    <w:rsid w:val="00A51DD4"/>
    <w:rsid w:val="00A60D07"/>
    <w:rsid w:val="00A61FE1"/>
    <w:rsid w:val="00A6529C"/>
    <w:rsid w:val="00A71E83"/>
    <w:rsid w:val="00A745DE"/>
    <w:rsid w:val="00A76CBD"/>
    <w:rsid w:val="00A82FBA"/>
    <w:rsid w:val="00A83D70"/>
    <w:rsid w:val="00A86586"/>
    <w:rsid w:val="00A870FE"/>
    <w:rsid w:val="00A923F6"/>
    <w:rsid w:val="00A93EAC"/>
    <w:rsid w:val="00A944D3"/>
    <w:rsid w:val="00A9753B"/>
    <w:rsid w:val="00AA2573"/>
    <w:rsid w:val="00AA37D5"/>
    <w:rsid w:val="00AA5F9B"/>
    <w:rsid w:val="00AA72D3"/>
    <w:rsid w:val="00AA7C8C"/>
    <w:rsid w:val="00AB3FAF"/>
    <w:rsid w:val="00AB7122"/>
    <w:rsid w:val="00AB784F"/>
    <w:rsid w:val="00AC3CF5"/>
    <w:rsid w:val="00AD4724"/>
    <w:rsid w:val="00AE165D"/>
    <w:rsid w:val="00AE1884"/>
    <w:rsid w:val="00AE1969"/>
    <w:rsid w:val="00AE2D76"/>
    <w:rsid w:val="00AE51E1"/>
    <w:rsid w:val="00AE61B3"/>
    <w:rsid w:val="00AE703D"/>
    <w:rsid w:val="00AE734E"/>
    <w:rsid w:val="00AE7AF9"/>
    <w:rsid w:val="00AF3700"/>
    <w:rsid w:val="00AF4004"/>
    <w:rsid w:val="00B0057D"/>
    <w:rsid w:val="00B00A37"/>
    <w:rsid w:val="00B01CF2"/>
    <w:rsid w:val="00B04284"/>
    <w:rsid w:val="00B0431F"/>
    <w:rsid w:val="00B0434D"/>
    <w:rsid w:val="00B075AD"/>
    <w:rsid w:val="00B11053"/>
    <w:rsid w:val="00B114DF"/>
    <w:rsid w:val="00B13AA4"/>
    <w:rsid w:val="00B1571C"/>
    <w:rsid w:val="00B15BBF"/>
    <w:rsid w:val="00B17A9C"/>
    <w:rsid w:val="00B2309A"/>
    <w:rsid w:val="00B241F7"/>
    <w:rsid w:val="00B249E3"/>
    <w:rsid w:val="00B24D36"/>
    <w:rsid w:val="00B2548F"/>
    <w:rsid w:val="00B26241"/>
    <w:rsid w:val="00B27EFB"/>
    <w:rsid w:val="00B31760"/>
    <w:rsid w:val="00B37180"/>
    <w:rsid w:val="00B5031B"/>
    <w:rsid w:val="00B509AB"/>
    <w:rsid w:val="00B52860"/>
    <w:rsid w:val="00B53CE9"/>
    <w:rsid w:val="00B53F63"/>
    <w:rsid w:val="00B55465"/>
    <w:rsid w:val="00B5789D"/>
    <w:rsid w:val="00B612FD"/>
    <w:rsid w:val="00B62020"/>
    <w:rsid w:val="00B62C4A"/>
    <w:rsid w:val="00B65320"/>
    <w:rsid w:val="00B67BC7"/>
    <w:rsid w:val="00B711A7"/>
    <w:rsid w:val="00B7459D"/>
    <w:rsid w:val="00B74DA9"/>
    <w:rsid w:val="00B807E5"/>
    <w:rsid w:val="00B835A8"/>
    <w:rsid w:val="00B86772"/>
    <w:rsid w:val="00B87B7E"/>
    <w:rsid w:val="00B90CC8"/>
    <w:rsid w:val="00BA0BD7"/>
    <w:rsid w:val="00BA4BCA"/>
    <w:rsid w:val="00BA6C70"/>
    <w:rsid w:val="00BA6FEB"/>
    <w:rsid w:val="00BA7D77"/>
    <w:rsid w:val="00BB025E"/>
    <w:rsid w:val="00BB143E"/>
    <w:rsid w:val="00BB2FF5"/>
    <w:rsid w:val="00BB43D8"/>
    <w:rsid w:val="00BB53BE"/>
    <w:rsid w:val="00BC10A2"/>
    <w:rsid w:val="00BC40AB"/>
    <w:rsid w:val="00BD020E"/>
    <w:rsid w:val="00BD3074"/>
    <w:rsid w:val="00BD370D"/>
    <w:rsid w:val="00BD4CA3"/>
    <w:rsid w:val="00BD51C8"/>
    <w:rsid w:val="00BD5449"/>
    <w:rsid w:val="00BD65C9"/>
    <w:rsid w:val="00BD6725"/>
    <w:rsid w:val="00BE158A"/>
    <w:rsid w:val="00BE54D4"/>
    <w:rsid w:val="00BE5D5B"/>
    <w:rsid w:val="00BF0553"/>
    <w:rsid w:val="00BF1DFD"/>
    <w:rsid w:val="00BF2F94"/>
    <w:rsid w:val="00BF3795"/>
    <w:rsid w:val="00BF5640"/>
    <w:rsid w:val="00BF6D2C"/>
    <w:rsid w:val="00BF7C49"/>
    <w:rsid w:val="00C015D3"/>
    <w:rsid w:val="00C103EB"/>
    <w:rsid w:val="00C119C5"/>
    <w:rsid w:val="00C1380E"/>
    <w:rsid w:val="00C14BBC"/>
    <w:rsid w:val="00C158D0"/>
    <w:rsid w:val="00C15BBB"/>
    <w:rsid w:val="00C16767"/>
    <w:rsid w:val="00C1731E"/>
    <w:rsid w:val="00C20466"/>
    <w:rsid w:val="00C2153E"/>
    <w:rsid w:val="00C23FD8"/>
    <w:rsid w:val="00C24746"/>
    <w:rsid w:val="00C24E62"/>
    <w:rsid w:val="00C27283"/>
    <w:rsid w:val="00C27823"/>
    <w:rsid w:val="00C27BDB"/>
    <w:rsid w:val="00C302BB"/>
    <w:rsid w:val="00C30697"/>
    <w:rsid w:val="00C30A38"/>
    <w:rsid w:val="00C329F2"/>
    <w:rsid w:val="00C3520D"/>
    <w:rsid w:val="00C46E6E"/>
    <w:rsid w:val="00C46F98"/>
    <w:rsid w:val="00C5277A"/>
    <w:rsid w:val="00C54A39"/>
    <w:rsid w:val="00C564B2"/>
    <w:rsid w:val="00C56E0D"/>
    <w:rsid w:val="00C57659"/>
    <w:rsid w:val="00C61538"/>
    <w:rsid w:val="00C62A01"/>
    <w:rsid w:val="00C66520"/>
    <w:rsid w:val="00C66ECB"/>
    <w:rsid w:val="00C74F2C"/>
    <w:rsid w:val="00C8420E"/>
    <w:rsid w:val="00C86159"/>
    <w:rsid w:val="00C872B6"/>
    <w:rsid w:val="00C96162"/>
    <w:rsid w:val="00C96655"/>
    <w:rsid w:val="00C97638"/>
    <w:rsid w:val="00CA0960"/>
    <w:rsid w:val="00CA2C1B"/>
    <w:rsid w:val="00CA3524"/>
    <w:rsid w:val="00CA36CD"/>
    <w:rsid w:val="00CA6879"/>
    <w:rsid w:val="00CB3FA7"/>
    <w:rsid w:val="00CB4896"/>
    <w:rsid w:val="00CB5597"/>
    <w:rsid w:val="00CB7AC1"/>
    <w:rsid w:val="00CC1ED6"/>
    <w:rsid w:val="00CC376B"/>
    <w:rsid w:val="00CC46C3"/>
    <w:rsid w:val="00CC55CC"/>
    <w:rsid w:val="00CD1E75"/>
    <w:rsid w:val="00CD21B6"/>
    <w:rsid w:val="00CD7943"/>
    <w:rsid w:val="00CE0DD0"/>
    <w:rsid w:val="00CE1964"/>
    <w:rsid w:val="00CE580C"/>
    <w:rsid w:val="00CE5C37"/>
    <w:rsid w:val="00CE6755"/>
    <w:rsid w:val="00CF2DD0"/>
    <w:rsid w:val="00CF3769"/>
    <w:rsid w:val="00D00104"/>
    <w:rsid w:val="00D00969"/>
    <w:rsid w:val="00D01FDB"/>
    <w:rsid w:val="00D035A4"/>
    <w:rsid w:val="00D039AF"/>
    <w:rsid w:val="00D05701"/>
    <w:rsid w:val="00D058DD"/>
    <w:rsid w:val="00D06842"/>
    <w:rsid w:val="00D11214"/>
    <w:rsid w:val="00D11AB2"/>
    <w:rsid w:val="00D128AF"/>
    <w:rsid w:val="00D17F01"/>
    <w:rsid w:val="00D216F0"/>
    <w:rsid w:val="00D2338B"/>
    <w:rsid w:val="00D27C47"/>
    <w:rsid w:val="00D3051C"/>
    <w:rsid w:val="00D31FC4"/>
    <w:rsid w:val="00D348D2"/>
    <w:rsid w:val="00D400A3"/>
    <w:rsid w:val="00D42A2A"/>
    <w:rsid w:val="00D42F6B"/>
    <w:rsid w:val="00D43FE7"/>
    <w:rsid w:val="00D447AA"/>
    <w:rsid w:val="00D506D4"/>
    <w:rsid w:val="00D51241"/>
    <w:rsid w:val="00D5220A"/>
    <w:rsid w:val="00D52ADC"/>
    <w:rsid w:val="00D52D3B"/>
    <w:rsid w:val="00D56E5E"/>
    <w:rsid w:val="00D6026F"/>
    <w:rsid w:val="00D60F08"/>
    <w:rsid w:val="00D715EF"/>
    <w:rsid w:val="00D71FDD"/>
    <w:rsid w:val="00D732C1"/>
    <w:rsid w:val="00D769FD"/>
    <w:rsid w:val="00D81A92"/>
    <w:rsid w:val="00D8321B"/>
    <w:rsid w:val="00D833D8"/>
    <w:rsid w:val="00D85B04"/>
    <w:rsid w:val="00D91012"/>
    <w:rsid w:val="00D91C26"/>
    <w:rsid w:val="00D9325A"/>
    <w:rsid w:val="00D93612"/>
    <w:rsid w:val="00D93F68"/>
    <w:rsid w:val="00D95C3D"/>
    <w:rsid w:val="00D964DB"/>
    <w:rsid w:val="00DA0A0F"/>
    <w:rsid w:val="00DA5C66"/>
    <w:rsid w:val="00DB2113"/>
    <w:rsid w:val="00DB6496"/>
    <w:rsid w:val="00DC30B3"/>
    <w:rsid w:val="00DC4966"/>
    <w:rsid w:val="00DD0F34"/>
    <w:rsid w:val="00DD155A"/>
    <w:rsid w:val="00DD155C"/>
    <w:rsid w:val="00DD21D7"/>
    <w:rsid w:val="00DD21F8"/>
    <w:rsid w:val="00DD2C7E"/>
    <w:rsid w:val="00DE44FA"/>
    <w:rsid w:val="00DE5250"/>
    <w:rsid w:val="00DE5F4B"/>
    <w:rsid w:val="00DF0C0B"/>
    <w:rsid w:val="00E004B4"/>
    <w:rsid w:val="00E0152C"/>
    <w:rsid w:val="00E01E10"/>
    <w:rsid w:val="00E03838"/>
    <w:rsid w:val="00E053ED"/>
    <w:rsid w:val="00E10D96"/>
    <w:rsid w:val="00E11CAE"/>
    <w:rsid w:val="00E12C15"/>
    <w:rsid w:val="00E1467A"/>
    <w:rsid w:val="00E153F0"/>
    <w:rsid w:val="00E15E55"/>
    <w:rsid w:val="00E1620D"/>
    <w:rsid w:val="00E166E1"/>
    <w:rsid w:val="00E16A6B"/>
    <w:rsid w:val="00E17E79"/>
    <w:rsid w:val="00E2526E"/>
    <w:rsid w:val="00E264E6"/>
    <w:rsid w:val="00E26FB8"/>
    <w:rsid w:val="00E32B57"/>
    <w:rsid w:val="00E3445D"/>
    <w:rsid w:val="00E37796"/>
    <w:rsid w:val="00E4500B"/>
    <w:rsid w:val="00E46CBC"/>
    <w:rsid w:val="00E46D2C"/>
    <w:rsid w:val="00E47834"/>
    <w:rsid w:val="00E51A6E"/>
    <w:rsid w:val="00E52D41"/>
    <w:rsid w:val="00E57B9C"/>
    <w:rsid w:val="00E616C9"/>
    <w:rsid w:val="00E638EA"/>
    <w:rsid w:val="00E65186"/>
    <w:rsid w:val="00E67148"/>
    <w:rsid w:val="00E70705"/>
    <w:rsid w:val="00E707C1"/>
    <w:rsid w:val="00E70838"/>
    <w:rsid w:val="00E765F0"/>
    <w:rsid w:val="00E804B7"/>
    <w:rsid w:val="00E85913"/>
    <w:rsid w:val="00E864E1"/>
    <w:rsid w:val="00E90793"/>
    <w:rsid w:val="00E909EF"/>
    <w:rsid w:val="00E91057"/>
    <w:rsid w:val="00E93AA7"/>
    <w:rsid w:val="00E93BDB"/>
    <w:rsid w:val="00E93FD6"/>
    <w:rsid w:val="00EA1FD4"/>
    <w:rsid w:val="00EA2511"/>
    <w:rsid w:val="00EA7441"/>
    <w:rsid w:val="00EA7954"/>
    <w:rsid w:val="00EA7DC1"/>
    <w:rsid w:val="00EB0373"/>
    <w:rsid w:val="00EB0F88"/>
    <w:rsid w:val="00EB3220"/>
    <w:rsid w:val="00EB3AEE"/>
    <w:rsid w:val="00EC20C2"/>
    <w:rsid w:val="00EC218A"/>
    <w:rsid w:val="00EC6890"/>
    <w:rsid w:val="00EC7663"/>
    <w:rsid w:val="00EC7EDC"/>
    <w:rsid w:val="00ED09EF"/>
    <w:rsid w:val="00ED6008"/>
    <w:rsid w:val="00ED6BCD"/>
    <w:rsid w:val="00ED7C33"/>
    <w:rsid w:val="00EE1989"/>
    <w:rsid w:val="00EE346B"/>
    <w:rsid w:val="00EE49B8"/>
    <w:rsid w:val="00EE5F00"/>
    <w:rsid w:val="00EF1E67"/>
    <w:rsid w:val="00EF37FD"/>
    <w:rsid w:val="00EF6050"/>
    <w:rsid w:val="00EF6F9C"/>
    <w:rsid w:val="00F00766"/>
    <w:rsid w:val="00F0193B"/>
    <w:rsid w:val="00F02010"/>
    <w:rsid w:val="00F03181"/>
    <w:rsid w:val="00F049FE"/>
    <w:rsid w:val="00F055D6"/>
    <w:rsid w:val="00F05EDC"/>
    <w:rsid w:val="00F13830"/>
    <w:rsid w:val="00F14CA0"/>
    <w:rsid w:val="00F15C41"/>
    <w:rsid w:val="00F16785"/>
    <w:rsid w:val="00F16DCB"/>
    <w:rsid w:val="00F17EDA"/>
    <w:rsid w:val="00F2246D"/>
    <w:rsid w:val="00F24744"/>
    <w:rsid w:val="00F24927"/>
    <w:rsid w:val="00F26EA4"/>
    <w:rsid w:val="00F2753B"/>
    <w:rsid w:val="00F358EA"/>
    <w:rsid w:val="00F37FD5"/>
    <w:rsid w:val="00F4424E"/>
    <w:rsid w:val="00F4429C"/>
    <w:rsid w:val="00F47A9B"/>
    <w:rsid w:val="00F47E3E"/>
    <w:rsid w:val="00F51F72"/>
    <w:rsid w:val="00F52760"/>
    <w:rsid w:val="00F52C1E"/>
    <w:rsid w:val="00F52C22"/>
    <w:rsid w:val="00F52C8D"/>
    <w:rsid w:val="00F533A1"/>
    <w:rsid w:val="00F546C3"/>
    <w:rsid w:val="00F5700A"/>
    <w:rsid w:val="00F579C1"/>
    <w:rsid w:val="00F6018E"/>
    <w:rsid w:val="00F6058E"/>
    <w:rsid w:val="00F60A46"/>
    <w:rsid w:val="00F6333C"/>
    <w:rsid w:val="00F63B85"/>
    <w:rsid w:val="00F73800"/>
    <w:rsid w:val="00F73CF7"/>
    <w:rsid w:val="00F74E40"/>
    <w:rsid w:val="00F83C9C"/>
    <w:rsid w:val="00F84EF8"/>
    <w:rsid w:val="00F84F1A"/>
    <w:rsid w:val="00F855D8"/>
    <w:rsid w:val="00F91B64"/>
    <w:rsid w:val="00F927F0"/>
    <w:rsid w:val="00F930C8"/>
    <w:rsid w:val="00F95AC2"/>
    <w:rsid w:val="00F972CD"/>
    <w:rsid w:val="00FA1E2D"/>
    <w:rsid w:val="00FA2F9B"/>
    <w:rsid w:val="00FA76F3"/>
    <w:rsid w:val="00FB06B0"/>
    <w:rsid w:val="00FB1533"/>
    <w:rsid w:val="00FB3B33"/>
    <w:rsid w:val="00FB3D0F"/>
    <w:rsid w:val="00FB7EFB"/>
    <w:rsid w:val="00FC3050"/>
    <w:rsid w:val="00FC3DCC"/>
    <w:rsid w:val="00FC4DF1"/>
    <w:rsid w:val="00FC6194"/>
    <w:rsid w:val="00FD72E6"/>
    <w:rsid w:val="00FE1A2C"/>
    <w:rsid w:val="00FE4A92"/>
    <w:rsid w:val="00FE7A9C"/>
    <w:rsid w:val="00FE7BDD"/>
    <w:rsid w:val="00FF1864"/>
    <w:rsid w:val="00FF7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16"/>
    <w:pPr>
      <w:spacing w:before="120" w:after="120"/>
      <w:jc w:val="both"/>
    </w:pPr>
    <w:rPr>
      <w:rFonts w:ascii="Times New Roman" w:hAnsi="Times New Roman"/>
      <w:sz w:val="24"/>
    </w:rPr>
  </w:style>
  <w:style w:type="paragraph" w:styleId="Heading1">
    <w:name w:val="heading 1"/>
    <w:basedOn w:val="Normal"/>
    <w:next w:val="Normal"/>
    <w:link w:val="Heading1Char1"/>
    <w:qFormat/>
    <w:rsid w:val="00182D71"/>
    <w:pPr>
      <w:keepNext/>
      <w:keepLines/>
      <w:numPr>
        <w:numId w:val="26"/>
      </w:numPr>
      <w:spacing w:before="360" w:after="360"/>
      <w:jc w:val="left"/>
      <w:outlineLvl w:val="0"/>
    </w:pPr>
    <w:rPr>
      <w:rFonts w:asciiTheme="majorHAnsi" w:eastAsiaTheme="majorEastAsia" w:hAnsiTheme="majorHAnsi" w:cstheme="majorBidi"/>
      <w:b/>
      <w:bCs/>
      <w:caps/>
      <w:color w:val="000000" w:themeColor="text1"/>
      <w:sz w:val="28"/>
      <w:szCs w:val="28"/>
      <w:u w:val="single"/>
    </w:rPr>
  </w:style>
  <w:style w:type="paragraph" w:styleId="Heading2">
    <w:name w:val="heading 2"/>
    <w:basedOn w:val="Normal"/>
    <w:next w:val="Normal"/>
    <w:link w:val="Heading2Char1"/>
    <w:unhideWhenUsed/>
    <w:qFormat/>
    <w:rsid w:val="00182D71"/>
    <w:pPr>
      <w:keepNext/>
      <w:keepLines/>
      <w:spacing w:before="24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1"/>
    <w:unhideWhenUsed/>
    <w:qFormat/>
    <w:rsid w:val="00101110"/>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B7677"/>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767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767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B767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B767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767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25CD"/>
    <w:rPr>
      <w:sz w:val="16"/>
      <w:szCs w:val="16"/>
    </w:rPr>
  </w:style>
  <w:style w:type="paragraph" w:styleId="CommentText">
    <w:name w:val="annotation text"/>
    <w:basedOn w:val="Normal"/>
    <w:link w:val="CommentTextChar"/>
    <w:semiHidden/>
    <w:unhideWhenUsed/>
    <w:rsid w:val="001F25CD"/>
    <w:pPr>
      <w:spacing w:line="240" w:lineRule="auto"/>
    </w:pPr>
    <w:rPr>
      <w:sz w:val="20"/>
      <w:szCs w:val="20"/>
    </w:rPr>
  </w:style>
  <w:style w:type="character" w:customStyle="1" w:styleId="CommentTextChar">
    <w:name w:val="Comment Text Char"/>
    <w:basedOn w:val="DefaultParagraphFont"/>
    <w:link w:val="CommentText"/>
    <w:semiHidden/>
    <w:rsid w:val="001F25CD"/>
    <w:rPr>
      <w:sz w:val="20"/>
      <w:szCs w:val="20"/>
    </w:rPr>
  </w:style>
  <w:style w:type="paragraph" w:styleId="CommentSubject">
    <w:name w:val="annotation subject"/>
    <w:basedOn w:val="CommentText"/>
    <w:next w:val="CommentText"/>
    <w:link w:val="CommentSubjectChar"/>
    <w:semiHidden/>
    <w:unhideWhenUsed/>
    <w:rsid w:val="001F25CD"/>
    <w:rPr>
      <w:b/>
      <w:bCs/>
    </w:rPr>
  </w:style>
  <w:style w:type="character" w:customStyle="1" w:styleId="CommentSubjectChar">
    <w:name w:val="Comment Subject Char"/>
    <w:basedOn w:val="CommentTextChar"/>
    <w:link w:val="CommentSubject"/>
    <w:semiHidden/>
    <w:rsid w:val="001F25CD"/>
    <w:rPr>
      <w:b/>
      <w:bCs/>
      <w:sz w:val="20"/>
      <w:szCs w:val="20"/>
    </w:rPr>
  </w:style>
  <w:style w:type="paragraph" w:styleId="BalloonText">
    <w:name w:val="Balloon Text"/>
    <w:basedOn w:val="Normal"/>
    <w:link w:val="BalloonTextChar"/>
    <w:semiHidden/>
    <w:unhideWhenUsed/>
    <w:rsid w:val="001F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25CD"/>
    <w:rPr>
      <w:rFonts w:ascii="Tahoma" w:hAnsi="Tahoma" w:cs="Tahoma"/>
      <w:sz w:val="16"/>
      <w:szCs w:val="16"/>
    </w:rPr>
  </w:style>
  <w:style w:type="paragraph" w:customStyle="1" w:styleId="PIMIPATextChar">
    <w:name w:val="PIMIPA Text Char"/>
    <w:basedOn w:val="BodyText"/>
    <w:link w:val="PIMIPATextCharChar"/>
    <w:qFormat/>
    <w:rsid w:val="002A4E1E"/>
    <w:pPr>
      <w:spacing w:before="40" w:after="80" w:line="240" w:lineRule="auto"/>
      <w:ind w:left="1134"/>
    </w:pPr>
    <w:rPr>
      <w:rFonts w:ascii="Arial" w:eastAsia="Times New Roman" w:hAnsi="Arial" w:cs="Garamond"/>
      <w:spacing w:val="-5"/>
      <w:szCs w:val="24"/>
      <w:lang w:val="en-GB"/>
    </w:rPr>
  </w:style>
  <w:style w:type="character" w:customStyle="1" w:styleId="PIMIPATextCharChar">
    <w:name w:val="PIMIPA Text Char Char"/>
    <w:basedOn w:val="BodyTextChar"/>
    <w:link w:val="PIMIPATextChar"/>
    <w:rsid w:val="002A4E1E"/>
    <w:rPr>
      <w:rFonts w:ascii="Arial" w:eastAsia="Times New Roman" w:hAnsi="Arial" w:cs="Garamond"/>
      <w:spacing w:val="-5"/>
      <w:sz w:val="24"/>
      <w:szCs w:val="24"/>
      <w:lang w:val="en-GB"/>
    </w:rPr>
  </w:style>
  <w:style w:type="paragraph" w:styleId="BodyText">
    <w:name w:val="Body Text"/>
    <w:basedOn w:val="Normal"/>
    <w:link w:val="BodyTextChar"/>
    <w:unhideWhenUsed/>
    <w:rsid w:val="002A4E1E"/>
  </w:style>
  <w:style w:type="character" w:customStyle="1" w:styleId="BodyTextChar">
    <w:name w:val="Body Text Char"/>
    <w:basedOn w:val="DefaultParagraphFont"/>
    <w:link w:val="BodyText"/>
    <w:rsid w:val="002A4E1E"/>
  </w:style>
  <w:style w:type="character" w:styleId="Hyperlink">
    <w:name w:val="Hyperlink"/>
    <w:basedOn w:val="DefaultParagraphFont"/>
    <w:uiPriority w:val="99"/>
    <w:unhideWhenUsed/>
    <w:rsid w:val="00B835A8"/>
    <w:rPr>
      <w:color w:val="0000FF"/>
      <w:u w:val="single"/>
    </w:rPr>
  </w:style>
  <w:style w:type="paragraph" w:styleId="ListParagraph">
    <w:name w:val="List Paragraph"/>
    <w:basedOn w:val="Normal"/>
    <w:link w:val="ListParagraphChar"/>
    <w:uiPriority w:val="34"/>
    <w:qFormat/>
    <w:rsid w:val="009A5953"/>
    <w:pPr>
      <w:ind w:left="720"/>
      <w:contextualSpacing/>
    </w:pPr>
  </w:style>
  <w:style w:type="paragraph" w:styleId="IntenseQuote">
    <w:name w:val="Intense Quote"/>
    <w:basedOn w:val="Normal"/>
    <w:next w:val="Normal"/>
    <w:link w:val="IntenseQuoteChar"/>
    <w:qFormat/>
    <w:rsid w:val="000C73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C73AA"/>
    <w:rPr>
      <w:b/>
      <w:bCs/>
      <w:i/>
      <w:iCs/>
      <w:color w:val="4F81BD" w:themeColor="accent1"/>
    </w:rPr>
  </w:style>
  <w:style w:type="character" w:styleId="IntenseReference">
    <w:name w:val="Intense Reference"/>
    <w:basedOn w:val="DefaultParagraphFont"/>
    <w:qFormat/>
    <w:rsid w:val="000C73AA"/>
    <w:rPr>
      <w:b/>
      <w:bCs/>
      <w:smallCaps/>
      <w:color w:val="C0504D" w:themeColor="accent2"/>
      <w:spacing w:val="5"/>
      <w:u w:val="single"/>
    </w:rPr>
  </w:style>
  <w:style w:type="table" w:styleId="TableGrid">
    <w:name w:val="Table Grid"/>
    <w:basedOn w:val="TableNormal"/>
    <w:rsid w:val="00C23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7522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75226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ubtleReference">
    <w:name w:val="Subtle Reference"/>
    <w:basedOn w:val="DefaultParagraphFont"/>
    <w:qFormat/>
    <w:rsid w:val="00752269"/>
    <w:rPr>
      <w:smallCaps/>
      <w:color w:val="C0504D" w:themeColor="accent2"/>
      <w:u w:val="single"/>
    </w:rPr>
  </w:style>
  <w:style w:type="character" w:styleId="Emphasis">
    <w:name w:val="Emphasis"/>
    <w:basedOn w:val="DefaultParagraphFont"/>
    <w:qFormat/>
    <w:rsid w:val="00752269"/>
    <w:rPr>
      <w:i/>
      <w:iCs/>
    </w:rPr>
  </w:style>
  <w:style w:type="character" w:styleId="SubtleEmphasis">
    <w:name w:val="Subtle Emphasis"/>
    <w:basedOn w:val="DefaultParagraphFont"/>
    <w:qFormat/>
    <w:rsid w:val="00752269"/>
    <w:rPr>
      <w:i/>
      <w:iCs/>
      <w:color w:val="808080" w:themeColor="text1" w:themeTint="7F"/>
    </w:rPr>
  </w:style>
  <w:style w:type="paragraph" w:styleId="Subtitle">
    <w:name w:val="Subtitle"/>
    <w:basedOn w:val="Normal"/>
    <w:next w:val="Normal"/>
    <w:link w:val="SubtitleChar"/>
    <w:qFormat/>
    <w:rsid w:val="0075226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52269"/>
    <w:rPr>
      <w:rFonts w:asciiTheme="majorHAnsi" w:eastAsiaTheme="majorEastAsia" w:hAnsiTheme="majorHAnsi" w:cstheme="majorBidi"/>
      <w:i/>
      <w:iCs/>
      <w:color w:val="4F81BD" w:themeColor="accent1"/>
      <w:spacing w:val="15"/>
      <w:sz w:val="24"/>
      <w:szCs w:val="24"/>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
    <w:basedOn w:val="Normal"/>
    <w:link w:val="FootnoteTextChar"/>
    <w:uiPriority w:val="99"/>
    <w:unhideWhenUsed/>
    <w:rsid w:val="00553FFC"/>
    <w:rPr>
      <w:rFonts w:ascii="Calibri" w:eastAsia="Calibri" w:hAnsi="Calibri" w:cs="Times New Roman"/>
      <w:sz w:val="20"/>
      <w:szCs w:val="20"/>
      <w:lang w:val="sr-Latn-CS"/>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rsid w:val="00553FFC"/>
    <w:rPr>
      <w:rFonts w:ascii="Calibri" w:eastAsia="Calibri" w:hAnsi="Calibri" w:cs="Times New Roman"/>
      <w:sz w:val="20"/>
      <w:szCs w:val="20"/>
      <w:lang w:val="sr-Latn-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basedOn w:val="DefaultParagraphFont"/>
    <w:uiPriority w:val="99"/>
    <w:unhideWhenUsed/>
    <w:rsid w:val="00553FFC"/>
    <w:rPr>
      <w:vertAlign w:val="superscript"/>
    </w:rPr>
  </w:style>
  <w:style w:type="paragraph" w:customStyle="1" w:styleId="Default">
    <w:name w:val="Default"/>
    <w:rsid w:val="00553FFC"/>
    <w:pPr>
      <w:autoSpaceDE w:val="0"/>
      <w:autoSpaceDN w:val="0"/>
      <w:adjustRightInd w:val="0"/>
      <w:spacing w:after="0" w:line="240" w:lineRule="auto"/>
    </w:pPr>
    <w:rPr>
      <w:rFonts w:ascii="Arial" w:eastAsia="Calibri" w:hAnsi="Arial" w:cs="Arial"/>
      <w:color w:val="000000"/>
      <w:sz w:val="24"/>
      <w:szCs w:val="24"/>
      <w:lang w:val="sr-Latn-CS" w:eastAsia="sr-Latn-CS"/>
    </w:rPr>
  </w:style>
  <w:style w:type="paragraph" w:styleId="Header">
    <w:name w:val="header"/>
    <w:basedOn w:val="Normal"/>
    <w:link w:val="HeaderChar"/>
    <w:unhideWhenUsed/>
    <w:rsid w:val="00C103EB"/>
    <w:pPr>
      <w:tabs>
        <w:tab w:val="center" w:pos="4680"/>
        <w:tab w:val="right" w:pos="9360"/>
      </w:tabs>
      <w:spacing w:after="0" w:line="240" w:lineRule="auto"/>
    </w:pPr>
  </w:style>
  <w:style w:type="character" w:customStyle="1" w:styleId="HeaderChar">
    <w:name w:val="Header Char"/>
    <w:basedOn w:val="DefaultParagraphFont"/>
    <w:link w:val="Header"/>
    <w:rsid w:val="00C103EB"/>
  </w:style>
  <w:style w:type="paragraph" w:styleId="Footer">
    <w:name w:val="footer"/>
    <w:basedOn w:val="Normal"/>
    <w:link w:val="FooterChar"/>
    <w:uiPriority w:val="99"/>
    <w:unhideWhenUsed/>
    <w:rsid w:val="00C1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EB"/>
  </w:style>
  <w:style w:type="character" w:customStyle="1" w:styleId="Heading1Char">
    <w:name w:val="Heading 1 Char"/>
    <w:basedOn w:val="DefaultParagraphFont"/>
    <w:rsid w:val="00D01FD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9538F0"/>
    <w:pPr>
      <w:tabs>
        <w:tab w:val="left" w:pos="440"/>
        <w:tab w:val="right" w:leader="dot" w:pos="9017"/>
      </w:tabs>
      <w:spacing w:after="60"/>
    </w:pPr>
    <w:rPr>
      <w:noProof/>
      <w:lang w:val="en-GB"/>
    </w:rPr>
  </w:style>
  <w:style w:type="character" w:customStyle="1" w:styleId="Heading2Char">
    <w:name w:val="Heading 2 Char"/>
    <w:basedOn w:val="DefaultParagraphFont"/>
    <w:rsid w:val="00E162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E1620D"/>
    <w:rPr>
      <w:rFonts w:asciiTheme="majorHAnsi" w:eastAsiaTheme="majorEastAsia" w:hAnsiTheme="majorHAnsi" w:cstheme="majorBidi"/>
      <w:b/>
      <w:bCs/>
      <w:sz w:val="24"/>
    </w:rPr>
  </w:style>
  <w:style w:type="paragraph" w:customStyle="1" w:styleId="Prvi">
    <w:name w:val="Prvi"/>
    <w:basedOn w:val="IntenseQuote"/>
    <w:link w:val="PrviChar"/>
    <w:qFormat/>
    <w:rsid w:val="00F24744"/>
    <w:pPr>
      <w:ind w:left="0"/>
    </w:pPr>
    <w:rPr>
      <w:sz w:val="36"/>
      <w:lang w:val="en-GB"/>
    </w:rPr>
  </w:style>
  <w:style w:type="paragraph" w:customStyle="1" w:styleId="treci">
    <w:name w:val="treci"/>
    <w:basedOn w:val="Subtitle"/>
    <w:link w:val="treciChar"/>
    <w:qFormat/>
    <w:rsid w:val="00EF6F9C"/>
  </w:style>
  <w:style w:type="character" w:customStyle="1" w:styleId="PrviChar">
    <w:name w:val="Prvi Char"/>
    <w:basedOn w:val="IntenseQuoteChar"/>
    <w:link w:val="Prvi"/>
    <w:rsid w:val="00F24744"/>
    <w:rPr>
      <w:b/>
      <w:bCs/>
      <w:i/>
      <w:iCs/>
      <w:color w:val="4F81BD" w:themeColor="accent1"/>
      <w:sz w:val="36"/>
      <w:lang w:val="en-GB"/>
    </w:rPr>
  </w:style>
  <w:style w:type="paragraph" w:customStyle="1" w:styleId="drugi">
    <w:name w:val="drugi"/>
    <w:basedOn w:val="Normal"/>
    <w:link w:val="drugiChar"/>
    <w:rsid w:val="00EF6F9C"/>
    <w:rPr>
      <w:sz w:val="28"/>
      <w:lang w:val="en-GB"/>
    </w:rPr>
  </w:style>
  <w:style w:type="character" w:customStyle="1" w:styleId="treciChar">
    <w:name w:val="treci Char"/>
    <w:basedOn w:val="SubtitleChar"/>
    <w:link w:val="treci"/>
    <w:rsid w:val="00EF6F9C"/>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rsid w:val="00EF6F9C"/>
    <w:pPr>
      <w:spacing w:after="100"/>
      <w:ind w:left="220"/>
    </w:pPr>
  </w:style>
  <w:style w:type="character" w:customStyle="1" w:styleId="drugiChar">
    <w:name w:val="drugi Char"/>
    <w:basedOn w:val="DefaultParagraphFont"/>
    <w:link w:val="drugi"/>
    <w:rsid w:val="00EF6F9C"/>
    <w:rPr>
      <w:sz w:val="28"/>
      <w:lang w:val="en-GB"/>
    </w:rPr>
  </w:style>
  <w:style w:type="paragraph" w:styleId="TOC3">
    <w:name w:val="toc 3"/>
    <w:basedOn w:val="Normal"/>
    <w:next w:val="Normal"/>
    <w:autoRedefine/>
    <w:uiPriority w:val="39"/>
    <w:unhideWhenUsed/>
    <w:rsid w:val="00EF6F9C"/>
    <w:pPr>
      <w:spacing w:after="100"/>
      <w:ind w:left="440"/>
    </w:pPr>
  </w:style>
  <w:style w:type="paragraph" w:customStyle="1" w:styleId="drugi1">
    <w:name w:val="drugi1"/>
    <w:basedOn w:val="drugi"/>
    <w:link w:val="drugi1Char"/>
    <w:qFormat/>
    <w:rsid w:val="00F6058E"/>
    <w:rPr>
      <w:color w:val="C00000"/>
    </w:rPr>
  </w:style>
  <w:style w:type="paragraph" w:customStyle="1" w:styleId="Bodis2">
    <w:name w:val="Bodis 2"/>
    <w:basedOn w:val="Normal"/>
    <w:rsid w:val="005F1A49"/>
    <w:pPr>
      <w:spacing w:line="240" w:lineRule="auto"/>
      <w:ind w:left="1134"/>
    </w:pPr>
    <w:rPr>
      <w:rFonts w:eastAsia="Times New Roman" w:cs="Times New Roman"/>
      <w:szCs w:val="20"/>
      <w:lang w:val="en-GB" w:eastAsia="lt-LT"/>
    </w:rPr>
  </w:style>
  <w:style w:type="character" w:customStyle="1" w:styleId="drugi1Char">
    <w:name w:val="drugi1 Char"/>
    <w:basedOn w:val="drugiChar"/>
    <w:link w:val="drugi1"/>
    <w:rsid w:val="00F6058E"/>
    <w:rPr>
      <w:color w:val="C00000"/>
      <w:sz w:val="28"/>
      <w:lang w:val="en-GB"/>
    </w:rPr>
  </w:style>
  <w:style w:type="table" w:styleId="MediumShading1-Accent5">
    <w:name w:val="Medium Shading 1 Accent 5"/>
    <w:basedOn w:val="TableNormal"/>
    <w:uiPriority w:val="63"/>
    <w:rsid w:val="008D03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03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D03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8D03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A79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Heading">
    <w:name w:val="TOC Heading"/>
    <w:basedOn w:val="Normal"/>
    <w:next w:val="Normal"/>
    <w:uiPriority w:val="39"/>
    <w:unhideWhenUsed/>
    <w:qFormat/>
    <w:rsid w:val="00A93EAC"/>
    <w:rPr>
      <w:lang w:eastAsia="ja-JP"/>
    </w:rPr>
  </w:style>
  <w:style w:type="character" w:customStyle="1" w:styleId="Heading4Char">
    <w:name w:val="Heading 4 Char"/>
    <w:basedOn w:val="DefaultParagraphFont"/>
    <w:link w:val="Heading4"/>
    <w:rsid w:val="001B767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1B76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1B767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1B767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1B76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B7677"/>
    <w:rPr>
      <w:rFonts w:asciiTheme="majorHAnsi" w:eastAsiaTheme="majorEastAsia" w:hAnsiTheme="majorHAnsi" w:cstheme="majorBidi"/>
      <w:i/>
      <w:iCs/>
      <w:color w:val="404040" w:themeColor="text1" w:themeTint="BF"/>
      <w:sz w:val="20"/>
      <w:szCs w:val="20"/>
    </w:rPr>
  </w:style>
  <w:style w:type="character" w:customStyle="1" w:styleId="hps">
    <w:name w:val="hps"/>
    <w:basedOn w:val="DefaultParagraphFont"/>
    <w:rsid w:val="003777DC"/>
  </w:style>
  <w:style w:type="character" w:customStyle="1" w:styleId="ListParagraphChar">
    <w:name w:val="List Paragraph Char"/>
    <w:basedOn w:val="DefaultParagraphFont"/>
    <w:link w:val="ListParagraph"/>
    <w:uiPriority w:val="99"/>
    <w:rsid w:val="009A5953"/>
    <w:rPr>
      <w:rFonts w:ascii="Times New Roman" w:hAnsi="Times New Roman"/>
      <w:sz w:val="24"/>
    </w:rPr>
  </w:style>
  <w:style w:type="paragraph" w:customStyle="1" w:styleId="druginivo">
    <w:name w:val="drugi nivo"/>
    <w:basedOn w:val="Normal"/>
    <w:link w:val="druginivoChar"/>
    <w:qFormat/>
    <w:rsid w:val="00C96162"/>
    <w:rPr>
      <w:rFonts w:eastAsia="Times New Roman" w:cstheme="minorHAnsi"/>
      <w:b/>
      <w:color w:val="7F7F7F" w:themeColor="text1" w:themeTint="80"/>
      <w:szCs w:val="24"/>
      <w:lang w:eastAsia="en-GB"/>
    </w:rPr>
  </w:style>
  <w:style w:type="paragraph" w:customStyle="1" w:styleId="2">
    <w:name w:val="2."/>
    <w:basedOn w:val="Normal"/>
    <w:link w:val="2Char"/>
    <w:qFormat/>
    <w:rsid w:val="006A3910"/>
    <w:pPr>
      <w:spacing w:after="100"/>
    </w:pPr>
    <w:rPr>
      <w:i/>
    </w:rPr>
  </w:style>
  <w:style w:type="character" w:customStyle="1" w:styleId="druginivoChar">
    <w:name w:val="drugi nivo Char"/>
    <w:basedOn w:val="DefaultParagraphFont"/>
    <w:link w:val="druginivo"/>
    <w:rsid w:val="00C96162"/>
    <w:rPr>
      <w:rFonts w:eastAsia="Times New Roman" w:cstheme="minorHAnsi"/>
      <w:b/>
      <w:color w:val="7F7F7F" w:themeColor="text1" w:themeTint="80"/>
      <w:sz w:val="24"/>
      <w:szCs w:val="24"/>
      <w:lang w:eastAsia="en-GB"/>
    </w:rPr>
  </w:style>
  <w:style w:type="paragraph" w:customStyle="1" w:styleId="a3520normal">
    <w:name w:val="a___35__20_normal"/>
    <w:basedOn w:val="Normal"/>
    <w:rsid w:val="00270A48"/>
    <w:pPr>
      <w:spacing w:line="240" w:lineRule="auto"/>
    </w:pPr>
    <w:rPr>
      <w:rFonts w:eastAsia="Times New Roman" w:cs="Times New Roman"/>
      <w:szCs w:val="24"/>
    </w:rPr>
  </w:style>
  <w:style w:type="character" w:customStyle="1" w:styleId="2Char">
    <w:name w:val="2. Char"/>
    <w:basedOn w:val="Heading2Char"/>
    <w:link w:val="2"/>
    <w:rsid w:val="006A3910"/>
    <w:rPr>
      <w:rFonts w:asciiTheme="majorHAnsi" w:eastAsiaTheme="majorEastAsia" w:hAnsiTheme="majorHAnsi" w:cstheme="majorBidi"/>
      <w:b/>
      <w:bCs/>
      <w:i/>
      <w:color w:val="4F81BD" w:themeColor="accent1"/>
      <w:sz w:val="24"/>
      <w:szCs w:val="26"/>
    </w:rPr>
  </w:style>
  <w:style w:type="table" w:styleId="LightList-Accent1">
    <w:name w:val="Light List Accent 1"/>
    <w:basedOn w:val="TableNormal"/>
    <w:uiPriority w:val="61"/>
    <w:rsid w:val="00F05E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36C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nhideWhenUsed/>
    <w:rsid w:val="00E51A6E"/>
    <w:pPr>
      <w:spacing w:before="100" w:beforeAutospacing="1" w:after="115" w:line="240" w:lineRule="auto"/>
    </w:pPr>
    <w:rPr>
      <w:rFonts w:eastAsia="Times New Roman" w:cs="Times New Roman"/>
      <w:szCs w:val="24"/>
    </w:rPr>
  </w:style>
  <w:style w:type="table" w:customStyle="1" w:styleId="LightShading-Accent51">
    <w:name w:val="Light Shading - Accent 51"/>
    <w:basedOn w:val="TableNormal"/>
    <w:next w:val="LightShading-Accent5"/>
    <w:rsid w:val="00E51A6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A60D0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
    <w:name w:val="st"/>
    <w:basedOn w:val="DefaultParagraphFont"/>
    <w:rsid w:val="00C61538"/>
  </w:style>
  <w:style w:type="character" w:styleId="FollowedHyperlink">
    <w:name w:val="FollowedHyperlink"/>
    <w:basedOn w:val="DefaultParagraphFont"/>
    <w:semiHidden/>
    <w:unhideWhenUsed/>
    <w:rsid w:val="00F52C8D"/>
    <w:rPr>
      <w:color w:val="800080" w:themeColor="followedHyperlink"/>
      <w:u w:val="single"/>
    </w:rPr>
  </w:style>
  <w:style w:type="character" w:customStyle="1" w:styleId="shorttext">
    <w:name w:val="short_text"/>
    <w:basedOn w:val="DefaultParagraphFont"/>
    <w:rsid w:val="005D483B"/>
  </w:style>
  <w:style w:type="character" w:customStyle="1" w:styleId="Date1">
    <w:name w:val="Date1"/>
    <w:basedOn w:val="DefaultParagraphFont"/>
    <w:rsid w:val="00FE4A92"/>
  </w:style>
  <w:style w:type="character" w:styleId="Strong">
    <w:name w:val="Strong"/>
    <w:basedOn w:val="DefaultParagraphFont"/>
    <w:qFormat/>
    <w:rsid w:val="00F95AC2"/>
    <w:rPr>
      <w:b/>
      <w:bCs/>
    </w:rPr>
  </w:style>
  <w:style w:type="table" w:customStyle="1" w:styleId="LightShading-Accent52">
    <w:name w:val="Light Shading - Accent 52"/>
    <w:rsid w:val="009A5953"/>
    <w:pPr>
      <w:spacing w:after="0" w:line="240" w:lineRule="auto"/>
    </w:pPr>
    <w:rPr>
      <w:rFonts w:ascii="Calibri" w:eastAsia="Times New Roman" w:hAnsi="Calibri" w:cs="Times New Roman"/>
      <w:color w:val="31849B"/>
      <w:sz w:val="20"/>
      <w:szCs w:val="20"/>
      <w:lang w:val="sr-Cyrl-RS" w:eastAsia="sr-Cyrl-R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Accent21">
    <w:name w:val="Light Shading - Accent 21"/>
    <w:rsid w:val="009A5953"/>
    <w:pPr>
      <w:spacing w:after="0" w:line="240" w:lineRule="auto"/>
    </w:pPr>
    <w:rPr>
      <w:rFonts w:ascii="Calibri" w:eastAsia="Times New Roman" w:hAnsi="Calibri" w:cs="Times New Roman"/>
      <w:color w:val="943634"/>
      <w:sz w:val="20"/>
      <w:szCs w:val="20"/>
      <w:lang w:val="sr-Cyrl-RS" w:eastAsia="sr-Cyrl-R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Shading1-Accent51">
    <w:name w:val="Medium Shading 1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1-Accent11">
    <w:name w:val="Medium Shading 1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Grid-Accent11">
    <w:name w:val="Light Grid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Lucida Bright" w:eastAsia="Times New Roman" w:hAnsi="Lucida Br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Lucida Bright" w:eastAsia="Times New Roman" w:hAnsi="Lucida Br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Bright" w:eastAsia="Times New Roman" w:hAnsi="Lucida Bright" w:cs="Times New Roman"/>
        <w:b/>
        <w:bCs/>
      </w:rPr>
    </w:tblStylePr>
    <w:tblStylePr w:type="lastCol">
      <w:rPr>
        <w:rFonts w:ascii="Lucida Bright" w:eastAsia="Times New Roman" w:hAnsi="Lucida Br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
    <w:name w:val="Light List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rsid w:val="009A5953"/>
    <w:pPr>
      <w:spacing w:after="0" w:line="240" w:lineRule="auto"/>
    </w:pPr>
    <w:rPr>
      <w:rFonts w:ascii="Calibri" w:eastAsia="Times New Roman" w:hAnsi="Calibri" w:cs="Times New Roman"/>
      <w:color w:val="365F91"/>
      <w:sz w:val="20"/>
      <w:szCs w:val="20"/>
      <w:lang w:val="sr-Cyrl-RS" w:eastAsia="sr-Cyrl-R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41">
    <w:name w:val="Light List - Accent 4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IntenseEmphasis">
    <w:name w:val="Intense Emphasis"/>
    <w:basedOn w:val="DefaultParagraphFont"/>
    <w:uiPriority w:val="21"/>
    <w:qFormat/>
    <w:rsid w:val="009A5953"/>
    <w:rPr>
      <w:b/>
      <w:bCs/>
      <w:i/>
      <w:iCs/>
      <w:color w:val="4F81BD" w:themeColor="accent1"/>
    </w:rPr>
  </w:style>
  <w:style w:type="paragraph" w:styleId="NoSpacing">
    <w:name w:val="No Spacing"/>
    <w:uiPriority w:val="1"/>
    <w:qFormat/>
    <w:rsid w:val="009A5953"/>
    <w:pPr>
      <w:spacing w:after="0" w:line="240" w:lineRule="auto"/>
      <w:jc w:val="both"/>
    </w:pPr>
    <w:rPr>
      <w:rFonts w:ascii="Times New Roman" w:hAnsi="Times New Roman"/>
      <w:sz w:val="24"/>
    </w:rPr>
  </w:style>
  <w:style w:type="paragraph" w:styleId="Title">
    <w:name w:val="Title"/>
    <w:basedOn w:val="Normal"/>
    <w:next w:val="Normal"/>
    <w:link w:val="TitleChar"/>
    <w:uiPriority w:val="10"/>
    <w:qFormat/>
    <w:rsid w:val="00182D71"/>
    <w:pPr>
      <w:pBdr>
        <w:bottom w:val="single" w:sz="8" w:space="4" w:color="4F81BD" w:themeColor="accen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182D71"/>
    <w:rPr>
      <w:rFonts w:asciiTheme="majorHAnsi" w:eastAsiaTheme="majorEastAsia" w:hAnsiTheme="majorHAnsi" w:cstheme="majorBidi"/>
      <w:color w:val="000000" w:themeColor="text1"/>
      <w:spacing w:val="5"/>
      <w:kern w:val="28"/>
      <w:sz w:val="52"/>
      <w:szCs w:val="52"/>
    </w:rPr>
  </w:style>
  <w:style w:type="character" w:customStyle="1" w:styleId="Heading1Char1">
    <w:name w:val="Heading 1 Char1"/>
    <w:basedOn w:val="DefaultParagraphFont"/>
    <w:link w:val="Heading1"/>
    <w:rsid w:val="00182D71"/>
    <w:rPr>
      <w:rFonts w:asciiTheme="majorHAnsi" w:eastAsiaTheme="majorEastAsia" w:hAnsiTheme="majorHAnsi" w:cstheme="majorBidi"/>
      <w:b/>
      <w:bCs/>
      <w:caps/>
      <w:color w:val="000000" w:themeColor="text1"/>
      <w:sz w:val="28"/>
      <w:szCs w:val="28"/>
      <w:u w:val="single"/>
    </w:rPr>
  </w:style>
  <w:style w:type="character" w:customStyle="1" w:styleId="Heading2Char1">
    <w:name w:val="Heading 2 Char1"/>
    <w:basedOn w:val="DefaultParagraphFont"/>
    <w:link w:val="Heading2"/>
    <w:rsid w:val="00182D71"/>
    <w:rPr>
      <w:rFonts w:asciiTheme="majorHAnsi" w:eastAsiaTheme="majorEastAsia" w:hAnsiTheme="majorHAnsi" w:cstheme="majorBidi"/>
      <w:b/>
      <w:bCs/>
      <w:color w:val="000000" w:themeColor="text1"/>
      <w:sz w:val="26"/>
      <w:szCs w:val="26"/>
    </w:rPr>
  </w:style>
  <w:style w:type="character" w:customStyle="1" w:styleId="Heading3Char1">
    <w:name w:val="Heading 3 Char1"/>
    <w:basedOn w:val="DefaultParagraphFont"/>
    <w:link w:val="Heading3"/>
    <w:rsid w:val="00101110"/>
    <w:rPr>
      <w:rFonts w:asciiTheme="majorHAnsi" w:eastAsiaTheme="majorEastAsia" w:hAnsiTheme="majorHAnsi" w:cstheme="majorBidi"/>
      <w:b/>
      <w:bCs/>
      <w:sz w:val="24"/>
    </w:rPr>
  </w:style>
  <w:style w:type="paragraph" w:styleId="Revision">
    <w:name w:val="Revision"/>
    <w:hidden/>
    <w:uiPriority w:val="99"/>
    <w:semiHidden/>
    <w:rsid w:val="006B032E"/>
    <w:pPr>
      <w:spacing w:after="0" w:line="240" w:lineRule="auto"/>
    </w:pPr>
    <w:rPr>
      <w:rFonts w:ascii="Times New Roman" w:hAnsi="Times New Roman"/>
      <w:sz w:val="24"/>
    </w:rPr>
  </w:style>
  <w:style w:type="character" w:customStyle="1" w:styleId="apple-converted-space">
    <w:name w:val="apple-converted-space"/>
    <w:basedOn w:val="DefaultParagraphFont"/>
    <w:rsid w:val="00351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16"/>
    <w:pPr>
      <w:spacing w:before="120" w:after="120"/>
      <w:jc w:val="both"/>
    </w:pPr>
    <w:rPr>
      <w:rFonts w:ascii="Times New Roman" w:hAnsi="Times New Roman"/>
      <w:sz w:val="24"/>
    </w:rPr>
  </w:style>
  <w:style w:type="paragraph" w:styleId="Heading1">
    <w:name w:val="heading 1"/>
    <w:basedOn w:val="Normal"/>
    <w:next w:val="Normal"/>
    <w:link w:val="Heading1Char1"/>
    <w:qFormat/>
    <w:rsid w:val="00182D71"/>
    <w:pPr>
      <w:keepNext/>
      <w:keepLines/>
      <w:numPr>
        <w:numId w:val="26"/>
      </w:numPr>
      <w:spacing w:before="360" w:after="360"/>
      <w:jc w:val="left"/>
      <w:outlineLvl w:val="0"/>
    </w:pPr>
    <w:rPr>
      <w:rFonts w:asciiTheme="majorHAnsi" w:eastAsiaTheme="majorEastAsia" w:hAnsiTheme="majorHAnsi" w:cstheme="majorBidi"/>
      <w:b/>
      <w:bCs/>
      <w:caps/>
      <w:color w:val="000000" w:themeColor="text1"/>
      <w:sz w:val="28"/>
      <w:szCs w:val="28"/>
      <w:u w:val="single"/>
    </w:rPr>
  </w:style>
  <w:style w:type="paragraph" w:styleId="Heading2">
    <w:name w:val="heading 2"/>
    <w:basedOn w:val="Normal"/>
    <w:next w:val="Normal"/>
    <w:link w:val="Heading2Char1"/>
    <w:unhideWhenUsed/>
    <w:qFormat/>
    <w:rsid w:val="00182D71"/>
    <w:pPr>
      <w:keepNext/>
      <w:keepLines/>
      <w:spacing w:before="24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1"/>
    <w:unhideWhenUsed/>
    <w:qFormat/>
    <w:rsid w:val="00101110"/>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B7677"/>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767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767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B767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B767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767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25CD"/>
    <w:rPr>
      <w:sz w:val="16"/>
      <w:szCs w:val="16"/>
    </w:rPr>
  </w:style>
  <w:style w:type="paragraph" w:styleId="CommentText">
    <w:name w:val="annotation text"/>
    <w:basedOn w:val="Normal"/>
    <w:link w:val="CommentTextChar"/>
    <w:semiHidden/>
    <w:unhideWhenUsed/>
    <w:rsid w:val="001F25CD"/>
    <w:pPr>
      <w:spacing w:line="240" w:lineRule="auto"/>
    </w:pPr>
    <w:rPr>
      <w:sz w:val="20"/>
      <w:szCs w:val="20"/>
    </w:rPr>
  </w:style>
  <w:style w:type="character" w:customStyle="1" w:styleId="CommentTextChar">
    <w:name w:val="Comment Text Char"/>
    <w:basedOn w:val="DefaultParagraphFont"/>
    <w:link w:val="CommentText"/>
    <w:semiHidden/>
    <w:rsid w:val="001F25CD"/>
    <w:rPr>
      <w:sz w:val="20"/>
      <w:szCs w:val="20"/>
    </w:rPr>
  </w:style>
  <w:style w:type="paragraph" w:styleId="CommentSubject">
    <w:name w:val="annotation subject"/>
    <w:basedOn w:val="CommentText"/>
    <w:next w:val="CommentText"/>
    <w:link w:val="CommentSubjectChar"/>
    <w:semiHidden/>
    <w:unhideWhenUsed/>
    <w:rsid w:val="001F25CD"/>
    <w:rPr>
      <w:b/>
      <w:bCs/>
    </w:rPr>
  </w:style>
  <w:style w:type="character" w:customStyle="1" w:styleId="CommentSubjectChar">
    <w:name w:val="Comment Subject Char"/>
    <w:basedOn w:val="CommentTextChar"/>
    <w:link w:val="CommentSubject"/>
    <w:semiHidden/>
    <w:rsid w:val="001F25CD"/>
    <w:rPr>
      <w:b/>
      <w:bCs/>
      <w:sz w:val="20"/>
      <w:szCs w:val="20"/>
    </w:rPr>
  </w:style>
  <w:style w:type="paragraph" w:styleId="BalloonText">
    <w:name w:val="Balloon Text"/>
    <w:basedOn w:val="Normal"/>
    <w:link w:val="BalloonTextChar"/>
    <w:semiHidden/>
    <w:unhideWhenUsed/>
    <w:rsid w:val="001F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25CD"/>
    <w:rPr>
      <w:rFonts w:ascii="Tahoma" w:hAnsi="Tahoma" w:cs="Tahoma"/>
      <w:sz w:val="16"/>
      <w:szCs w:val="16"/>
    </w:rPr>
  </w:style>
  <w:style w:type="paragraph" w:customStyle="1" w:styleId="PIMIPATextChar">
    <w:name w:val="PIMIPA Text Char"/>
    <w:basedOn w:val="BodyText"/>
    <w:link w:val="PIMIPATextCharChar"/>
    <w:qFormat/>
    <w:rsid w:val="002A4E1E"/>
    <w:pPr>
      <w:spacing w:before="40" w:after="80" w:line="240" w:lineRule="auto"/>
      <w:ind w:left="1134"/>
    </w:pPr>
    <w:rPr>
      <w:rFonts w:ascii="Arial" w:eastAsia="Times New Roman" w:hAnsi="Arial" w:cs="Garamond"/>
      <w:spacing w:val="-5"/>
      <w:szCs w:val="24"/>
      <w:lang w:val="en-GB"/>
    </w:rPr>
  </w:style>
  <w:style w:type="character" w:customStyle="1" w:styleId="PIMIPATextCharChar">
    <w:name w:val="PIMIPA Text Char Char"/>
    <w:basedOn w:val="BodyTextChar"/>
    <w:link w:val="PIMIPATextChar"/>
    <w:rsid w:val="002A4E1E"/>
    <w:rPr>
      <w:rFonts w:ascii="Arial" w:eastAsia="Times New Roman" w:hAnsi="Arial" w:cs="Garamond"/>
      <w:spacing w:val="-5"/>
      <w:sz w:val="24"/>
      <w:szCs w:val="24"/>
      <w:lang w:val="en-GB"/>
    </w:rPr>
  </w:style>
  <w:style w:type="paragraph" w:styleId="BodyText">
    <w:name w:val="Body Text"/>
    <w:basedOn w:val="Normal"/>
    <w:link w:val="BodyTextChar"/>
    <w:unhideWhenUsed/>
    <w:rsid w:val="002A4E1E"/>
  </w:style>
  <w:style w:type="character" w:customStyle="1" w:styleId="BodyTextChar">
    <w:name w:val="Body Text Char"/>
    <w:basedOn w:val="DefaultParagraphFont"/>
    <w:link w:val="BodyText"/>
    <w:rsid w:val="002A4E1E"/>
  </w:style>
  <w:style w:type="character" w:styleId="Hyperlink">
    <w:name w:val="Hyperlink"/>
    <w:basedOn w:val="DefaultParagraphFont"/>
    <w:uiPriority w:val="99"/>
    <w:unhideWhenUsed/>
    <w:rsid w:val="00B835A8"/>
    <w:rPr>
      <w:color w:val="0000FF"/>
      <w:u w:val="single"/>
    </w:rPr>
  </w:style>
  <w:style w:type="paragraph" w:styleId="ListParagraph">
    <w:name w:val="List Paragraph"/>
    <w:basedOn w:val="Normal"/>
    <w:link w:val="ListParagraphChar"/>
    <w:uiPriority w:val="34"/>
    <w:qFormat/>
    <w:rsid w:val="009A5953"/>
    <w:pPr>
      <w:ind w:left="720"/>
      <w:contextualSpacing/>
    </w:pPr>
  </w:style>
  <w:style w:type="paragraph" w:styleId="IntenseQuote">
    <w:name w:val="Intense Quote"/>
    <w:basedOn w:val="Normal"/>
    <w:next w:val="Normal"/>
    <w:link w:val="IntenseQuoteChar"/>
    <w:qFormat/>
    <w:rsid w:val="000C73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C73AA"/>
    <w:rPr>
      <w:b/>
      <w:bCs/>
      <w:i/>
      <w:iCs/>
      <w:color w:val="4F81BD" w:themeColor="accent1"/>
    </w:rPr>
  </w:style>
  <w:style w:type="character" w:styleId="IntenseReference">
    <w:name w:val="Intense Reference"/>
    <w:basedOn w:val="DefaultParagraphFont"/>
    <w:qFormat/>
    <w:rsid w:val="000C73AA"/>
    <w:rPr>
      <w:b/>
      <w:bCs/>
      <w:smallCaps/>
      <w:color w:val="C0504D" w:themeColor="accent2"/>
      <w:spacing w:val="5"/>
      <w:u w:val="single"/>
    </w:rPr>
  </w:style>
  <w:style w:type="table" w:styleId="TableGrid">
    <w:name w:val="Table Grid"/>
    <w:basedOn w:val="TableNormal"/>
    <w:rsid w:val="00C23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7522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75226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ubtleReference">
    <w:name w:val="Subtle Reference"/>
    <w:basedOn w:val="DefaultParagraphFont"/>
    <w:qFormat/>
    <w:rsid w:val="00752269"/>
    <w:rPr>
      <w:smallCaps/>
      <w:color w:val="C0504D" w:themeColor="accent2"/>
      <w:u w:val="single"/>
    </w:rPr>
  </w:style>
  <w:style w:type="character" w:styleId="Emphasis">
    <w:name w:val="Emphasis"/>
    <w:basedOn w:val="DefaultParagraphFont"/>
    <w:qFormat/>
    <w:rsid w:val="00752269"/>
    <w:rPr>
      <w:i/>
      <w:iCs/>
    </w:rPr>
  </w:style>
  <w:style w:type="character" w:styleId="SubtleEmphasis">
    <w:name w:val="Subtle Emphasis"/>
    <w:basedOn w:val="DefaultParagraphFont"/>
    <w:qFormat/>
    <w:rsid w:val="00752269"/>
    <w:rPr>
      <w:i/>
      <w:iCs/>
      <w:color w:val="808080" w:themeColor="text1" w:themeTint="7F"/>
    </w:rPr>
  </w:style>
  <w:style w:type="paragraph" w:styleId="Subtitle">
    <w:name w:val="Subtitle"/>
    <w:basedOn w:val="Normal"/>
    <w:next w:val="Normal"/>
    <w:link w:val="SubtitleChar"/>
    <w:qFormat/>
    <w:rsid w:val="0075226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52269"/>
    <w:rPr>
      <w:rFonts w:asciiTheme="majorHAnsi" w:eastAsiaTheme="majorEastAsia" w:hAnsiTheme="majorHAnsi" w:cstheme="majorBidi"/>
      <w:i/>
      <w:iCs/>
      <w:color w:val="4F81BD" w:themeColor="accent1"/>
      <w:spacing w:val="15"/>
      <w:sz w:val="24"/>
      <w:szCs w:val="24"/>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
    <w:basedOn w:val="Normal"/>
    <w:link w:val="FootnoteTextChar"/>
    <w:uiPriority w:val="99"/>
    <w:unhideWhenUsed/>
    <w:rsid w:val="00553FFC"/>
    <w:rPr>
      <w:rFonts w:ascii="Calibri" w:eastAsia="Calibri" w:hAnsi="Calibri" w:cs="Times New Roman"/>
      <w:sz w:val="20"/>
      <w:szCs w:val="20"/>
      <w:lang w:val="sr-Latn-CS"/>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rsid w:val="00553FFC"/>
    <w:rPr>
      <w:rFonts w:ascii="Calibri" w:eastAsia="Calibri" w:hAnsi="Calibri" w:cs="Times New Roman"/>
      <w:sz w:val="20"/>
      <w:szCs w:val="20"/>
      <w:lang w:val="sr-Latn-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basedOn w:val="DefaultParagraphFont"/>
    <w:uiPriority w:val="99"/>
    <w:unhideWhenUsed/>
    <w:rsid w:val="00553FFC"/>
    <w:rPr>
      <w:vertAlign w:val="superscript"/>
    </w:rPr>
  </w:style>
  <w:style w:type="paragraph" w:customStyle="1" w:styleId="Default">
    <w:name w:val="Default"/>
    <w:rsid w:val="00553FFC"/>
    <w:pPr>
      <w:autoSpaceDE w:val="0"/>
      <w:autoSpaceDN w:val="0"/>
      <w:adjustRightInd w:val="0"/>
      <w:spacing w:after="0" w:line="240" w:lineRule="auto"/>
    </w:pPr>
    <w:rPr>
      <w:rFonts w:ascii="Arial" w:eastAsia="Calibri" w:hAnsi="Arial" w:cs="Arial"/>
      <w:color w:val="000000"/>
      <w:sz w:val="24"/>
      <w:szCs w:val="24"/>
      <w:lang w:val="sr-Latn-CS" w:eastAsia="sr-Latn-CS"/>
    </w:rPr>
  </w:style>
  <w:style w:type="paragraph" w:styleId="Header">
    <w:name w:val="header"/>
    <w:basedOn w:val="Normal"/>
    <w:link w:val="HeaderChar"/>
    <w:unhideWhenUsed/>
    <w:rsid w:val="00C103EB"/>
    <w:pPr>
      <w:tabs>
        <w:tab w:val="center" w:pos="4680"/>
        <w:tab w:val="right" w:pos="9360"/>
      </w:tabs>
      <w:spacing w:after="0" w:line="240" w:lineRule="auto"/>
    </w:pPr>
  </w:style>
  <w:style w:type="character" w:customStyle="1" w:styleId="HeaderChar">
    <w:name w:val="Header Char"/>
    <w:basedOn w:val="DefaultParagraphFont"/>
    <w:link w:val="Header"/>
    <w:rsid w:val="00C103EB"/>
  </w:style>
  <w:style w:type="paragraph" w:styleId="Footer">
    <w:name w:val="footer"/>
    <w:basedOn w:val="Normal"/>
    <w:link w:val="FooterChar"/>
    <w:uiPriority w:val="99"/>
    <w:unhideWhenUsed/>
    <w:rsid w:val="00C1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EB"/>
  </w:style>
  <w:style w:type="character" w:customStyle="1" w:styleId="Heading1Char">
    <w:name w:val="Heading 1 Char"/>
    <w:basedOn w:val="DefaultParagraphFont"/>
    <w:rsid w:val="00D01FD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9538F0"/>
    <w:pPr>
      <w:tabs>
        <w:tab w:val="left" w:pos="440"/>
        <w:tab w:val="right" w:leader="dot" w:pos="9017"/>
      </w:tabs>
      <w:spacing w:after="60"/>
    </w:pPr>
    <w:rPr>
      <w:noProof/>
      <w:lang w:val="en-GB"/>
    </w:rPr>
  </w:style>
  <w:style w:type="character" w:customStyle="1" w:styleId="Heading2Char">
    <w:name w:val="Heading 2 Char"/>
    <w:basedOn w:val="DefaultParagraphFont"/>
    <w:rsid w:val="00E162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E1620D"/>
    <w:rPr>
      <w:rFonts w:asciiTheme="majorHAnsi" w:eastAsiaTheme="majorEastAsia" w:hAnsiTheme="majorHAnsi" w:cstheme="majorBidi"/>
      <w:b/>
      <w:bCs/>
      <w:sz w:val="24"/>
    </w:rPr>
  </w:style>
  <w:style w:type="paragraph" w:customStyle="1" w:styleId="Prvi">
    <w:name w:val="Prvi"/>
    <w:basedOn w:val="IntenseQuote"/>
    <w:link w:val="PrviChar"/>
    <w:qFormat/>
    <w:rsid w:val="00F24744"/>
    <w:pPr>
      <w:ind w:left="0"/>
    </w:pPr>
    <w:rPr>
      <w:sz w:val="36"/>
      <w:lang w:val="en-GB"/>
    </w:rPr>
  </w:style>
  <w:style w:type="paragraph" w:customStyle="1" w:styleId="treci">
    <w:name w:val="treci"/>
    <w:basedOn w:val="Subtitle"/>
    <w:link w:val="treciChar"/>
    <w:qFormat/>
    <w:rsid w:val="00EF6F9C"/>
  </w:style>
  <w:style w:type="character" w:customStyle="1" w:styleId="PrviChar">
    <w:name w:val="Prvi Char"/>
    <w:basedOn w:val="IntenseQuoteChar"/>
    <w:link w:val="Prvi"/>
    <w:rsid w:val="00F24744"/>
    <w:rPr>
      <w:b/>
      <w:bCs/>
      <w:i/>
      <w:iCs/>
      <w:color w:val="4F81BD" w:themeColor="accent1"/>
      <w:sz w:val="36"/>
      <w:lang w:val="en-GB"/>
    </w:rPr>
  </w:style>
  <w:style w:type="paragraph" w:customStyle="1" w:styleId="drugi">
    <w:name w:val="drugi"/>
    <w:basedOn w:val="Normal"/>
    <w:link w:val="drugiChar"/>
    <w:rsid w:val="00EF6F9C"/>
    <w:rPr>
      <w:sz w:val="28"/>
      <w:lang w:val="en-GB"/>
    </w:rPr>
  </w:style>
  <w:style w:type="character" w:customStyle="1" w:styleId="treciChar">
    <w:name w:val="treci Char"/>
    <w:basedOn w:val="SubtitleChar"/>
    <w:link w:val="treci"/>
    <w:rsid w:val="00EF6F9C"/>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rsid w:val="00EF6F9C"/>
    <w:pPr>
      <w:spacing w:after="100"/>
      <w:ind w:left="220"/>
    </w:pPr>
  </w:style>
  <w:style w:type="character" w:customStyle="1" w:styleId="drugiChar">
    <w:name w:val="drugi Char"/>
    <w:basedOn w:val="DefaultParagraphFont"/>
    <w:link w:val="drugi"/>
    <w:rsid w:val="00EF6F9C"/>
    <w:rPr>
      <w:sz w:val="28"/>
      <w:lang w:val="en-GB"/>
    </w:rPr>
  </w:style>
  <w:style w:type="paragraph" w:styleId="TOC3">
    <w:name w:val="toc 3"/>
    <w:basedOn w:val="Normal"/>
    <w:next w:val="Normal"/>
    <w:autoRedefine/>
    <w:uiPriority w:val="39"/>
    <w:unhideWhenUsed/>
    <w:rsid w:val="00EF6F9C"/>
    <w:pPr>
      <w:spacing w:after="100"/>
      <w:ind w:left="440"/>
    </w:pPr>
  </w:style>
  <w:style w:type="paragraph" w:customStyle="1" w:styleId="drugi1">
    <w:name w:val="drugi1"/>
    <w:basedOn w:val="drugi"/>
    <w:link w:val="drugi1Char"/>
    <w:qFormat/>
    <w:rsid w:val="00F6058E"/>
    <w:rPr>
      <w:color w:val="C00000"/>
    </w:rPr>
  </w:style>
  <w:style w:type="paragraph" w:customStyle="1" w:styleId="Bodis2">
    <w:name w:val="Bodis 2"/>
    <w:basedOn w:val="Normal"/>
    <w:rsid w:val="005F1A49"/>
    <w:pPr>
      <w:spacing w:line="240" w:lineRule="auto"/>
      <w:ind w:left="1134"/>
    </w:pPr>
    <w:rPr>
      <w:rFonts w:eastAsia="Times New Roman" w:cs="Times New Roman"/>
      <w:szCs w:val="20"/>
      <w:lang w:val="en-GB" w:eastAsia="lt-LT"/>
    </w:rPr>
  </w:style>
  <w:style w:type="character" w:customStyle="1" w:styleId="drugi1Char">
    <w:name w:val="drugi1 Char"/>
    <w:basedOn w:val="drugiChar"/>
    <w:link w:val="drugi1"/>
    <w:rsid w:val="00F6058E"/>
    <w:rPr>
      <w:color w:val="C00000"/>
      <w:sz w:val="28"/>
      <w:lang w:val="en-GB"/>
    </w:rPr>
  </w:style>
  <w:style w:type="table" w:styleId="MediumShading1-Accent5">
    <w:name w:val="Medium Shading 1 Accent 5"/>
    <w:basedOn w:val="TableNormal"/>
    <w:uiPriority w:val="63"/>
    <w:rsid w:val="008D03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03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D03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8D03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A79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Heading">
    <w:name w:val="TOC Heading"/>
    <w:basedOn w:val="Normal"/>
    <w:next w:val="Normal"/>
    <w:uiPriority w:val="39"/>
    <w:unhideWhenUsed/>
    <w:qFormat/>
    <w:rsid w:val="00A93EAC"/>
    <w:rPr>
      <w:lang w:eastAsia="ja-JP"/>
    </w:rPr>
  </w:style>
  <w:style w:type="character" w:customStyle="1" w:styleId="Heading4Char">
    <w:name w:val="Heading 4 Char"/>
    <w:basedOn w:val="DefaultParagraphFont"/>
    <w:link w:val="Heading4"/>
    <w:rsid w:val="001B767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1B76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1B767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1B767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1B76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B7677"/>
    <w:rPr>
      <w:rFonts w:asciiTheme="majorHAnsi" w:eastAsiaTheme="majorEastAsia" w:hAnsiTheme="majorHAnsi" w:cstheme="majorBidi"/>
      <w:i/>
      <w:iCs/>
      <w:color w:val="404040" w:themeColor="text1" w:themeTint="BF"/>
      <w:sz w:val="20"/>
      <w:szCs w:val="20"/>
    </w:rPr>
  </w:style>
  <w:style w:type="character" w:customStyle="1" w:styleId="hps">
    <w:name w:val="hps"/>
    <w:basedOn w:val="DefaultParagraphFont"/>
    <w:rsid w:val="003777DC"/>
  </w:style>
  <w:style w:type="character" w:customStyle="1" w:styleId="ListParagraphChar">
    <w:name w:val="List Paragraph Char"/>
    <w:basedOn w:val="DefaultParagraphFont"/>
    <w:link w:val="ListParagraph"/>
    <w:uiPriority w:val="99"/>
    <w:rsid w:val="009A5953"/>
    <w:rPr>
      <w:rFonts w:ascii="Times New Roman" w:hAnsi="Times New Roman"/>
      <w:sz w:val="24"/>
    </w:rPr>
  </w:style>
  <w:style w:type="paragraph" w:customStyle="1" w:styleId="druginivo">
    <w:name w:val="drugi nivo"/>
    <w:basedOn w:val="Normal"/>
    <w:link w:val="druginivoChar"/>
    <w:qFormat/>
    <w:rsid w:val="00C96162"/>
    <w:rPr>
      <w:rFonts w:eastAsia="Times New Roman" w:cstheme="minorHAnsi"/>
      <w:b/>
      <w:color w:val="7F7F7F" w:themeColor="text1" w:themeTint="80"/>
      <w:szCs w:val="24"/>
      <w:lang w:eastAsia="en-GB"/>
    </w:rPr>
  </w:style>
  <w:style w:type="paragraph" w:customStyle="1" w:styleId="2">
    <w:name w:val="2."/>
    <w:basedOn w:val="Normal"/>
    <w:link w:val="2Char"/>
    <w:qFormat/>
    <w:rsid w:val="006A3910"/>
    <w:pPr>
      <w:spacing w:after="100"/>
    </w:pPr>
    <w:rPr>
      <w:i/>
    </w:rPr>
  </w:style>
  <w:style w:type="character" w:customStyle="1" w:styleId="druginivoChar">
    <w:name w:val="drugi nivo Char"/>
    <w:basedOn w:val="DefaultParagraphFont"/>
    <w:link w:val="druginivo"/>
    <w:rsid w:val="00C96162"/>
    <w:rPr>
      <w:rFonts w:eastAsia="Times New Roman" w:cstheme="minorHAnsi"/>
      <w:b/>
      <w:color w:val="7F7F7F" w:themeColor="text1" w:themeTint="80"/>
      <w:sz w:val="24"/>
      <w:szCs w:val="24"/>
      <w:lang w:eastAsia="en-GB"/>
    </w:rPr>
  </w:style>
  <w:style w:type="paragraph" w:customStyle="1" w:styleId="a3520normal">
    <w:name w:val="a___35__20_normal"/>
    <w:basedOn w:val="Normal"/>
    <w:rsid w:val="00270A48"/>
    <w:pPr>
      <w:spacing w:line="240" w:lineRule="auto"/>
    </w:pPr>
    <w:rPr>
      <w:rFonts w:eastAsia="Times New Roman" w:cs="Times New Roman"/>
      <w:szCs w:val="24"/>
    </w:rPr>
  </w:style>
  <w:style w:type="character" w:customStyle="1" w:styleId="2Char">
    <w:name w:val="2. Char"/>
    <w:basedOn w:val="Heading2Char"/>
    <w:link w:val="2"/>
    <w:rsid w:val="006A3910"/>
    <w:rPr>
      <w:rFonts w:asciiTheme="majorHAnsi" w:eastAsiaTheme="majorEastAsia" w:hAnsiTheme="majorHAnsi" w:cstheme="majorBidi"/>
      <w:b/>
      <w:bCs/>
      <w:i/>
      <w:color w:val="4F81BD" w:themeColor="accent1"/>
      <w:sz w:val="24"/>
      <w:szCs w:val="26"/>
    </w:rPr>
  </w:style>
  <w:style w:type="table" w:styleId="LightList-Accent1">
    <w:name w:val="Light List Accent 1"/>
    <w:basedOn w:val="TableNormal"/>
    <w:uiPriority w:val="61"/>
    <w:rsid w:val="00F05E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36C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nhideWhenUsed/>
    <w:rsid w:val="00E51A6E"/>
    <w:pPr>
      <w:spacing w:before="100" w:beforeAutospacing="1" w:after="115" w:line="240" w:lineRule="auto"/>
    </w:pPr>
    <w:rPr>
      <w:rFonts w:eastAsia="Times New Roman" w:cs="Times New Roman"/>
      <w:szCs w:val="24"/>
    </w:rPr>
  </w:style>
  <w:style w:type="table" w:customStyle="1" w:styleId="LightShading-Accent51">
    <w:name w:val="Light Shading - Accent 51"/>
    <w:basedOn w:val="TableNormal"/>
    <w:next w:val="LightShading-Accent5"/>
    <w:rsid w:val="00E51A6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A60D0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
    <w:name w:val="st"/>
    <w:basedOn w:val="DefaultParagraphFont"/>
    <w:rsid w:val="00C61538"/>
  </w:style>
  <w:style w:type="character" w:styleId="FollowedHyperlink">
    <w:name w:val="FollowedHyperlink"/>
    <w:basedOn w:val="DefaultParagraphFont"/>
    <w:semiHidden/>
    <w:unhideWhenUsed/>
    <w:rsid w:val="00F52C8D"/>
    <w:rPr>
      <w:color w:val="800080" w:themeColor="followedHyperlink"/>
      <w:u w:val="single"/>
    </w:rPr>
  </w:style>
  <w:style w:type="character" w:customStyle="1" w:styleId="shorttext">
    <w:name w:val="short_text"/>
    <w:basedOn w:val="DefaultParagraphFont"/>
    <w:rsid w:val="005D483B"/>
  </w:style>
  <w:style w:type="character" w:customStyle="1" w:styleId="Date1">
    <w:name w:val="Date1"/>
    <w:basedOn w:val="DefaultParagraphFont"/>
    <w:rsid w:val="00FE4A92"/>
  </w:style>
  <w:style w:type="character" w:styleId="Strong">
    <w:name w:val="Strong"/>
    <w:basedOn w:val="DefaultParagraphFont"/>
    <w:qFormat/>
    <w:rsid w:val="00F95AC2"/>
    <w:rPr>
      <w:b/>
      <w:bCs/>
    </w:rPr>
  </w:style>
  <w:style w:type="table" w:customStyle="1" w:styleId="LightShading-Accent52">
    <w:name w:val="Light Shading - Accent 52"/>
    <w:rsid w:val="009A5953"/>
    <w:pPr>
      <w:spacing w:after="0" w:line="240" w:lineRule="auto"/>
    </w:pPr>
    <w:rPr>
      <w:rFonts w:ascii="Calibri" w:eastAsia="Times New Roman" w:hAnsi="Calibri" w:cs="Times New Roman"/>
      <w:color w:val="31849B"/>
      <w:sz w:val="20"/>
      <w:szCs w:val="20"/>
      <w:lang w:val="sr-Cyrl-RS" w:eastAsia="sr-Cyrl-R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Accent21">
    <w:name w:val="Light Shading - Accent 21"/>
    <w:rsid w:val="009A5953"/>
    <w:pPr>
      <w:spacing w:after="0" w:line="240" w:lineRule="auto"/>
    </w:pPr>
    <w:rPr>
      <w:rFonts w:ascii="Calibri" w:eastAsia="Times New Roman" w:hAnsi="Calibri" w:cs="Times New Roman"/>
      <w:color w:val="943634"/>
      <w:sz w:val="20"/>
      <w:szCs w:val="20"/>
      <w:lang w:val="sr-Cyrl-RS" w:eastAsia="sr-Cyrl-R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Shading1-Accent51">
    <w:name w:val="Medium Shading 1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1-Accent11">
    <w:name w:val="Medium Shading 1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Grid-Accent11">
    <w:name w:val="Light Grid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Lucida Bright" w:eastAsia="Times New Roman" w:hAnsi="Lucida Br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Lucida Bright" w:eastAsia="Times New Roman" w:hAnsi="Lucida Br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Bright" w:eastAsia="Times New Roman" w:hAnsi="Lucida Bright" w:cs="Times New Roman"/>
        <w:b/>
        <w:bCs/>
      </w:rPr>
    </w:tblStylePr>
    <w:tblStylePr w:type="lastCol">
      <w:rPr>
        <w:rFonts w:ascii="Lucida Bright" w:eastAsia="Times New Roman" w:hAnsi="Lucida Br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
    <w:name w:val="Light List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rsid w:val="009A5953"/>
    <w:pPr>
      <w:spacing w:after="0" w:line="240" w:lineRule="auto"/>
    </w:pPr>
    <w:rPr>
      <w:rFonts w:ascii="Calibri" w:eastAsia="Times New Roman" w:hAnsi="Calibri" w:cs="Times New Roman"/>
      <w:color w:val="365F91"/>
      <w:sz w:val="20"/>
      <w:szCs w:val="20"/>
      <w:lang w:val="sr-Cyrl-RS" w:eastAsia="sr-Cyrl-R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41">
    <w:name w:val="Light List - Accent 4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IntenseEmphasis">
    <w:name w:val="Intense Emphasis"/>
    <w:basedOn w:val="DefaultParagraphFont"/>
    <w:uiPriority w:val="21"/>
    <w:qFormat/>
    <w:rsid w:val="009A5953"/>
    <w:rPr>
      <w:b/>
      <w:bCs/>
      <w:i/>
      <w:iCs/>
      <w:color w:val="4F81BD" w:themeColor="accent1"/>
    </w:rPr>
  </w:style>
  <w:style w:type="paragraph" w:styleId="NoSpacing">
    <w:name w:val="No Spacing"/>
    <w:uiPriority w:val="1"/>
    <w:qFormat/>
    <w:rsid w:val="009A5953"/>
    <w:pPr>
      <w:spacing w:after="0" w:line="240" w:lineRule="auto"/>
      <w:jc w:val="both"/>
    </w:pPr>
    <w:rPr>
      <w:rFonts w:ascii="Times New Roman" w:hAnsi="Times New Roman"/>
      <w:sz w:val="24"/>
    </w:rPr>
  </w:style>
  <w:style w:type="paragraph" w:styleId="Title">
    <w:name w:val="Title"/>
    <w:basedOn w:val="Normal"/>
    <w:next w:val="Normal"/>
    <w:link w:val="TitleChar"/>
    <w:uiPriority w:val="10"/>
    <w:qFormat/>
    <w:rsid w:val="00182D71"/>
    <w:pPr>
      <w:pBdr>
        <w:bottom w:val="single" w:sz="8" w:space="4" w:color="4F81BD" w:themeColor="accen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182D71"/>
    <w:rPr>
      <w:rFonts w:asciiTheme="majorHAnsi" w:eastAsiaTheme="majorEastAsia" w:hAnsiTheme="majorHAnsi" w:cstheme="majorBidi"/>
      <w:color w:val="000000" w:themeColor="text1"/>
      <w:spacing w:val="5"/>
      <w:kern w:val="28"/>
      <w:sz w:val="52"/>
      <w:szCs w:val="52"/>
    </w:rPr>
  </w:style>
  <w:style w:type="character" w:customStyle="1" w:styleId="Heading1Char1">
    <w:name w:val="Heading 1 Char1"/>
    <w:basedOn w:val="DefaultParagraphFont"/>
    <w:link w:val="Heading1"/>
    <w:rsid w:val="00182D71"/>
    <w:rPr>
      <w:rFonts w:asciiTheme="majorHAnsi" w:eastAsiaTheme="majorEastAsia" w:hAnsiTheme="majorHAnsi" w:cstheme="majorBidi"/>
      <w:b/>
      <w:bCs/>
      <w:caps/>
      <w:color w:val="000000" w:themeColor="text1"/>
      <w:sz w:val="28"/>
      <w:szCs w:val="28"/>
      <w:u w:val="single"/>
    </w:rPr>
  </w:style>
  <w:style w:type="character" w:customStyle="1" w:styleId="Heading2Char1">
    <w:name w:val="Heading 2 Char1"/>
    <w:basedOn w:val="DefaultParagraphFont"/>
    <w:link w:val="Heading2"/>
    <w:rsid w:val="00182D71"/>
    <w:rPr>
      <w:rFonts w:asciiTheme="majorHAnsi" w:eastAsiaTheme="majorEastAsia" w:hAnsiTheme="majorHAnsi" w:cstheme="majorBidi"/>
      <w:b/>
      <w:bCs/>
      <w:color w:val="000000" w:themeColor="text1"/>
      <w:sz w:val="26"/>
      <w:szCs w:val="26"/>
    </w:rPr>
  </w:style>
  <w:style w:type="character" w:customStyle="1" w:styleId="Heading3Char1">
    <w:name w:val="Heading 3 Char1"/>
    <w:basedOn w:val="DefaultParagraphFont"/>
    <w:link w:val="Heading3"/>
    <w:rsid w:val="00101110"/>
    <w:rPr>
      <w:rFonts w:asciiTheme="majorHAnsi" w:eastAsiaTheme="majorEastAsia" w:hAnsiTheme="majorHAnsi" w:cstheme="majorBidi"/>
      <w:b/>
      <w:bCs/>
      <w:sz w:val="24"/>
    </w:rPr>
  </w:style>
  <w:style w:type="paragraph" w:styleId="Revision">
    <w:name w:val="Revision"/>
    <w:hidden/>
    <w:uiPriority w:val="99"/>
    <w:semiHidden/>
    <w:rsid w:val="006B032E"/>
    <w:pPr>
      <w:spacing w:after="0" w:line="240" w:lineRule="auto"/>
    </w:pPr>
    <w:rPr>
      <w:rFonts w:ascii="Times New Roman" w:hAnsi="Times New Roman"/>
      <w:sz w:val="24"/>
    </w:rPr>
  </w:style>
  <w:style w:type="character" w:customStyle="1" w:styleId="apple-converted-space">
    <w:name w:val="apple-converted-space"/>
    <w:basedOn w:val="DefaultParagraphFont"/>
    <w:rsid w:val="0035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4563">
      <w:bodyDiv w:val="1"/>
      <w:marLeft w:val="0"/>
      <w:marRight w:val="0"/>
      <w:marTop w:val="0"/>
      <w:marBottom w:val="0"/>
      <w:divBdr>
        <w:top w:val="none" w:sz="0" w:space="0" w:color="auto"/>
        <w:left w:val="none" w:sz="0" w:space="0" w:color="auto"/>
        <w:bottom w:val="none" w:sz="0" w:space="0" w:color="auto"/>
        <w:right w:val="none" w:sz="0" w:space="0" w:color="auto"/>
      </w:divBdr>
    </w:div>
    <w:div w:id="699429605">
      <w:bodyDiv w:val="1"/>
      <w:marLeft w:val="0"/>
      <w:marRight w:val="0"/>
      <w:marTop w:val="0"/>
      <w:marBottom w:val="0"/>
      <w:divBdr>
        <w:top w:val="none" w:sz="0" w:space="0" w:color="auto"/>
        <w:left w:val="none" w:sz="0" w:space="0" w:color="auto"/>
        <w:bottom w:val="none" w:sz="0" w:space="0" w:color="auto"/>
        <w:right w:val="none" w:sz="0" w:space="0" w:color="auto"/>
      </w:divBdr>
    </w:div>
    <w:div w:id="850490747">
      <w:bodyDiv w:val="1"/>
      <w:marLeft w:val="0"/>
      <w:marRight w:val="0"/>
      <w:marTop w:val="0"/>
      <w:marBottom w:val="0"/>
      <w:divBdr>
        <w:top w:val="none" w:sz="0" w:space="0" w:color="auto"/>
        <w:left w:val="none" w:sz="0" w:space="0" w:color="auto"/>
        <w:bottom w:val="none" w:sz="0" w:space="0" w:color="auto"/>
        <w:right w:val="none" w:sz="0" w:space="0" w:color="auto"/>
      </w:divBdr>
    </w:div>
    <w:div w:id="1192180536">
      <w:bodyDiv w:val="1"/>
      <w:marLeft w:val="0"/>
      <w:marRight w:val="0"/>
      <w:marTop w:val="0"/>
      <w:marBottom w:val="0"/>
      <w:divBdr>
        <w:top w:val="none" w:sz="0" w:space="0" w:color="auto"/>
        <w:left w:val="none" w:sz="0" w:space="0" w:color="auto"/>
        <w:bottom w:val="none" w:sz="0" w:space="0" w:color="auto"/>
        <w:right w:val="none" w:sz="0" w:space="0" w:color="auto"/>
      </w:divBdr>
    </w:div>
    <w:div w:id="1270968162">
      <w:bodyDiv w:val="1"/>
      <w:marLeft w:val="0"/>
      <w:marRight w:val="0"/>
      <w:marTop w:val="0"/>
      <w:marBottom w:val="0"/>
      <w:divBdr>
        <w:top w:val="none" w:sz="0" w:space="0" w:color="auto"/>
        <w:left w:val="none" w:sz="0" w:space="0" w:color="auto"/>
        <w:bottom w:val="none" w:sz="0" w:space="0" w:color="auto"/>
        <w:right w:val="none" w:sz="0" w:space="0" w:color="auto"/>
      </w:divBdr>
    </w:div>
    <w:div w:id="1457798440">
      <w:bodyDiv w:val="1"/>
      <w:marLeft w:val="0"/>
      <w:marRight w:val="0"/>
      <w:marTop w:val="0"/>
      <w:marBottom w:val="0"/>
      <w:divBdr>
        <w:top w:val="none" w:sz="0" w:space="0" w:color="auto"/>
        <w:left w:val="none" w:sz="0" w:space="0" w:color="auto"/>
        <w:bottom w:val="none" w:sz="0" w:space="0" w:color="auto"/>
        <w:right w:val="none" w:sz="0" w:space="0" w:color="auto"/>
      </w:divBdr>
    </w:div>
    <w:div w:id="15737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yperlink" Target="http://www.minrzs.gov.rs/cms/sr/konkursi/323-javni-poziv-za-podnoenje-predloga-projekata-za-razvoj-i-unapreenje-lokalnih-socijalnih-usluga"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5" Type="http://schemas.openxmlformats.org/officeDocument/2006/relationships/hyperlink" Target="http://ec.europa.eu/esf/main.jsp?catId=62&amp;langId=en" TargetMode="External"/><Relationship Id="rId33"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29" Type="http://schemas.openxmlformats.org/officeDocument/2006/relationships/hyperlink" Target="http://www.minrzs.gov.rs/cms/sr/konkursi/328-2011-11-22-12-54-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sf/main.jsp?catId=62&amp;langId=en" TargetMode="External"/><Relationship Id="rId24" Type="http://schemas.openxmlformats.org/officeDocument/2006/relationships/hyperlink" Target="http://ec.europa.eu/esf/main.jsp?catId=32&amp;langId=en" TargetMode="Externa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ec.europa.eu/social/main.jsp?catId=370&amp;langId=en&amp;featuresId=106&amp;furtherFeatures=yes" TargetMode="External"/><Relationship Id="rId28" Type="http://schemas.openxmlformats.org/officeDocument/2006/relationships/hyperlink" Target="http://www.minrzs.gov.rs/cms/sr/konkursi/351-2012-02-22-14-21-52"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cdspredlaze.org.rs/Content/downloads/OP-HRD_2nd_Draft_%28main%29.pdf" TargetMode="External"/><Relationship Id="rId27" Type="http://schemas.openxmlformats.org/officeDocument/2006/relationships/hyperlink" Target="http://www.minrzs.gov.rs/cms/sr/konkursi/341-poziv-za-podnoenje-predloga-projekata" TargetMode="External"/><Relationship Id="rId30" Type="http://schemas.openxmlformats.org/officeDocument/2006/relationships/hyperlink" Target="http://www.oecd.org/dataoecd/40/27/48970654.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370&amp;langId=en&amp;featuresId=106&amp;furtherFeatures=yes" TargetMode="External"/><Relationship Id="rId2" Type="http://schemas.openxmlformats.org/officeDocument/2006/relationships/hyperlink" Target="http://www.oecd.org/dataoecd/40/27/48970654.pdf" TargetMode="External"/><Relationship Id="rId1" Type="http://schemas.openxmlformats.org/officeDocument/2006/relationships/hyperlink" Target="http://www.inkluzija.gov.rs/wp-content/uploads/2010/03/First-National-Report-on-Social-Inclusion-and-Poverty-Reduction.pdf" TargetMode="External"/><Relationship Id="rId4" Type="http://schemas.openxmlformats.org/officeDocument/2006/relationships/hyperlink" Target="http://ec.europa.eu/esf/main.jsp?catId=32&amp;lang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B835-18D1-4B0F-834B-6F7A2DC5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18721</Words>
  <Characters>106713</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dc:creator>
  <cp:lastModifiedBy>ML</cp:lastModifiedBy>
  <cp:revision>2</cp:revision>
  <cp:lastPrinted>2012-07-20T11:56:00Z</cp:lastPrinted>
  <dcterms:created xsi:type="dcterms:W3CDTF">2013-04-19T12:59:00Z</dcterms:created>
  <dcterms:modified xsi:type="dcterms:W3CDTF">2013-04-19T12:59:00Z</dcterms:modified>
</cp:coreProperties>
</file>