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6650A7" w14:textId="56C7CBA9" w:rsidR="00620341" w:rsidRPr="0013704E" w:rsidRDefault="004A1238" w:rsidP="00C97F65">
      <w:pPr>
        <w:pStyle w:val="Title"/>
        <w:jc w:val="center"/>
        <w:rPr>
          <w:rFonts w:ascii="Arial" w:hAnsi="Arial" w:cs="Arial"/>
          <w:color w:val="2F5496" w:themeColor="accent1" w:themeShade="BF"/>
          <w:sz w:val="44"/>
          <w:szCs w:val="44"/>
          <w:lang w:val="sr-Cyrl-RS"/>
        </w:rPr>
      </w:pPr>
      <w:r w:rsidRPr="0013704E">
        <w:rPr>
          <w:rFonts w:ascii="Arial" w:hAnsi="Arial" w:cs="Arial"/>
          <w:color w:val="2F5496" w:themeColor="accent1" w:themeShade="BF"/>
          <w:sz w:val="44"/>
          <w:szCs w:val="44"/>
          <w:lang w:val="sr-Cyrl-RS"/>
        </w:rPr>
        <w:t>THE DECILE DISTRIBUTION OF CONSUMPTION AND INC</w:t>
      </w:r>
      <w:r w:rsidR="00ED25B2" w:rsidRPr="0013704E">
        <w:rPr>
          <w:rFonts w:ascii="Arial" w:hAnsi="Arial" w:cs="Arial"/>
          <w:color w:val="2F5496" w:themeColor="accent1" w:themeShade="BF"/>
          <w:sz w:val="44"/>
          <w:szCs w:val="44"/>
          <w:lang w:val="sr-Cyrl-RS"/>
        </w:rPr>
        <w:t>OME IN THE REPUBLIC OF SERBIA IN</w:t>
      </w:r>
      <w:r w:rsidRPr="0013704E">
        <w:rPr>
          <w:rFonts w:ascii="Arial" w:hAnsi="Arial" w:cs="Arial"/>
          <w:color w:val="2F5496" w:themeColor="accent1" w:themeShade="BF"/>
          <w:sz w:val="44"/>
          <w:szCs w:val="44"/>
          <w:lang w:val="sr-Cyrl-RS"/>
        </w:rPr>
        <w:t xml:space="preserve"> 2018</w:t>
      </w:r>
    </w:p>
    <w:p w14:paraId="49DD0496" w14:textId="77777777" w:rsidR="00C97F65" w:rsidRPr="00C97F65" w:rsidRDefault="00C97F65" w:rsidP="00C97F65">
      <w:pPr>
        <w:rPr>
          <w:lang w:eastAsia="x-none" w:bidi="ar-SA"/>
        </w:rPr>
      </w:pPr>
    </w:p>
    <w:p w14:paraId="4D1424CF" w14:textId="2ACC655C" w:rsidR="007D3EA6" w:rsidRPr="00315DDE" w:rsidRDefault="007D3EA6" w:rsidP="0013704E">
      <w:pPr>
        <w:shd w:val="clear" w:color="auto" w:fill="FFFFFF"/>
        <w:spacing w:before="120" w:after="120"/>
        <w:jc w:val="both"/>
        <w:rPr>
          <w:rFonts w:ascii="Arial" w:hAnsi="Arial" w:cs="Arial"/>
          <w:sz w:val="21"/>
        </w:rPr>
      </w:pPr>
      <w:r w:rsidRPr="00315DDE">
        <w:rPr>
          <w:rFonts w:ascii="Arial" w:hAnsi="Arial" w:cs="Arial"/>
          <w:sz w:val="21"/>
        </w:rPr>
        <w:t xml:space="preserve">The decile distribution of the income/consumption in 2018 confirms the general trends of distribution that were present </w:t>
      </w:r>
      <w:hyperlink r:id="rId7" w:history="1">
        <w:r w:rsidRPr="00315DDE">
          <w:rPr>
            <w:rStyle w:val="Hyperlink"/>
            <w:rFonts w:ascii="Arial" w:hAnsi="Arial" w:cs="Arial"/>
            <w:sz w:val="21"/>
          </w:rPr>
          <w:t>in the previous period</w:t>
        </w:r>
      </w:hyperlink>
      <w:r w:rsidRPr="00315DDE">
        <w:rPr>
          <w:rFonts w:ascii="Arial" w:hAnsi="Arial" w:cs="Arial"/>
          <w:sz w:val="21"/>
        </w:rPr>
        <w:t>, and</w:t>
      </w:r>
      <w:r w:rsidR="002802BE" w:rsidRPr="00315DDE">
        <w:rPr>
          <w:rFonts w:ascii="Arial" w:hAnsi="Arial" w:cs="Arial"/>
          <w:sz w:val="21"/>
        </w:rPr>
        <w:t xml:space="preserve"> according to several observed indicators,</w:t>
      </w:r>
      <w:r w:rsidRPr="00315DDE">
        <w:rPr>
          <w:rFonts w:ascii="Arial" w:hAnsi="Arial" w:cs="Arial"/>
          <w:sz w:val="21"/>
        </w:rPr>
        <w:t xml:space="preserve"> </w:t>
      </w:r>
      <w:r w:rsidR="002802BE" w:rsidRPr="00315DDE">
        <w:rPr>
          <w:rFonts w:ascii="Arial" w:hAnsi="Arial" w:cs="Arial"/>
          <w:sz w:val="21"/>
        </w:rPr>
        <w:t xml:space="preserve">points to </w:t>
      </w:r>
      <w:r w:rsidRPr="00315DDE">
        <w:rPr>
          <w:rFonts w:ascii="Arial" w:hAnsi="Arial" w:cs="Arial"/>
          <w:sz w:val="21"/>
        </w:rPr>
        <w:t>the decline of the position of the poorer part of the population, compared to the previous year.</w:t>
      </w:r>
    </w:p>
    <w:p w14:paraId="52A7B7BD" w14:textId="3BB131E1" w:rsidR="00A3268F" w:rsidRPr="00315DDE" w:rsidRDefault="00A3268F" w:rsidP="0013704E">
      <w:pPr>
        <w:shd w:val="clear" w:color="auto" w:fill="FFFFFF"/>
        <w:spacing w:before="120" w:after="120"/>
        <w:jc w:val="both"/>
        <w:rPr>
          <w:rFonts w:ascii="Arial" w:hAnsi="Arial" w:cs="Arial"/>
          <w:sz w:val="21"/>
        </w:rPr>
      </w:pPr>
      <w:r w:rsidRPr="0013704E">
        <w:rPr>
          <w:rFonts w:ascii="Arial" w:hAnsi="Arial" w:cs="Arial"/>
          <w:b/>
          <w:sz w:val="26"/>
          <w:szCs w:val="26"/>
          <w:lang w:val="sr-Cyrl-RS"/>
        </w:rPr>
        <w:t>Average consumption</w:t>
      </w:r>
      <w:r w:rsidR="00C53475" w:rsidRPr="0013704E">
        <w:rPr>
          <w:rFonts w:ascii="Arial" w:hAnsi="Arial" w:cs="Arial"/>
          <w:b/>
          <w:sz w:val="26"/>
          <w:szCs w:val="26"/>
          <w:lang w:val="sr-Cyrl-RS"/>
        </w:rPr>
        <w:t xml:space="preserve"> decile</w:t>
      </w:r>
      <w:r w:rsidRPr="00315DDE">
        <w:rPr>
          <w:rFonts w:ascii="Arial" w:hAnsi="Arial" w:cs="Arial"/>
          <w:b/>
          <w:sz w:val="21"/>
        </w:rPr>
        <w:t xml:space="preserve"> </w:t>
      </w:r>
      <w:r w:rsidRPr="00315DDE">
        <w:rPr>
          <w:rFonts w:ascii="Arial" w:hAnsi="Arial" w:cs="Arial"/>
          <w:sz w:val="21"/>
        </w:rPr>
        <w:t xml:space="preserve">– In 2018, for the first time since this type of </w:t>
      </w:r>
      <w:r w:rsidR="009C22C8" w:rsidRPr="00315DDE">
        <w:rPr>
          <w:rFonts w:ascii="Arial" w:hAnsi="Arial" w:cs="Arial"/>
          <w:sz w:val="21"/>
        </w:rPr>
        <w:t>analys</w:t>
      </w:r>
      <w:r w:rsidR="00ED25B2" w:rsidRPr="00315DDE">
        <w:rPr>
          <w:rFonts w:ascii="Arial" w:hAnsi="Arial" w:cs="Arial"/>
          <w:sz w:val="21"/>
        </w:rPr>
        <w:t>is was conducted, there was</w:t>
      </w:r>
      <w:r w:rsidR="004C63B0" w:rsidRPr="00315DDE">
        <w:rPr>
          <w:rFonts w:ascii="Arial" w:hAnsi="Arial" w:cs="Arial"/>
          <w:sz w:val="21"/>
        </w:rPr>
        <w:t xml:space="preserve"> a nominal decrease</w:t>
      </w:r>
      <w:r w:rsidRPr="00315DDE">
        <w:rPr>
          <w:rFonts w:ascii="Arial" w:hAnsi="Arial" w:cs="Arial"/>
          <w:sz w:val="21"/>
        </w:rPr>
        <w:t xml:space="preserve"> in the average consumption of the first decile. Apart from the first decile, the nomina</w:t>
      </w:r>
      <w:r w:rsidR="004C63B0" w:rsidRPr="00315DDE">
        <w:rPr>
          <w:rFonts w:ascii="Arial" w:hAnsi="Arial" w:cs="Arial"/>
          <w:sz w:val="21"/>
        </w:rPr>
        <w:t>l decrease</w:t>
      </w:r>
      <w:r w:rsidR="009C22C8" w:rsidRPr="00315DDE">
        <w:rPr>
          <w:rFonts w:ascii="Arial" w:hAnsi="Arial" w:cs="Arial"/>
          <w:sz w:val="21"/>
        </w:rPr>
        <w:t xml:space="preserve"> of average consumption was</w:t>
      </w:r>
      <w:r w:rsidRPr="00315DDE">
        <w:rPr>
          <w:rFonts w:ascii="Arial" w:hAnsi="Arial" w:cs="Arial"/>
          <w:sz w:val="21"/>
        </w:rPr>
        <w:t xml:space="preserve"> realized by the first five deciles.</w:t>
      </w:r>
    </w:p>
    <w:p w14:paraId="64BA078F" w14:textId="5552C401" w:rsidR="004C63B0" w:rsidRPr="00315DDE" w:rsidRDefault="004C63B0" w:rsidP="0013704E">
      <w:pPr>
        <w:shd w:val="clear" w:color="auto" w:fill="FFFFFF"/>
        <w:spacing w:before="120" w:after="120"/>
        <w:jc w:val="both"/>
        <w:rPr>
          <w:rFonts w:ascii="Arial" w:hAnsi="Arial" w:cs="Arial"/>
          <w:sz w:val="21"/>
        </w:rPr>
      </w:pPr>
      <w:r w:rsidRPr="00315DDE">
        <w:rPr>
          <w:rFonts w:ascii="Arial" w:hAnsi="Arial" w:cs="Arial"/>
          <w:sz w:val="21"/>
        </w:rPr>
        <w:t xml:space="preserve">The average monthly consumption of the first decile in 2018 was </w:t>
      </w:r>
      <w:r w:rsidR="00985188" w:rsidRPr="00315DDE">
        <w:rPr>
          <w:rFonts w:ascii="Arial" w:hAnsi="Arial" w:cs="Arial"/>
          <w:sz w:val="21"/>
        </w:rPr>
        <w:t>RSD 10,988</w:t>
      </w:r>
      <w:r w:rsidRPr="00315DDE">
        <w:rPr>
          <w:rFonts w:ascii="Arial" w:hAnsi="Arial" w:cs="Arial"/>
          <w:sz w:val="21"/>
        </w:rPr>
        <w:t xml:space="preserve"> per consumer unit,</w:t>
      </w:r>
      <w:r w:rsidR="00985188" w:rsidRPr="00315DDE">
        <w:t xml:space="preserve"> </w:t>
      </w:r>
      <w:r w:rsidR="00985188" w:rsidRPr="00315DDE">
        <w:rPr>
          <w:rFonts w:ascii="Arial" w:hAnsi="Arial" w:cs="Arial"/>
          <w:sz w:val="21"/>
        </w:rPr>
        <w:t>while the average consumption of the tenth decile was six and a half times higher, i.e. RSD 71,413 per consumer unit.</w:t>
      </w:r>
      <w:r w:rsidR="00985188" w:rsidRPr="00315DDE">
        <w:t xml:space="preserve"> </w:t>
      </w:r>
      <w:r w:rsidR="00985188" w:rsidRPr="00315DDE">
        <w:rPr>
          <w:rFonts w:ascii="Arial" w:hAnsi="Arial" w:cs="Arial"/>
          <w:sz w:val="21"/>
        </w:rPr>
        <w:t xml:space="preserve">With this, the ratio of the average consumption of the lowest and the highest decile changed significantly to the detriment of the poorest decile, and a more </w:t>
      </w:r>
      <w:r w:rsidR="00ED25B2" w:rsidRPr="00315DDE">
        <w:rPr>
          <w:rFonts w:ascii="Arial" w:hAnsi="Arial" w:cs="Arial"/>
          <w:sz w:val="21"/>
        </w:rPr>
        <w:t>unfavourable</w:t>
      </w:r>
      <w:r w:rsidR="00985188" w:rsidRPr="00315DDE">
        <w:rPr>
          <w:rFonts w:ascii="Arial" w:hAnsi="Arial" w:cs="Arial"/>
          <w:sz w:val="21"/>
        </w:rPr>
        <w:t xml:space="preserve"> ratio was recorded only in 2006.</w:t>
      </w:r>
    </w:p>
    <w:p w14:paraId="67D494DF" w14:textId="55E50EE7" w:rsidR="00985188" w:rsidRPr="00315DDE" w:rsidRDefault="00985188" w:rsidP="0013704E">
      <w:pPr>
        <w:shd w:val="clear" w:color="auto" w:fill="FFFFFF"/>
        <w:spacing w:before="120" w:after="120"/>
        <w:jc w:val="both"/>
        <w:rPr>
          <w:rFonts w:ascii="Arial" w:hAnsi="Arial" w:cs="Arial"/>
          <w:sz w:val="21"/>
        </w:rPr>
      </w:pPr>
      <w:r w:rsidRPr="00315DDE">
        <w:rPr>
          <w:rFonts w:ascii="Arial" w:hAnsi="Arial" w:cs="Arial"/>
          <w:sz w:val="21"/>
        </w:rPr>
        <w:t>The</w:t>
      </w:r>
      <w:r w:rsidRPr="00315DDE">
        <w:t xml:space="preserve"> </w:t>
      </w:r>
      <w:r w:rsidRPr="00315DDE">
        <w:rPr>
          <w:rFonts w:ascii="Arial" w:hAnsi="Arial" w:cs="Arial"/>
          <w:sz w:val="21"/>
        </w:rPr>
        <w:t xml:space="preserve">consumption top cut-off point of the poorest decile, which </w:t>
      </w:r>
      <w:r w:rsidR="00DA4A99" w:rsidRPr="00315DDE">
        <w:rPr>
          <w:rFonts w:ascii="Arial" w:hAnsi="Arial" w:cs="Arial"/>
          <w:sz w:val="21"/>
        </w:rPr>
        <w:t xml:space="preserve">represents </w:t>
      </w:r>
      <w:r w:rsidRPr="00315DDE">
        <w:rPr>
          <w:rFonts w:ascii="Arial" w:hAnsi="Arial" w:cs="Arial"/>
          <w:sz w:val="21"/>
        </w:rPr>
        <w:t xml:space="preserve">the highest </w:t>
      </w:r>
      <w:r w:rsidR="008E2D9C" w:rsidRPr="00315DDE">
        <w:rPr>
          <w:rFonts w:ascii="Arial" w:hAnsi="Arial" w:cs="Arial"/>
          <w:sz w:val="21"/>
        </w:rPr>
        <w:t>equivalent consumption of</w:t>
      </w:r>
      <w:r w:rsidRPr="00315DDE">
        <w:rPr>
          <w:rFonts w:ascii="Arial" w:hAnsi="Arial" w:cs="Arial"/>
          <w:sz w:val="21"/>
        </w:rPr>
        <w:t xml:space="preserve"> this segment of the population is only RSD 13,894 per month. </w:t>
      </w:r>
    </w:p>
    <w:p w14:paraId="4C4A166D" w14:textId="30B8617C" w:rsidR="00CE2A42" w:rsidRPr="00315DDE" w:rsidRDefault="00DA4A99" w:rsidP="00FC271F">
      <w:pPr>
        <w:shd w:val="clear" w:color="auto" w:fill="FFFFFF"/>
        <w:spacing w:after="0" w:line="240" w:lineRule="auto"/>
        <w:jc w:val="both"/>
        <w:rPr>
          <w:rFonts w:ascii="Arial" w:hAnsi="Arial" w:cs="Arial"/>
          <w:b/>
          <w:bCs/>
          <w:sz w:val="18"/>
          <w:szCs w:val="20"/>
        </w:rPr>
      </w:pPr>
      <w:r w:rsidRPr="00315DDE">
        <w:rPr>
          <w:rFonts w:ascii="Arial" w:hAnsi="Arial" w:cs="Arial"/>
          <w:b/>
          <w:bCs/>
          <w:sz w:val="18"/>
          <w:szCs w:val="20"/>
        </w:rPr>
        <w:t>Chart</w:t>
      </w:r>
      <w:r w:rsidR="00CE2A42" w:rsidRPr="00315DDE">
        <w:rPr>
          <w:rFonts w:ascii="Arial" w:hAnsi="Arial" w:cs="Arial"/>
          <w:b/>
          <w:bCs/>
          <w:sz w:val="18"/>
          <w:szCs w:val="20"/>
        </w:rPr>
        <w:t xml:space="preserve"> 1. </w:t>
      </w:r>
      <w:r w:rsidRPr="00315DDE">
        <w:rPr>
          <w:rFonts w:ascii="Arial" w:hAnsi="Arial" w:cs="Arial"/>
          <w:b/>
          <w:bCs/>
          <w:sz w:val="18"/>
          <w:szCs w:val="20"/>
        </w:rPr>
        <w:t>The Average Monthly Consumption per Consumer Unit, by decile</w:t>
      </w:r>
      <w:r w:rsidR="00ED25B2" w:rsidRPr="00315DDE">
        <w:rPr>
          <w:rFonts w:ascii="Arial" w:hAnsi="Arial" w:cs="Arial"/>
          <w:b/>
          <w:bCs/>
          <w:sz w:val="18"/>
          <w:szCs w:val="20"/>
        </w:rPr>
        <w:t>,</w:t>
      </w:r>
      <w:r w:rsidRPr="00315DDE">
        <w:rPr>
          <w:rFonts w:ascii="Arial" w:hAnsi="Arial" w:cs="Arial"/>
          <w:b/>
          <w:bCs/>
          <w:sz w:val="18"/>
          <w:szCs w:val="20"/>
        </w:rPr>
        <w:t xml:space="preserve"> </w:t>
      </w:r>
      <w:r w:rsidR="00ED25B2" w:rsidRPr="00315DDE">
        <w:rPr>
          <w:rFonts w:ascii="Arial" w:hAnsi="Arial" w:cs="Arial"/>
          <w:b/>
          <w:bCs/>
          <w:sz w:val="18"/>
          <w:szCs w:val="20"/>
        </w:rPr>
        <w:t xml:space="preserve">in </w:t>
      </w:r>
      <w:r w:rsidRPr="00315DDE">
        <w:rPr>
          <w:rFonts w:ascii="Arial" w:hAnsi="Arial" w:cs="Arial"/>
          <w:b/>
          <w:bCs/>
          <w:sz w:val="18"/>
          <w:szCs w:val="20"/>
        </w:rPr>
        <w:t>RSD</w:t>
      </w:r>
      <w:r w:rsidR="00CE2A42" w:rsidRPr="00315DDE">
        <w:rPr>
          <w:rFonts w:ascii="Arial" w:hAnsi="Arial" w:cs="Arial"/>
          <w:b/>
          <w:bCs/>
          <w:sz w:val="18"/>
          <w:szCs w:val="20"/>
        </w:rPr>
        <w:t xml:space="preserve">, </w:t>
      </w:r>
      <w:r w:rsidR="00B213D2" w:rsidRPr="00315DDE">
        <w:rPr>
          <w:rFonts w:ascii="Arial" w:hAnsi="Arial" w:cs="Arial"/>
          <w:b/>
          <w:bCs/>
          <w:sz w:val="18"/>
          <w:szCs w:val="20"/>
        </w:rPr>
        <w:t>for 2018</w:t>
      </w:r>
    </w:p>
    <w:p w14:paraId="570EFE9F" w14:textId="2C416D24" w:rsidR="00620341" w:rsidRPr="00315DDE" w:rsidRDefault="00A3268F" w:rsidP="00FC271F">
      <w:pPr>
        <w:shd w:val="clear" w:color="auto" w:fill="FFFFFF"/>
        <w:spacing w:after="0" w:line="240" w:lineRule="auto"/>
        <w:jc w:val="both"/>
        <w:rPr>
          <w:rFonts w:ascii="Arial" w:hAnsi="Arial" w:cs="Arial"/>
          <w:sz w:val="21"/>
        </w:rPr>
      </w:pPr>
      <w:r w:rsidRPr="00315DDE">
        <w:rPr>
          <w:noProof/>
          <w:lang w:val="en-US" w:eastAsia="en-US" w:bidi="ar-SA"/>
        </w:rPr>
        <w:drawing>
          <wp:inline distT="0" distB="0" distL="0" distR="0" wp14:anchorId="6504C52F" wp14:editId="3D3D93FF">
            <wp:extent cx="5715000" cy="2743200"/>
            <wp:effectExtent l="0" t="0" r="1270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E73FA47" w14:textId="6C7E31D1" w:rsidR="00BB5E07" w:rsidRPr="00315DDE" w:rsidRDefault="00ED4E24" w:rsidP="00FC271F">
      <w:pPr>
        <w:spacing w:after="0" w:line="240" w:lineRule="auto"/>
        <w:jc w:val="both"/>
        <w:rPr>
          <w:rFonts w:ascii="Arial" w:hAnsi="Arial" w:cs="Arial"/>
          <w:i/>
          <w:color w:val="000000" w:themeColor="text1"/>
          <w:sz w:val="15"/>
          <w:szCs w:val="16"/>
        </w:rPr>
      </w:pPr>
      <w:r w:rsidRPr="00315DDE">
        <w:rPr>
          <w:rFonts w:ascii="Arial" w:hAnsi="Arial" w:cs="Arial"/>
          <w:i/>
          <w:color w:val="000000" w:themeColor="text1"/>
          <w:sz w:val="15"/>
          <w:szCs w:val="16"/>
        </w:rPr>
        <w:t>Source</w:t>
      </w:r>
      <w:r w:rsidR="00BB5E07" w:rsidRPr="00315DDE">
        <w:rPr>
          <w:rFonts w:ascii="Arial" w:hAnsi="Arial" w:cs="Arial"/>
          <w:i/>
          <w:color w:val="000000" w:themeColor="text1"/>
          <w:sz w:val="15"/>
          <w:szCs w:val="16"/>
        </w:rPr>
        <w:t>:</w:t>
      </w:r>
      <w:r w:rsidRPr="00315DDE">
        <w:rPr>
          <w:rFonts w:ascii="Arial" w:hAnsi="Arial" w:cs="Arial"/>
          <w:i/>
          <w:color w:val="000000" w:themeColor="text1"/>
          <w:sz w:val="15"/>
          <w:szCs w:val="16"/>
        </w:rPr>
        <w:t xml:space="preserve"> Household Budget Survey, Statistical Office of the Republic of Serbia</w:t>
      </w:r>
      <w:r w:rsidR="00BB5E07" w:rsidRPr="00315DDE">
        <w:rPr>
          <w:rFonts w:ascii="Arial" w:hAnsi="Arial" w:cs="Arial"/>
          <w:i/>
          <w:color w:val="000000" w:themeColor="text1"/>
          <w:sz w:val="15"/>
          <w:szCs w:val="16"/>
        </w:rPr>
        <w:t xml:space="preserve">, 2018. </w:t>
      </w:r>
      <w:r w:rsidRPr="00315DDE">
        <w:rPr>
          <w:rFonts w:ascii="Arial" w:hAnsi="Arial" w:cs="Arial"/>
          <w:i/>
          <w:color w:val="000000" w:themeColor="text1"/>
          <w:sz w:val="15"/>
          <w:szCs w:val="16"/>
        </w:rPr>
        <w:t xml:space="preserve">The data was processed specifically for the needs </w:t>
      </w:r>
      <w:r w:rsidR="001C32F4" w:rsidRPr="00315DDE">
        <w:rPr>
          <w:rFonts w:ascii="Arial" w:hAnsi="Arial" w:cs="Arial"/>
          <w:i/>
          <w:color w:val="000000" w:themeColor="text1"/>
          <w:sz w:val="15"/>
          <w:szCs w:val="16"/>
        </w:rPr>
        <w:t xml:space="preserve">of the Social Inclusion and Poverty Reduction of the Government of the Republic of Serbia </w:t>
      </w:r>
    </w:p>
    <w:p w14:paraId="1262D1EF" w14:textId="77777777" w:rsidR="00FC271F" w:rsidRDefault="00FC271F" w:rsidP="008E2D9C">
      <w:pPr>
        <w:shd w:val="clear" w:color="auto" w:fill="FFFFFF"/>
        <w:spacing w:before="120" w:after="120" w:line="240" w:lineRule="auto"/>
        <w:jc w:val="both"/>
        <w:rPr>
          <w:rFonts w:ascii="Arial" w:hAnsi="Arial" w:cs="Arial"/>
          <w:b/>
          <w:sz w:val="21"/>
        </w:rPr>
      </w:pPr>
    </w:p>
    <w:p w14:paraId="35B1E977" w14:textId="012F65D8" w:rsidR="00C53475" w:rsidRPr="00315DDE" w:rsidRDefault="00C53475" w:rsidP="0013704E">
      <w:pPr>
        <w:shd w:val="clear" w:color="auto" w:fill="FFFFFF"/>
        <w:spacing w:before="120" w:after="120"/>
        <w:jc w:val="both"/>
        <w:rPr>
          <w:rFonts w:ascii="Arial" w:hAnsi="Arial" w:cs="Arial"/>
          <w:sz w:val="21"/>
        </w:rPr>
      </w:pPr>
      <w:r w:rsidRPr="0013704E">
        <w:rPr>
          <w:rFonts w:ascii="Arial" w:hAnsi="Arial" w:cs="Arial"/>
          <w:b/>
          <w:sz w:val="26"/>
          <w:szCs w:val="26"/>
          <w:lang w:val="sr-Cyrl-RS"/>
        </w:rPr>
        <w:t>Average income decile</w:t>
      </w:r>
      <w:r w:rsidRPr="00315DDE">
        <w:rPr>
          <w:rFonts w:ascii="Arial" w:hAnsi="Arial" w:cs="Arial"/>
          <w:b/>
          <w:sz w:val="21"/>
        </w:rPr>
        <w:t xml:space="preserve"> - </w:t>
      </w:r>
      <w:r w:rsidRPr="00315DDE">
        <w:rPr>
          <w:rFonts w:ascii="Arial" w:hAnsi="Arial" w:cs="Arial"/>
          <w:sz w:val="21"/>
        </w:rPr>
        <w:t xml:space="preserve">The ratio of the average income of the first and the </w:t>
      </w:r>
      <w:r w:rsidR="007A3CF5" w:rsidRPr="00315DDE">
        <w:rPr>
          <w:rFonts w:ascii="Arial" w:hAnsi="Arial" w:cs="Arial"/>
          <w:sz w:val="21"/>
        </w:rPr>
        <w:t>te</w:t>
      </w:r>
      <w:r w:rsidR="008E2D9C" w:rsidRPr="00315DDE">
        <w:rPr>
          <w:rFonts w:ascii="Arial" w:hAnsi="Arial" w:cs="Arial"/>
          <w:sz w:val="21"/>
        </w:rPr>
        <w:t>nth decile in 2018 is</w:t>
      </w:r>
      <w:r w:rsidR="007A3CF5" w:rsidRPr="00315DDE">
        <w:rPr>
          <w:rFonts w:ascii="Arial" w:hAnsi="Arial" w:cs="Arial"/>
          <w:sz w:val="21"/>
        </w:rPr>
        <w:t xml:space="preserve"> changing to the detriment of the poorest decile, it increased from 7.7 in 2017 to 9 in 2018.</w:t>
      </w:r>
      <w:r w:rsidR="008E2D9C" w:rsidRPr="00315DDE">
        <w:t xml:space="preserve"> </w:t>
      </w:r>
      <w:r w:rsidR="008E2D9C" w:rsidRPr="00315DDE">
        <w:rPr>
          <w:rFonts w:ascii="Arial" w:hAnsi="Arial" w:cs="Arial"/>
          <w:sz w:val="21"/>
        </w:rPr>
        <w:t xml:space="preserve">Namely, the average monthly income of the first decile in 2018 is RSD 9,453 per consumer unit, while the average monthly income of the tenth </w:t>
      </w:r>
      <w:r w:rsidR="008E2D9C" w:rsidRPr="0013704E">
        <w:rPr>
          <w:rFonts w:ascii="Arial" w:hAnsi="Arial" w:cs="Arial"/>
          <w:sz w:val="21"/>
          <w:lang w:val="sr-Cyrl-RS"/>
        </w:rPr>
        <w:t>decile</w:t>
      </w:r>
      <w:r w:rsidR="008E2D9C" w:rsidRPr="00315DDE">
        <w:rPr>
          <w:rFonts w:ascii="Arial" w:hAnsi="Arial" w:cs="Arial"/>
          <w:sz w:val="21"/>
        </w:rPr>
        <w:t xml:space="preserve"> is RSD 85,186 per consumer unit.</w:t>
      </w:r>
      <w:r w:rsidR="007A3CF5" w:rsidRPr="00315DDE">
        <w:rPr>
          <w:rFonts w:ascii="Arial" w:hAnsi="Arial" w:cs="Arial"/>
          <w:sz w:val="21"/>
        </w:rPr>
        <w:t xml:space="preserve"> </w:t>
      </w:r>
    </w:p>
    <w:p w14:paraId="65DBC0CD" w14:textId="65CC1AF6" w:rsidR="008E2D9C" w:rsidRPr="00315DDE" w:rsidRDefault="008E2D9C" w:rsidP="008E2D9C">
      <w:pPr>
        <w:shd w:val="clear" w:color="auto" w:fill="FFFFFF"/>
        <w:spacing w:before="120" w:after="120" w:line="240" w:lineRule="auto"/>
        <w:jc w:val="both"/>
        <w:rPr>
          <w:rFonts w:ascii="Arial" w:hAnsi="Arial" w:cs="Arial"/>
          <w:b/>
          <w:sz w:val="26"/>
          <w:szCs w:val="26"/>
        </w:rPr>
      </w:pPr>
      <w:r w:rsidRPr="00315DDE">
        <w:rPr>
          <w:rFonts w:ascii="Arial" w:hAnsi="Arial" w:cs="Arial"/>
          <w:sz w:val="21"/>
        </w:rPr>
        <w:lastRenderedPageBreak/>
        <w:t xml:space="preserve">The income top cut-off point of the poorest decile, which represents the highest equivalent income of this segment of the population is only RSD 14,440 per month. </w:t>
      </w:r>
    </w:p>
    <w:p w14:paraId="0D0EA3C1" w14:textId="7F42D56E" w:rsidR="000B0461" w:rsidRPr="00315DDE" w:rsidRDefault="000B0461" w:rsidP="0013704E">
      <w:pPr>
        <w:spacing w:before="120" w:after="240"/>
        <w:jc w:val="both"/>
        <w:rPr>
          <w:rFonts w:ascii="Arial" w:hAnsi="Arial" w:cs="Arial"/>
          <w:b/>
          <w:color w:val="000000" w:themeColor="text1"/>
          <w:sz w:val="26"/>
          <w:szCs w:val="26"/>
        </w:rPr>
      </w:pPr>
      <w:r w:rsidRPr="0013704E">
        <w:rPr>
          <w:rFonts w:ascii="Arial" w:hAnsi="Arial" w:cs="Arial"/>
          <w:b/>
          <w:sz w:val="26"/>
          <w:szCs w:val="26"/>
        </w:rPr>
        <w:t>Structure of Personal Consumption Expenditures</w:t>
      </w:r>
      <w:r w:rsidRPr="0013704E">
        <w:rPr>
          <w:rFonts w:ascii="Arial" w:hAnsi="Arial" w:cs="Arial"/>
          <w:b/>
          <w:sz w:val="28"/>
          <w:szCs w:val="32"/>
        </w:rPr>
        <w:t xml:space="preserve"> </w:t>
      </w:r>
      <w:r w:rsidRPr="00315DDE">
        <w:rPr>
          <w:rFonts w:ascii="Arial" w:hAnsi="Arial" w:cs="Arial"/>
          <w:b/>
          <w:sz w:val="21"/>
        </w:rPr>
        <w:t xml:space="preserve">– </w:t>
      </w:r>
      <w:r w:rsidRPr="00315DDE">
        <w:rPr>
          <w:rFonts w:ascii="Arial" w:hAnsi="Arial" w:cs="Arial"/>
          <w:sz w:val="21"/>
        </w:rPr>
        <w:t>In</w:t>
      </w:r>
      <w:r w:rsidRPr="00315DDE">
        <w:rPr>
          <w:rFonts w:ascii="Arial" w:hAnsi="Arial" w:cs="Arial"/>
          <w:b/>
          <w:color w:val="000000" w:themeColor="text1"/>
          <w:sz w:val="26"/>
          <w:szCs w:val="26"/>
        </w:rPr>
        <w:t xml:space="preserve"> </w:t>
      </w:r>
      <w:r w:rsidRPr="00315DDE">
        <w:rPr>
          <w:rFonts w:ascii="Arial" w:hAnsi="Arial" w:cs="Arial"/>
          <w:sz w:val="21"/>
        </w:rPr>
        <w:t>2018,</w:t>
      </w:r>
      <w:r w:rsidRPr="00315DDE">
        <w:t xml:space="preserve"> </w:t>
      </w:r>
      <w:r w:rsidRPr="00315DDE">
        <w:rPr>
          <w:rFonts w:ascii="Arial" w:hAnsi="Arial" w:cs="Arial"/>
          <w:sz w:val="21"/>
        </w:rPr>
        <w:t xml:space="preserve">in the structure of personal consumption expenditures for the poorest decile, the share of expenditures on food and non-alcoholic beverages increased </w:t>
      </w:r>
      <w:r w:rsidRPr="0013704E">
        <w:rPr>
          <w:rFonts w:ascii="Arial" w:hAnsi="Arial" w:cs="Arial"/>
          <w:sz w:val="21"/>
          <w:lang w:val="sr-Cyrl-RS"/>
        </w:rPr>
        <w:t>compared</w:t>
      </w:r>
      <w:r w:rsidRPr="00315DDE">
        <w:rPr>
          <w:rFonts w:ascii="Arial" w:hAnsi="Arial" w:cs="Arial"/>
          <w:sz w:val="21"/>
        </w:rPr>
        <w:t xml:space="preserve"> to the year before and accounts for more than half of the expenditure of the first decile. In </w:t>
      </w:r>
      <w:r w:rsidRPr="0013704E">
        <w:rPr>
          <w:rFonts w:ascii="Arial" w:hAnsi="Arial" w:cs="Arial"/>
          <w:sz w:val="21"/>
          <w:lang w:val="sr-Cyrl-RS"/>
        </w:rPr>
        <w:t>relation</w:t>
      </w:r>
      <w:r w:rsidRPr="00315DDE">
        <w:rPr>
          <w:rFonts w:ascii="Arial" w:hAnsi="Arial" w:cs="Arial"/>
          <w:sz w:val="21"/>
        </w:rPr>
        <w:t xml:space="preserve"> to the richest decile, </w:t>
      </w:r>
      <w:r w:rsidR="0013704E">
        <w:rPr>
          <w:rFonts w:ascii="Arial" w:hAnsi="Arial" w:cs="Arial"/>
          <w:sz w:val="21"/>
        </w:rPr>
        <w:t>beside</w:t>
      </w:r>
      <w:r w:rsidRPr="00315DDE">
        <w:rPr>
          <w:rFonts w:ascii="Arial" w:hAnsi="Arial" w:cs="Arial"/>
          <w:sz w:val="21"/>
        </w:rPr>
        <w:t xml:space="preserve"> in this item of consumption, significant differences remain in the share of </w:t>
      </w:r>
      <w:r w:rsidR="00497AD5" w:rsidRPr="00315DDE">
        <w:rPr>
          <w:rFonts w:ascii="Arial" w:hAnsi="Arial" w:cs="Arial"/>
          <w:sz w:val="21"/>
        </w:rPr>
        <w:t xml:space="preserve">expenditures </w:t>
      </w:r>
      <w:r w:rsidRPr="00315DDE">
        <w:rPr>
          <w:rFonts w:ascii="Arial" w:hAnsi="Arial" w:cs="Arial"/>
          <w:sz w:val="21"/>
        </w:rPr>
        <w:t>directed towards education, recreation and culture, transport, restaurants and hotels</w:t>
      </w:r>
      <w:r w:rsidR="00497AD5" w:rsidRPr="00315DDE">
        <w:rPr>
          <w:rFonts w:ascii="Arial" w:hAnsi="Arial" w:cs="Arial"/>
          <w:sz w:val="21"/>
        </w:rPr>
        <w:t>.</w:t>
      </w:r>
    </w:p>
    <w:p w14:paraId="48B39DBE" w14:textId="533A08DE" w:rsidR="002B7FC8" w:rsidRPr="00315DDE" w:rsidRDefault="00497AD5" w:rsidP="005046FB">
      <w:pPr>
        <w:spacing w:after="0" w:line="240" w:lineRule="auto"/>
        <w:jc w:val="both"/>
        <w:rPr>
          <w:rFonts w:ascii="Arial" w:hAnsi="Arial" w:cs="Arial"/>
          <w:b/>
          <w:color w:val="000000" w:themeColor="text1"/>
          <w:sz w:val="18"/>
        </w:rPr>
      </w:pPr>
      <w:r w:rsidRPr="00315DDE">
        <w:rPr>
          <w:rFonts w:ascii="Arial" w:hAnsi="Arial" w:cs="Arial"/>
          <w:b/>
          <w:color w:val="000000" w:themeColor="text1"/>
          <w:sz w:val="18"/>
        </w:rPr>
        <w:t>Chart</w:t>
      </w:r>
      <w:r w:rsidR="002B7FC8" w:rsidRPr="00315DDE">
        <w:rPr>
          <w:rFonts w:ascii="Arial" w:hAnsi="Arial" w:cs="Arial"/>
          <w:b/>
          <w:color w:val="000000" w:themeColor="text1"/>
          <w:sz w:val="18"/>
        </w:rPr>
        <w:t xml:space="preserve"> </w:t>
      </w:r>
      <w:r w:rsidR="00CC7346" w:rsidRPr="00315DDE">
        <w:rPr>
          <w:rFonts w:ascii="Arial" w:hAnsi="Arial" w:cs="Arial"/>
          <w:b/>
          <w:color w:val="000000" w:themeColor="text1"/>
          <w:sz w:val="18"/>
        </w:rPr>
        <w:t>2</w:t>
      </w:r>
      <w:r w:rsidR="002B7FC8" w:rsidRPr="00315DDE">
        <w:rPr>
          <w:rFonts w:ascii="Arial" w:hAnsi="Arial" w:cs="Arial"/>
          <w:b/>
          <w:color w:val="000000" w:themeColor="text1"/>
          <w:sz w:val="18"/>
        </w:rPr>
        <w:t xml:space="preserve">. </w:t>
      </w:r>
      <w:r w:rsidR="00B213D2" w:rsidRPr="00315DDE">
        <w:rPr>
          <w:rFonts w:ascii="Arial" w:hAnsi="Arial" w:cs="Arial"/>
          <w:b/>
          <w:color w:val="000000" w:themeColor="text1"/>
          <w:sz w:val="18"/>
        </w:rPr>
        <w:t>Structure of Personal Consumption Expenditures of the first and the tenth decile, for 2018</w:t>
      </w:r>
    </w:p>
    <w:p w14:paraId="7FE908A9" w14:textId="41850AE2" w:rsidR="0013704E" w:rsidRPr="005046FB" w:rsidRDefault="00CE610E" w:rsidP="005046FB">
      <w:pPr>
        <w:pStyle w:val="NormalWeb"/>
        <w:shd w:val="clear" w:color="auto" w:fill="FFFFFF"/>
        <w:spacing w:before="0" w:beforeAutospacing="0" w:after="0" w:afterAutospacing="0"/>
        <w:jc w:val="both"/>
      </w:pPr>
      <w:r w:rsidRPr="00315DDE">
        <w:rPr>
          <w:noProof/>
          <w:lang w:val="en-US" w:eastAsia="en-US"/>
        </w:rPr>
        <w:drawing>
          <wp:inline distT="0" distB="0" distL="0" distR="0" wp14:anchorId="6EEC2D61" wp14:editId="49430528">
            <wp:extent cx="2790825" cy="2742565"/>
            <wp:effectExtent l="0" t="0" r="15875" b="133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315DDE">
        <w:rPr>
          <w:noProof/>
          <w:lang w:eastAsia="en-US"/>
        </w:rPr>
        <w:t xml:space="preserve"> </w:t>
      </w:r>
      <w:r w:rsidR="002B7FC8" w:rsidRPr="00315DDE">
        <w:t xml:space="preserve"> </w:t>
      </w:r>
      <w:r w:rsidR="00131908" w:rsidRPr="00315DDE">
        <w:rPr>
          <w:noProof/>
          <w:lang w:val="en-US" w:eastAsia="en-US"/>
        </w:rPr>
        <w:drawing>
          <wp:inline distT="0" distB="0" distL="0" distR="0" wp14:anchorId="56EDA9F1" wp14:editId="0FDB634D">
            <wp:extent cx="2790825" cy="2742833"/>
            <wp:effectExtent l="0" t="0" r="15875" b="133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131908" w:rsidRPr="00315DDE">
        <w:rPr>
          <w:noProof/>
          <w:lang w:eastAsia="en-US"/>
        </w:rPr>
        <w:t xml:space="preserve"> </w:t>
      </w:r>
    </w:p>
    <w:p w14:paraId="362038CD" w14:textId="4202C915" w:rsidR="004301E5" w:rsidRPr="00315DDE" w:rsidRDefault="004301E5" w:rsidP="005046FB">
      <w:pPr>
        <w:spacing w:after="0" w:line="240" w:lineRule="auto"/>
        <w:jc w:val="both"/>
        <w:rPr>
          <w:rFonts w:ascii="Arial" w:hAnsi="Arial" w:cs="Arial"/>
          <w:i/>
          <w:color w:val="000000" w:themeColor="text1"/>
          <w:sz w:val="15"/>
          <w:szCs w:val="16"/>
        </w:rPr>
      </w:pPr>
      <w:r w:rsidRPr="00315DDE">
        <w:rPr>
          <w:rFonts w:ascii="Arial" w:hAnsi="Arial" w:cs="Arial"/>
          <w:i/>
          <w:color w:val="000000" w:themeColor="text1"/>
          <w:sz w:val="15"/>
          <w:szCs w:val="16"/>
        </w:rPr>
        <w:t xml:space="preserve">Source: Household Budget Survey, Statistical Office of the Republic of Serbia, 2018. The data was processed specifically for the needs of the Social Inclusion and Poverty Reduction of the Government of the Republic of Serbia </w:t>
      </w:r>
    </w:p>
    <w:p w14:paraId="0A891FF5" w14:textId="77777777" w:rsidR="005046FB" w:rsidRDefault="005046FB" w:rsidP="00990102">
      <w:pPr>
        <w:spacing w:before="120" w:after="240" w:line="240" w:lineRule="auto"/>
        <w:jc w:val="both"/>
        <w:rPr>
          <w:rFonts w:ascii="Arial" w:hAnsi="Arial" w:cs="Arial"/>
          <w:b/>
          <w:sz w:val="26"/>
          <w:szCs w:val="26"/>
        </w:rPr>
      </w:pPr>
    </w:p>
    <w:p w14:paraId="4F5A4212" w14:textId="7436089B" w:rsidR="00990102" w:rsidRPr="00315DDE" w:rsidRDefault="00990102" w:rsidP="00990102">
      <w:pPr>
        <w:spacing w:before="120" w:after="240" w:line="240" w:lineRule="auto"/>
        <w:jc w:val="both"/>
        <w:rPr>
          <w:rFonts w:ascii="Arial" w:hAnsi="Arial" w:cs="Arial"/>
          <w:sz w:val="21"/>
        </w:rPr>
      </w:pPr>
      <w:r w:rsidRPr="0013704E">
        <w:rPr>
          <w:rFonts w:ascii="Arial" w:hAnsi="Arial" w:cs="Arial"/>
          <w:b/>
          <w:sz w:val="26"/>
          <w:szCs w:val="26"/>
        </w:rPr>
        <w:t>Structure of Income Sources</w:t>
      </w:r>
      <w:r w:rsidRPr="0013704E">
        <w:rPr>
          <w:rFonts w:ascii="Arial" w:hAnsi="Arial" w:cs="Arial"/>
          <w:b/>
          <w:sz w:val="24"/>
          <w:szCs w:val="28"/>
        </w:rPr>
        <w:t xml:space="preserve"> </w:t>
      </w:r>
      <w:r w:rsidRPr="00315DDE">
        <w:rPr>
          <w:rFonts w:ascii="Arial" w:hAnsi="Arial" w:cs="Arial"/>
          <w:b/>
          <w:sz w:val="21"/>
        </w:rPr>
        <w:t xml:space="preserve">– </w:t>
      </w:r>
      <w:r w:rsidR="005046FB">
        <w:rPr>
          <w:rFonts w:ascii="Arial" w:hAnsi="Arial" w:cs="Arial"/>
          <w:sz w:val="21"/>
        </w:rPr>
        <w:t>C</w:t>
      </w:r>
      <w:r w:rsidRPr="00315DDE">
        <w:rPr>
          <w:rFonts w:ascii="Arial" w:hAnsi="Arial" w:cs="Arial"/>
          <w:sz w:val="21"/>
        </w:rPr>
        <w:t>ompared to the previous year,</w:t>
      </w:r>
      <w:r w:rsidRPr="00315DDE">
        <w:t xml:space="preserve"> </w:t>
      </w:r>
      <w:r w:rsidRPr="00315DDE">
        <w:rPr>
          <w:rFonts w:ascii="Arial" w:hAnsi="Arial" w:cs="Arial"/>
          <w:sz w:val="21"/>
        </w:rPr>
        <w:t xml:space="preserve">in 2018, </w:t>
      </w:r>
      <w:r w:rsidR="005046FB">
        <w:rPr>
          <w:rFonts w:ascii="Arial" w:hAnsi="Arial" w:cs="Arial"/>
          <w:sz w:val="21"/>
        </w:rPr>
        <w:t>structure of income sources</w:t>
      </w:r>
      <w:r w:rsidRPr="00315DDE">
        <w:rPr>
          <w:rFonts w:ascii="Arial" w:hAnsi="Arial" w:cs="Arial"/>
          <w:sz w:val="21"/>
        </w:rPr>
        <w:t xml:space="preserve"> further deteriorated in the poorest decile.</w:t>
      </w:r>
      <w:r w:rsidRPr="00315DDE">
        <w:t xml:space="preserve"> </w:t>
      </w:r>
      <w:r w:rsidRPr="00315DDE">
        <w:rPr>
          <w:rFonts w:ascii="Arial" w:hAnsi="Arial" w:cs="Arial"/>
          <w:sz w:val="21"/>
        </w:rPr>
        <w:t>Namely, income from wages is the main source of income for a dramatically smaller share of persons of the first decile.</w:t>
      </w:r>
      <w:r w:rsidRPr="00315DDE">
        <w:t xml:space="preserve"> </w:t>
      </w:r>
      <w:r w:rsidRPr="00315DDE">
        <w:rPr>
          <w:rFonts w:ascii="Arial" w:hAnsi="Arial" w:cs="Arial"/>
          <w:sz w:val="21"/>
        </w:rPr>
        <w:t>In 2017,</w:t>
      </w:r>
      <w:r w:rsidRPr="00315DDE">
        <w:t xml:space="preserve"> </w:t>
      </w:r>
      <w:r w:rsidRPr="00315DDE">
        <w:rPr>
          <w:rFonts w:ascii="Arial" w:hAnsi="Arial" w:cs="Arial"/>
          <w:sz w:val="21"/>
        </w:rPr>
        <w:t>income from wages was the primary source of income for almost a third of persons (32.4%), while in 2018, this share decreased to one quarter (25.1%).</w:t>
      </w:r>
      <w:r w:rsidRPr="00315DDE">
        <w:t xml:space="preserve"> </w:t>
      </w:r>
      <w:r w:rsidRPr="00315DDE">
        <w:rPr>
          <w:rFonts w:ascii="Arial" w:hAnsi="Arial" w:cs="Arial"/>
          <w:sz w:val="21"/>
        </w:rPr>
        <w:t>Pensions remain the primary source of income for this decile with a share of 45%,</w:t>
      </w:r>
      <w:r w:rsidRPr="00315DDE">
        <w:t xml:space="preserve"> </w:t>
      </w:r>
      <w:r w:rsidRPr="00315DDE">
        <w:rPr>
          <w:rFonts w:ascii="Arial" w:hAnsi="Arial" w:cs="Arial"/>
          <w:sz w:val="21"/>
        </w:rPr>
        <w:t>and social transfers, with a share of 15.3%, make up the third largest source of income for the poorest decile.</w:t>
      </w:r>
      <w:r w:rsidRPr="00315DDE">
        <w:t xml:space="preserve"> </w:t>
      </w:r>
      <w:r w:rsidRPr="00315DDE">
        <w:rPr>
          <w:rFonts w:ascii="Arial" w:hAnsi="Arial" w:cs="Arial"/>
          <w:sz w:val="21"/>
        </w:rPr>
        <w:t>Social transfers are the primary source of income for less than five 5% of persons of the second decile, an</w:t>
      </w:r>
      <w:r w:rsidR="00ED25B2" w:rsidRPr="00315DDE">
        <w:rPr>
          <w:rFonts w:ascii="Arial" w:hAnsi="Arial" w:cs="Arial"/>
          <w:sz w:val="21"/>
        </w:rPr>
        <w:t>d less than 1% of persons from</w:t>
      </w:r>
      <w:r w:rsidRPr="00315DDE">
        <w:rPr>
          <w:rFonts w:ascii="Arial" w:hAnsi="Arial" w:cs="Arial"/>
          <w:sz w:val="21"/>
        </w:rPr>
        <w:t xml:space="preserve"> the fourth decile.</w:t>
      </w:r>
    </w:p>
    <w:p w14:paraId="5E1655FC" w14:textId="2D318C35" w:rsidR="00BB5E07" w:rsidRPr="00315DDE" w:rsidRDefault="00B213D2" w:rsidP="00CC7346">
      <w:pPr>
        <w:spacing w:after="0" w:line="240" w:lineRule="auto"/>
        <w:jc w:val="both"/>
        <w:rPr>
          <w:rFonts w:ascii="Arial" w:hAnsi="Arial" w:cs="Arial"/>
          <w:b/>
          <w:sz w:val="18"/>
        </w:rPr>
      </w:pPr>
      <w:r w:rsidRPr="00315DDE">
        <w:rPr>
          <w:rFonts w:ascii="Arial" w:hAnsi="Arial" w:cs="Arial"/>
          <w:b/>
          <w:sz w:val="18"/>
        </w:rPr>
        <w:t>Table</w:t>
      </w:r>
      <w:r w:rsidR="00BB5E07" w:rsidRPr="00315DDE">
        <w:rPr>
          <w:rFonts w:ascii="Arial" w:hAnsi="Arial" w:cs="Arial"/>
          <w:b/>
          <w:sz w:val="18"/>
        </w:rPr>
        <w:t xml:space="preserve"> </w:t>
      </w:r>
      <w:r w:rsidR="005E495C" w:rsidRPr="00315DDE">
        <w:rPr>
          <w:rFonts w:ascii="Arial" w:hAnsi="Arial" w:cs="Arial"/>
          <w:b/>
          <w:sz w:val="18"/>
        </w:rPr>
        <w:t>1</w:t>
      </w:r>
      <w:r w:rsidR="00BB5E07" w:rsidRPr="00315DDE">
        <w:rPr>
          <w:rFonts w:ascii="Arial" w:hAnsi="Arial" w:cs="Arial"/>
          <w:b/>
          <w:sz w:val="18"/>
        </w:rPr>
        <w:t xml:space="preserve">: </w:t>
      </w:r>
      <w:r w:rsidRPr="00315DDE">
        <w:rPr>
          <w:rFonts w:ascii="Arial" w:hAnsi="Arial" w:cs="Arial"/>
          <w:b/>
          <w:sz w:val="18"/>
        </w:rPr>
        <w:t>Main Sources of Income by deciles</w:t>
      </w:r>
      <w:r w:rsidR="00BB5E07" w:rsidRPr="00315DDE">
        <w:rPr>
          <w:rFonts w:ascii="Arial" w:hAnsi="Arial" w:cs="Arial"/>
          <w:b/>
          <w:sz w:val="18"/>
        </w:rPr>
        <w:t xml:space="preserve">, </w:t>
      </w:r>
      <w:r w:rsidRPr="00315DDE">
        <w:rPr>
          <w:rFonts w:ascii="Arial" w:hAnsi="Arial" w:cs="Arial"/>
          <w:b/>
          <w:sz w:val="18"/>
        </w:rPr>
        <w:t>for 2018</w:t>
      </w:r>
    </w:p>
    <w:tbl>
      <w:tblPr>
        <w:tblStyle w:val="TableGrid"/>
        <w:tblW w:w="5000" w:type="pct"/>
        <w:jc w:val="center"/>
        <w:tblLook w:val="04A0" w:firstRow="1" w:lastRow="0" w:firstColumn="1" w:lastColumn="0" w:noHBand="0" w:noVBand="1"/>
      </w:tblPr>
      <w:tblGrid>
        <w:gridCol w:w="3499"/>
        <w:gridCol w:w="717"/>
        <w:gridCol w:w="475"/>
        <w:gridCol w:w="477"/>
        <w:gridCol w:w="477"/>
        <w:gridCol w:w="481"/>
        <w:gridCol w:w="481"/>
        <w:gridCol w:w="481"/>
        <w:gridCol w:w="481"/>
        <w:gridCol w:w="481"/>
        <w:gridCol w:w="482"/>
        <w:gridCol w:w="478"/>
      </w:tblGrid>
      <w:tr w:rsidR="00BB5E07" w:rsidRPr="00315DDE" w14:paraId="643FF67B" w14:textId="77777777" w:rsidTr="00994BFC">
        <w:trPr>
          <w:trHeight w:val="305"/>
          <w:jc w:val="center"/>
        </w:trPr>
        <w:tc>
          <w:tcPr>
            <w:tcW w:w="1094" w:type="pct"/>
            <w:vMerge w:val="restart"/>
            <w:shd w:val="clear" w:color="auto" w:fill="8EAADB" w:themeFill="accent1" w:themeFillTint="99"/>
            <w:noWrap/>
            <w:hideMark/>
          </w:tcPr>
          <w:p w14:paraId="19ED826F" w14:textId="77777777" w:rsidR="00BB5E07" w:rsidRPr="00315DDE" w:rsidRDefault="00BB5E07" w:rsidP="00CC7346">
            <w:pPr>
              <w:spacing w:after="0" w:line="360" w:lineRule="auto"/>
              <w:jc w:val="both"/>
              <w:rPr>
                <w:rFonts w:ascii="Arial" w:hAnsi="Arial" w:cs="Arial"/>
                <w:b/>
                <w:color w:val="000000" w:themeColor="text1"/>
                <w:sz w:val="13"/>
                <w:szCs w:val="13"/>
                <w14:shadow w14:blurRad="50800" w14:dist="50800" w14:dir="5400000" w14:sx="0" w14:sy="0" w14:kx="0" w14:ky="0" w14:algn="ctr">
                  <w14:schemeClr w14:val="tx2">
                    <w14:lumMod w14:val="40000"/>
                    <w14:lumOff w14:val="60000"/>
                  </w14:schemeClr>
                </w14:shadow>
              </w:rPr>
            </w:pPr>
            <w:r w:rsidRPr="00315DDE">
              <w:rPr>
                <w:rFonts w:ascii="Arial" w:hAnsi="Arial" w:cs="Arial"/>
                <w:color w:val="000000" w:themeColor="text1"/>
                <w:sz w:val="13"/>
                <w:szCs w:val="13"/>
                <w14:shadow w14:blurRad="50800" w14:dist="50800" w14:dir="5400000" w14:sx="0" w14:sy="0" w14:kx="0" w14:ky="0" w14:algn="ctr">
                  <w14:schemeClr w14:val="tx2">
                    <w14:lumMod w14:val="40000"/>
                    <w14:lumOff w14:val="60000"/>
                  </w14:schemeClr>
                </w14:shadow>
              </w:rPr>
              <w:t> </w:t>
            </w:r>
          </w:p>
        </w:tc>
        <w:tc>
          <w:tcPr>
            <w:tcW w:w="475" w:type="pct"/>
            <w:vMerge w:val="restart"/>
            <w:shd w:val="clear" w:color="auto" w:fill="D9E2F3" w:themeFill="accent1" w:themeFillTint="33"/>
            <w:noWrap/>
            <w:vAlign w:val="center"/>
            <w:hideMark/>
          </w:tcPr>
          <w:p w14:paraId="47B1A6A7" w14:textId="6C4EC6CD" w:rsidR="00BB5E07" w:rsidRPr="00315DDE" w:rsidRDefault="00B213D2" w:rsidP="0045409E">
            <w:pPr>
              <w:spacing w:after="0" w:line="360" w:lineRule="auto"/>
              <w:jc w:val="center"/>
              <w:rPr>
                <w:rFonts w:ascii="Arial" w:hAnsi="Arial" w:cs="Arial"/>
                <w:b/>
                <w:bCs/>
                <w:iCs/>
                <w:color w:val="000000" w:themeColor="text1"/>
                <w:sz w:val="13"/>
                <w:szCs w:val="13"/>
              </w:rPr>
            </w:pPr>
            <w:r w:rsidRPr="00315DDE">
              <w:rPr>
                <w:rFonts w:ascii="Arial" w:hAnsi="Arial" w:cs="Arial"/>
                <w:b/>
                <w:bCs/>
                <w:iCs/>
                <w:color w:val="000000" w:themeColor="text1"/>
                <w:sz w:val="13"/>
                <w:szCs w:val="13"/>
              </w:rPr>
              <w:t>Total</w:t>
            </w:r>
          </w:p>
        </w:tc>
        <w:tc>
          <w:tcPr>
            <w:tcW w:w="3431" w:type="pct"/>
            <w:gridSpan w:val="10"/>
            <w:shd w:val="clear" w:color="auto" w:fill="D9E2F3" w:themeFill="accent1" w:themeFillTint="33"/>
            <w:vAlign w:val="center"/>
          </w:tcPr>
          <w:p w14:paraId="055335B4" w14:textId="7EAD4D90" w:rsidR="00BB5E07" w:rsidRPr="00315DDE" w:rsidRDefault="00B213D2" w:rsidP="0045409E">
            <w:pPr>
              <w:spacing w:after="0" w:line="360" w:lineRule="auto"/>
              <w:jc w:val="center"/>
              <w:rPr>
                <w:rFonts w:ascii="Arial" w:hAnsi="Arial" w:cs="Arial"/>
                <w:b/>
                <w:color w:val="000000" w:themeColor="text1"/>
                <w:sz w:val="13"/>
                <w:szCs w:val="13"/>
              </w:rPr>
            </w:pPr>
            <w:r w:rsidRPr="00315DDE">
              <w:rPr>
                <w:rFonts w:ascii="Arial" w:hAnsi="Arial" w:cs="Arial"/>
                <w:b/>
                <w:color w:val="000000" w:themeColor="text1"/>
                <w:sz w:val="13"/>
                <w:szCs w:val="13"/>
              </w:rPr>
              <w:t>Deciles</w:t>
            </w:r>
          </w:p>
        </w:tc>
      </w:tr>
      <w:tr w:rsidR="00BB5E07" w:rsidRPr="00315DDE" w14:paraId="1DDF951C" w14:textId="77777777" w:rsidTr="00994BFC">
        <w:trPr>
          <w:trHeight w:val="242"/>
          <w:jc w:val="center"/>
        </w:trPr>
        <w:tc>
          <w:tcPr>
            <w:tcW w:w="1094" w:type="pct"/>
            <w:vMerge/>
            <w:shd w:val="clear" w:color="auto" w:fill="8EAADB" w:themeFill="accent1" w:themeFillTint="99"/>
            <w:noWrap/>
          </w:tcPr>
          <w:p w14:paraId="04DFC074" w14:textId="77777777" w:rsidR="00BB5E07" w:rsidRPr="00315DDE" w:rsidRDefault="00BB5E07" w:rsidP="00CC7346">
            <w:pPr>
              <w:spacing w:after="0" w:line="360" w:lineRule="auto"/>
              <w:jc w:val="both"/>
              <w:rPr>
                <w:rFonts w:ascii="Arial" w:hAnsi="Arial" w:cs="Arial"/>
                <w:color w:val="000000" w:themeColor="text1"/>
                <w:sz w:val="13"/>
                <w:szCs w:val="13"/>
                <w14:shadow w14:blurRad="50800" w14:dist="50800" w14:dir="5400000" w14:sx="0" w14:sy="0" w14:kx="0" w14:ky="0" w14:algn="ctr">
                  <w14:schemeClr w14:val="tx2">
                    <w14:lumMod w14:val="40000"/>
                    <w14:lumOff w14:val="60000"/>
                  </w14:schemeClr>
                </w14:shadow>
              </w:rPr>
            </w:pPr>
          </w:p>
        </w:tc>
        <w:tc>
          <w:tcPr>
            <w:tcW w:w="475" w:type="pct"/>
            <w:vMerge/>
            <w:shd w:val="clear" w:color="auto" w:fill="D9E2F3" w:themeFill="accent1" w:themeFillTint="33"/>
            <w:noWrap/>
            <w:vAlign w:val="center"/>
          </w:tcPr>
          <w:p w14:paraId="16E6C79C" w14:textId="77777777" w:rsidR="00BB5E07" w:rsidRPr="00315DDE" w:rsidRDefault="00BB5E07" w:rsidP="0045409E">
            <w:pPr>
              <w:spacing w:after="0" w:line="360" w:lineRule="auto"/>
              <w:jc w:val="center"/>
              <w:rPr>
                <w:rFonts w:ascii="Arial" w:hAnsi="Arial" w:cs="Arial"/>
                <w:b/>
                <w:bCs/>
                <w:i/>
                <w:iCs/>
                <w:color w:val="000000" w:themeColor="text1"/>
                <w:sz w:val="13"/>
                <w:szCs w:val="13"/>
              </w:rPr>
            </w:pPr>
          </w:p>
        </w:tc>
        <w:tc>
          <w:tcPr>
            <w:tcW w:w="341" w:type="pct"/>
            <w:shd w:val="clear" w:color="auto" w:fill="D9E2F3" w:themeFill="accent1" w:themeFillTint="33"/>
            <w:vAlign w:val="center"/>
          </w:tcPr>
          <w:p w14:paraId="2E845841" w14:textId="77777777" w:rsidR="00BB5E07" w:rsidRPr="00315DDE" w:rsidRDefault="00BB5E07" w:rsidP="0045409E">
            <w:pPr>
              <w:spacing w:after="0" w:line="360" w:lineRule="auto"/>
              <w:jc w:val="center"/>
              <w:rPr>
                <w:rFonts w:ascii="Arial" w:hAnsi="Arial" w:cs="Arial"/>
                <w:color w:val="000000" w:themeColor="text1"/>
                <w:sz w:val="13"/>
                <w:szCs w:val="13"/>
              </w:rPr>
            </w:pPr>
            <w:r w:rsidRPr="00315DDE">
              <w:rPr>
                <w:rFonts w:ascii="Arial" w:hAnsi="Arial" w:cs="Arial"/>
                <w:b/>
                <w:bCs/>
                <w:color w:val="000000" w:themeColor="text1"/>
                <w:sz w:val="13"/>
                <w:szCs w:val="13"/>
              </w:rPr>
              <w:t>1.</w:t>
            </w:r>
          </w:p>
        </w:tc>
        <w:tc>
          <w:tcPr>
            <w:tcW w:w="342" w:type="pct"/>
            <w:shd w:val="clear" w:color="auto" w:fill="D9E2F3" w:themeFill="accent1" w:themeFillTint="33"/>
            <w:vAlign w:val="center"/>
          </w:tcPr>
          <w:p w14:paraId="263A9260" w14:textId="77777777" w:rsidR="00BB5E07" w:rsidRPr="00315DDE" w:rsidRDefault="00BB5E07" w:rsidP="0045409E">
            <w:pPr>
              <w:spacing w:after="0" w:line="360" w:lineRule="auto"/>
              <w:jc w:val="center"/>
              <w:rPr>
                <w:rFonts w:ascii="Arial" w:hAnsi="Arial" w:cs="Arial"/>
                <w:color w:val="000000" w:themeColor="text1"/>
                <w:sz w:val="13"/>
                <w:szCs w:val="13"/>
              </w:rPr>
            </w:pPr>
            <w:r w:rsidRPr="00315DDE">
              <w:rPr>
                <w:rFonts w:ascii="Arial" w:hAnsi="Arial" w:cs="Arial"/>
                <w:b/>
                <w:bCs/>
                <w:color w:val="000000" w:themeColor="text1"/>
                <w:sz w:val="13"/>
                <w:szCs w:val="13"/>
              </w:rPr>
              <w:t>2.</w:t>
            </w:r>
          </w:p>
        </w:tc>
        <w:tc>
          <w:tcPr>
            <w:tcW w:w="342" w:type="pct"/>
            <w:shd w:val="clear" w:color="auto" w:fill="D9E2F3" w:themeFill="accent1" w:themeFillTint="33"/>
            <w:vAlign w:val="center"/>
          </w:tcPr>
          <w:p w14:paraId="300E41C5" w14:textId="77777777" w:rsidR="00BB5E07" w:rsidRPr="00315DDE" w:rsidRDefault="00BB5E07" w:rsidP="0045409E">
            <w:pPr>
              <w:spacing w:after="0" w:line="360" w:lineRule="auto"/>
              <w:jc w:val="center"/>
              <w:rPr>
                <w:rFonts w:ascii="Arial" w:hAnsi="Arial" w:cs="Arial"/>
                <w:color w:val="000000" w:themeColor="text1"/>
                <w:sz w:val="13"/>
                <w:szCs w:val="13"/>
              </w:rPr>
            </w:pPr>
            <w:r w:rsidRPr="00315DDE">
              <w:rPr>
                <w:rFonts w:ascii="Arial" w:hAnsi="Arial" w:cs="Arial"/>
                <w:b/>
                <w:bCs/>
                <w:color w:val="000000" w:themeColor="text1"/>
                <w:sz w:val="13"/>
                <w:szCs w:val="13"/>
              </w:rPr>
              <w:t>3.</w:t>
            </w:r>
          </w:p>
        </w:tc>
        <w:tc>
          <w:tcPr>
            <w:tcW w:w="344" w:type="pct"/>
            <w:shd w:val="clear" w:color="auto" w:fill="D9E2F3" w:themeFill="accent1" w:themeFillTint="33"/>
            <w:vAlign w:val="center"/>
          </w:tcPr>
          <w:p w14:paraId="2DFDF4B0" w14:textId="77777777" w:rsidR="00BB5E07" w:rsidRPr="00315DDE" w:rsidRDefault="00BB5E07" w:rsidP="0045409E">
            <w:pPr>
              <w:spacing w:after="0" w:line="360" w:lineRule="auto"/>
              <w:jc w:val="center"/>
              <w:rPr>
                <w:rFonts w:ascii="Arial" w:hAnsi="Arial" w:cs="Arial"/>
                <w:color w:val="000000" w:themeColor="text1"/>
                <w:sz w:val="13"/>
                <w:szCs w:val="13"/>
              </w:rPr>
            </w:pPr>
            <w:r w:rsidRPr="00315DDE">
              <w:rPr>
                <w:rFonts w:ascii="Arial" w:hAnsi="Arial" w:cs="Arial"/>
                <w:b/>
                <w:bCs/>
                <w:color w:val="000000" w:themeColor="text1"/>
                <w:sz w:val="13"/>
                <w:szCs w:val="13"/>
              </w:rPr>
              <w:t>4.</w:t>
            </w:r>
          </w:p>
        </w:tc>
        <w:tc>
          <w:tcPr>
            <w:tcW w:w="344" w:type="pct"/>
            <w:shd w:val="clear" w:color="auto" w:fill="D9E2F3" w:themeFill="accent1" w:themeFillTint="33"/>
            <w:vAlign w:val="center"/>
          </w:tcPr>
          <w:p w14:paraId="02A0E0C7" w14:textId="77777777" w:rsidR="00BB5E07" w:rsidRPr="00315DDE" w:rsidRDefault="00BB5E07" w:rsidP="0045409E">
            <w:pPr>
              <w:spacing w:after="0" w:line="360" w:lineRule="auto"/>
              <w:jc w:val="center"/>
              <w:rPr>
                <w:rFonts w:ascii="Arial" w:hAnsi="Arial" w:cs="Arial"/>
                <w:color w:val="000000" w:themeColor="text1"/>
                <w:sz w:val="13"/>
                <w:szCs w:val="13"/>
              </w:rPr>
            </w:pPr>
            <w:r w:rsidRPr="00315DDE">
              <w:rPr>
                <w:rFonts w:ascii="Arial" w:hAnsi="Arial" w:cs="Arial"/>
                <w:b/>
                <w:bCs/>
                <w:color w:val="000000" w:themeColor="text1"/>
                <w:sz w:val="13"/>
                <w:szCs w:val="13"/>
              </w:rPr>
              <w:t>5.</w:t>
            </w:r>
          </w:p>
        </w:tc>
        <w:tc>
          <w:tcPr>
            <w:tcW w:w="344" w:type="pct"/>
            <w:shd w:val="clear" w:color="auto" w:fill="D9E2F3" w:themeFill="accent1" w:themeFillTint="33"/>
            <w:vAlign w:val="center"/>
          </w:tcPr>
          <w:p w14:paraId="70DBE7CA" w14:textId="77777777" w:rsidR="00BB5E07" w:rsidRPr="00315DDE" w:rsidRDefault="00BB5E07" w:rsidP="0045409E">
            <w:pPr>
              <w:spacing w:after="0" w:line="360" w:lineRule="auto"/>
              <w:jc w:val="center"/>
              <w:rPr>
                <w:rFonts w:ascii="Arial" w:hAnsi="Arial" w:cs="Arial"/>
                <w:color w:val="000000" w:themeColor="text1"/>
                <w:sz w:val="13"/>
                <w:szCs w:val="13"/>
              </w:rPr>
            </w:pPr>
            <w:r w:rsidRPr="00315DDE">
              <w:rPr>
                <w:rFonts w:ascii="Arial" w:hAnsi="Arial" w:cs="Arial"/>
                <w:b/>
                <w:bCs/>
                <w:color w:val="000000" w:themeColor="text1"/>
                <w:sz w:val="13"/>
                <w:szCs w:val="13"/>
              </w:rPr>
              <w:t>6.</w:t>
            </w:r>
          </w:p>
        </w:tc>
        <w:tc>
          <w:tcPr>
            <w:tcW w:w="344" w:type="pct"/>
            <w:shd w:val="clear" w:color="auto" w:fill="D9E2F3" w:themeFill="accent1" w:themeFillTint="33"/>
            <w:vAlign w:val="center"/>
          </w:tcPr>
          <w:p w14:paraId="3F5824C0" w14:textId="77777777" w:rsidR="00BB5E07" w:rsidRPr="00315DDE" w:rsidRDefault="00BB5E07" w:rsidP="0045409E">
            <w:pPr>
              <w:spacing w:after="0" w:line="360" w:lineRule="auto"/>
              <w:jc w:val="center"/>
              <w:rPr>
                <w:rFonts w:ascii="Arial" w:hAnsi="Arial" w:cs="Arial"/>
                <w:color w:val="000000" w:themeColor="text1"/>
                <w:sz w:val="13"/>
                <w:szCs w:val="13"/>
              </w:rPr>
            </w:pPr>
            <w:r w:rsidRPr="00315DDE">
              <w:rPr>
                <w:rFonts w:ascii="Arial" w:hAnsi="Arial" w:cs="Arial"/>
                <w:b/>
                <w:bCs/>
                <w:color w:val="000000" w:themeColor="text1"/>
                <w:sz w:val="13"/>
                <w:szCs w:val="13"/>
              </w:rPr>
              <w:t>7.</w:t>
            </w:r>
          </w:p>
        </w:tc>
        <w:tc>
          <w:tcPr>
            <w:tcW w:w="344" w:type="pct"/>
            <w:shd w:val="clear" w:color="auto" w:fill="D9E2F3" w:themeFill="accent1" w:themeFillTint="33"/>
            <w:vAlign w:val="center"/>
          </w:tcPr>
          <w:p w14:paraId="3386A79A" w14:textId="77777777" w:rsidR="00BB5E07" w:rsidRPr="00315DDE" w:rsidRDefault="00BB5E07" w:rsidP="0045409E">
            <w:pPr>
              <w:spacing w:after="0" w:line="360" w:lineRule="auto"/>
              <w:jc w:val="center"/>
              <w:rPr>
                <w:rFonts w:ascii="Arial" w:hAnsi="Arial" w:cs="Arial"/>
                <w:color w:val="000000" w:themeColor="text1"/>
                <w:sz w:val="13"/>
                <w:szCs w:val="13"/>
              </w:rPr>
            </w:pPr>
            <w:r w:rsidRPr="00315DDE">
              <w:rPr>
                <w:rFonts w:ascii="Arial" w:hAnsi="Arial" w:cs="Arial"/>
                <w:b/>
                <w:bCs/>
                <w:color w:val="000000" w:themeColor="text1"/>
                <w:sz w:val="13"/>
                <w:szCs w:val="13"/>
              </w:rPr>
              <w:t>8.</w:t>
            </w:r>
          </w:p>
        </w:tc>
        <w:tc>
          <w:tcPr>
            <w:tcW w:w="344" w:type="pct"/>
            <w:shd w:val="clear" w:color="auto" w:fill="D9E2F3" w:themeFill="accent1" w:themeFillTint="33"/>
            <w:vAlign w:val="center"/>
          </w:tcPr>
          <w:p w14:paraId="4FD88E38" w14:textId="77777777" w:rsidR="00BB5E07" w:rsidRPr="00315DDE" w:rsidRDefault="00BB5E07" w:rsidP="0045409E">
            <w:pPr>
              <w:spacing w:after="0" w:line="360" w:lineRule="auto"/>
              <w:jc w:val="center"/>
              <w:rPr>
                <w:rFonts w:ascii="Arial" w:hAnsi="Arial" w:cs="Arial"/>
                <w:color w:val="000000" w:themeColor="text1"/>
                <w:sz w:val="13"/>
                <w:szCs w:val="13"/>
              </w:rPr>
            </w:pPr>
            <w:r w:rsidRPr="00315DDE">
              <w:rPr>
                <w:rFonts w:ascii="Arial" w:hAnsi="Arial" w:cs="Arial"/>
                <w:b/>
                <w:bCs/>
                <w:color w:val="000000" w:themeColor="text1"/>
                <w:sz w:val="13"/>
                <w:szCs w:val="13"/>
              </w:rPr>
              <w:t>9.</w:t>
            </w:r>
          </w:p>
        </w:tc>
        <w:tc>
          <w:tcPr>
            <w:tcW w:w="344" w:type="pct"/>
            <w:shd w:val="clear" w:color="auto" w:fill="D9E2F3" w:themeFill="accent1" w:themeFillTint="33"/>
            <w:vAlign w:val="center"/>
          </w:tcPr>
          <w:p w14:paraId="41D4DAED" w14:textId="77777777" w:rsidR="00BB5E07" w:rsidRPr="00315DDE" w:rsidRDefault="00BB5E07" w:rsidP="0045409E">
            <w:pPr>
              <w:spacing w:after="0" w:line="360" w:lineRule="auto"/>
              <w:jc w:val="center"/>
              <w:rPr>
                <w:rFonts w:ascii="Arial" w:hAnsi="Arial" w:cs="Arial"/>
                <w:color w:val="000000" w:themeColor="text1"/>
                <w:sz w:val="13"/>
                <w:szCs w:val="13"/>
              </w:rPr>
            </w:pPr>
            <w:r w:rsidRPr="00315DDE">
              <w:rPr>
                <w:rFonts w:ascii="Arial" w:hAnsi="Arial" w:cs="Arial"/>
                <w:b/>
                <w:bCs/>
                <w:color w:val="000000" w:themeColor="text1"/>
                <w:sz w:val="13"/>
                <w:szCs w:val="13"/>
              </w:rPr>
              <w:t>10.</w:t>
            </w:r>
          </w:p>
        </w:tc>
      </w:tr>
      <w:tr w:rsidR="00E23655" w:rsidRPr="00315DDE" w14:paraId="708E7D19" w14:textId="77777777" w:rsidTr="00994BFC">
        <w:trPr>
          <w:trHeight w:val="193"/>
          <w:jc w:val="center"/>
        </w:trPr>
        <w:tc>
          <w:tcPr>
            <w:tcW w:w="1094" w:type="pct"/>
            <w:shd w:val="clear" w:color="auto" w:fill="8EAADB" w:themeFill="accent1" w:themeFillTint="99"/>
            <w:noWrap/>
            <w:hideMark/>
          </w:tcPr>
          <w:p w14:paraId="256812F0" w14:textId="7BAA919B" w:rsidR="00E23655" w:rsidRPr="00315DDE" w:rsidRDefault="00B213D2" w:rsidP="0045409E">
            <w:pPr>
              <w:spacing w:after="0" w:line="360" w:lineRule="auto"/>
              <w:rPr>
                <w:rFonts w:ascii="Calibri" w:hAnsi="Calibri" w:cs="Calibri"/>
                <w:color w:val="000000"/>
                <w:sz w:val="13"/>
                <w:szCs w:val="13"/>
              </w:rPr>
            </w:pPr>
            <w:r w:rsidRPr="00315DDE">
              <w:rPr>
                <w:rFonts w:ascii="Calibri" w:hAnsi="Calibri" w:cs="Calibri"/>
                <w:color w:val="000000"/>
                <w:sz w:val="13"/>
                <w:szCs w:val="13"/>
              </w:rPr>
              <w:t>Income from wages</w:t>
            </w:r>
          </w:p>
        </w:tc>
        <w:tc>
          <w:tcPr>
            <w:tcW w:w="475" w:type="pct"/>
            <w:noWrap/>
            <w:vAlign w:val="center"/>
            <w:hideMark/>
          </w:tcPr>
          <w:p w14:paraId="24AB4AC5" w14:textId="025A3D73"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54.</w:t>
            </w:r>
            <w:r w:rsidR="00E23655" w:rsidRPr="00315DDE">
              <w:rPr>
                <w:rFonts w:ascii="Calibri" w:hAnsi="Calibri" w:cs="Calibri"/>
                <w:color w:val="000000"/>
                <w:sz w:val="13"/>
                <w:szCs w:val="13"/>
              </w:rPr>
              <w:t>9</w:t>
            </w:r>
          </w:p>
        </w:tc>
        <w:tc>
          <w:tcPr>
            <w:tcW w:w="341" w:type="pct"/>
            <w:noWrap/>
            <w:vAlign w:val="center"/>
            <w:hideMark/>
          </w:tcPr>
          <w:p w14:paraId="5A602947" w14:textId="79F90B30"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25.</w:t>
            </w:r>
            <w:r w:rsidR="00E23655" w:rsidRPr="00315DDE">
              <w:rPr>
                <w:rFonts w:ascii="Calibri" w:hAnsi="Calibri" w:cs="Calibri"/>
                <w:color w:val="000000"/>
                <w:sz w:val="13"/>
                <w:szCs w:val="13"/>
              </w:rPr>
              <w:t>1</w:t>
            </w:r>
          </w:p>
        </w:tc>
        <w:tc>
          <w:tcPr>
            <w:tcW w:w="342" w:type="pct"/>
            <w:noWrap/>
            <w:vAlign w:val="center"/>
            <w:hideMark/>
          </w:tcPr>
          <w:p w14:paraId="361C6E19" w14:textId="0047668F"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41.</w:t>
            </w:r>
            <w:r w:rsidR="00E23655" w:rsidRPr="00315DDE">
              <w:rPr>
                <w:rFonts w:ascii="Calibri" w:hAnsi="Calibri" w:cs="Calibri"/>
                <w:color w:val="000000"/>
                <w:sz w:val="13"/>
                <w:szCs w:val="13"/>
              </w:rPr>
              <w:t>1</w:t>
            </w:r>
          </w:p>
        </w:tc>
        <w:tc>
          <w:tcPr>
            <w:tcW w:w="342" w:type="pct"/>
            <w:noWrap/>
            <w:vAlign w:val="center"/>
            <w:hideMark/>
          </w:tcPr>
          <w:p w14:paraId="7BB87EBC" w14:textId="5C47B596"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45.</w:t>
            </w:r>
            <w:r w:rsidR="00E23655" w:rsidRPr="00315DDE">
              <w:rPr>
                <w:rFonts w:ascii="Calibri" w:hAnsi="Calibri" w:cs="Calibri"/>
                <w:color w:val="000000"/>
                <w:sz w:val="13"/>
                <w:szCs w:val="13"/>
              </w:rPr>
              <w:t>3</w:t>
            </w:r>
          </w:p>
        </w:tc>
        <w:tc>
          <w:tcPr>
            <w:tcW w:w="344" w:type="pct"/>
            <w:noWrap/>
            <w:vAlign w:val="center"/>
            <w:hideMark/>
          </w:tcPr>
          <w:p w14:paraId="6FE2E157" w14:textId="0EE256E0"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53.</w:t>
            </w:r>
            <w:r w:rsidR="00E23655" w:rsidRPr="00315DDE">
              <w:rPr>
                <w:rFonts w:ascii="Calibri" w:hAnsi="Calibri" w:cs="Calibri"/>
                <w:color w:val="000000"/>
                <w:sz w:val="13"/>
                <w:szCs w:val="13"/>
              </w:rPr>
              <w:t>1</w:t>
            </w:r>
          </w:p>
        </w:tc>
        <w:tc>
          <w:tcPr>
            <w:tcW w:w="344" w:type="pct"/>
            <w:noWrap/>
            <w:vAlign w:val="center"/>
            <w:hideMark/>
          </w:tcPr>
          <w:p w14:paraId="6DEBA7EF" w14:textId="2F71AE3D"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53.</w:t>
            </w:r>
            <w:r w:rsidR="00E23655" w:rsidRPr="00315DDE">
              <w:rPr>
                <w:rFonts w:ascii="Calibri" w:hAnsi="Calibri" w:cs="Calibri"/>
                <w:color w:val="000000"/>
                <w:sz w:val="13"/>
                <w:szCs w:val="13"/>
              </w:rPr>
              <w:t>3</w:t>
            </w:r>
          </w:p>
        </w:tc>
        <w:tc>
          <w:tcPr>
            <w:tcW w:w="344" w:type="pct"/>
            <w:noWrap/>
            <w:vAlign w:val="center"/>
            <w:hideMark/>
          </w:tcPr>
          <w:p w14:paraId="04967A3B" w14:textId="59689E6B"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60.</w:t>
            </w:r>
            <w:r w:rsidR="00E23655" w:rsidRPr="00315DDE">
              <w:rPr>
                <w:rFonts w:ascii="Calibri" w:hAnsi="Calibri" w:cs="Calibri"/>
                <w:color w:val="000000"/>
                <w:sz w:val="13"/>
                <w:szCs w:val="13"/>
              </w:rPr>
              <w:t>9</w:t>
            </w:r>
          </w:p>
        </w:tc>
        <w:tc>
          <w:tcPr>
            <w:tcW w:w="344" w:type="pct"/>
            <w:noWrap/>
            <w:vAlign w:val="center"/>
            <w:hideMark/>
          </w:tcPr>
          <w:p w14:paraId="1BDBED65" w14:textId="789FE542"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62.</w:t>
            </w:r>
            <w:r w:rsidR="00E23655" w:rsidRPr="00315DDE">
              <w:rPr>
                <w:rFonts w:ascii="Calibri" w:hAnsi="Calibri" w:cs="Calibri"/>
                <w:color w:val="000000"/>
                <w:sz w:val="13"/>
                <w:szCs w:val="13"/>
              </w:rPr>
              <w:t>7</w:t>
            </w:r>
          </w:p>
        </w:tc>
        <w:tc>
          <w:tcPr>
            <w:tcW w:w="344" w:type="pct"/>
            <w:noWrap/>
            <w:vAlign w:val="center"/>
            <w:hideMark/>
          </w:tcPr>
          <w:p w14:paraId="5F2F0BDD" w14:textId="5950D003"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64.</w:t>
            </w:r>
            <w:r w:rsidR="00E23655" w:rsidRPr="00315DDE">
              <w:rPr>
                <w:rFonts w:ascii="Calibri" w:hAnsi="Calibri" w:cs="Calibri"/>
                <w:color w:val="000000"/>
                <w:sz w:val="13"/>
                <w:szCs w:val="13"/>
              </w:rPr>
              <w:t>0</w:t>
            </w:r>
          </w:p>
        </w:tc>
        <w:tc>
          <w:tcPr>
            <w:tcW w:w="344" w:type="pct"/>
            <w:noWrap/>
            <w:vAlign w:val="center"/>
            <w:hideMark/>
          </w:tcPr>
          <w:p w14:paraId="2AE704C3" w14:textId="183A2406"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69.</w:t>
            </w:r>
            <w:r w:rsidR="00E23655" w:rsidRPr="00315DDE">
              <w:rPr>
                <w:rFonts w:ascii="Calibri" w:hAnsi="Calibri" w:cs="Calibri"/>
                <w:color w:val="000000"/>
                <w:sz w:val="13"/>
                <w:szCs w:val="13"/>
              </w:rPr>
              <w:t>5</w:t>
            </w:r>
          </w:p>
        </w:tc>
        <w:tc>
          <w:tcPr>
            <w:tcW w:w="344" w:type="pct"/>
            <w:noWrap/>
            <w:vAlign w:val="center"/>
            <w:hideMark/>
          </w:tcPr>
          <w:p w14:paraId="7BAE80C2" w14:textId="446CD119"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72.</w:t>
            </w:r>
            <w:r w:rsidR="00E23655" w:rsidRPr="00315DDE">
              <w:rPr>
                <w:rFonts w:ascii="Calibri" w:hAnsi="Calibri" w:cs="Calibri"/>
                <w:color w:val="000000"/>
                <w:sz w:val="13"/>
                <w:szCs w:val="13"/>
              </w:rPr>
              <w:t>7</w:t>
            </w:r>
          </w:p>
        </w:tc>
      </w:tr>
      <w:tr w:rsidR="00E23655" w:rsidRPr="00315DDE" w14:paraId="3CDB30E3" w14:textId="77777777" w:rsidTr="00994BFC">
        <w:trPr>
          <w:trHeight w:val="193"/>
          <w:jc w:val="center"/>
        </w:trPr>
        <w:tc>
          <w:tcPr>
            <w:tcW w:w="1094" w:type="pct"/>
            <w:shd w:val="clear" w:color="auto" w:fill="8EAADB" w:themeFill="accent1" w:themeFillTint="99"/>
            <w:noWrap/>
            <w:hideMark/>
          </w:tcPr>
          <w:p w14:paraId="25621435" w14:textId="4329E91F" w:rsidR="00E23655" w:rsidRPr="00315DDE" w:rsidRDefault="005C6FAF" w:rsidP="0045409E">
            <w:pPr>
              <w:spacing w:after="0" w:line="360" w:lineRule="auto"/>
              <w:rPr>
                <w:rFonts w:ascii="Calibri" w:hAnsi="Calibri" w:cs="Calibri"/>
                <w:color w:val="000000"/>
                <w:sz w:val="13"/>
                <w:szCs w:val="13"/>
              </w:rPr>
            </w:pPr>
            <w:r w:rsidRPr="00315DDE">
              <w:rPr>
                <w:rFonts w:ascii="Calibri" w:hAnsi="Calibri" w:cs="Calibri"/>
                <w:color w:val="000000"/>
                <w:sz w:val="13"/>
                <w:szCs w:val="13"/>
              </w:rPr>
              <w:t>Income from self-employment</w:t>
            </w:r>
          </w:p>
        </w:tc>
        <w:tc>
          <w:tcPr>
            <w:tcW w:w="475" w:type="pct"/>
            <w:noWrap/>
            <w:vAlign w:val="center"/>
            <w:hideMark/>
          </w:tcPr>
          <w:p w14:paraId="3EADECED" w14:textId="257096F3"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8.</w:t>
            </w:r>
            <w:r w:rsidR="00E23655" w:rsidRPr="00315DDE">
              <w:rPr>
                <w:rFonts w:ascii="Calibri" w:hAnsi="Calibri" w:cs="Calibri"/>
                <w:color w:val="000000"/>
                <w:sz w:val="13"/>
                <w:szCs w:val="13"/>
              </w:rPr>
              <w:t>8</w:t>
            </w:r>
          </w:p>
        </w:tc>
        <w:tc>
          <w:tcPr>
            <w:tcW w:w="341" w:type="pct"/>
            <w:noWrap/>
            <w:vAlign w:val="center"/>
            <w:hideMark/>
          </w:tcPr>
          <w:p w14:paraId="3167185D" w14:textId="1CB363FE"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9.</w:t>
            </w:r>
            <w:r w:rsidR="00E23655" w:rsidRPr="00315DDE">
              <w:rPr>
                <w:rFonts w:ascii="Calibri" w:hAnsi="Calibri" w:cs="Calibri"/>
                <w:color w:val="000000"/>
                <w:sz w:val="13"/>
                <w:szCs w:val="13"/>
              </w:rPr>
              <w:t>5</w:t>
            </w:r>
          </w:p>
        </w:tc>
        <w:tc>
          <w:tcPr>
            <w:tcW w:w="342" w:type="pct"/>
            <w:noWrap/>
            <w:vAlign w:val="center"/>
            <w:hideMark/>
          </w:tcPr>
          <w:p w14:paraId="5B1E8093" w14:textId="636A8FBA"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8.</w:t>
            </w:r>
            <w:r w:rsidR="00E23655" w:rsidRPr="00315DDE">
              <w:rPr>
                <w:rFonts w:ascii="Calibri" w:hAnsi="Calibri" w:cs="Calibri"/>
                <w:color w:val="000000"/>
                <w:sz w:val="13"/>
                <w:szCs w:val="13"/>
              </w:rPr>
              <w:t>2</w:t>
            </w:r>
          </w:p>
        </w:tc>
        <w:tc>
          <w:tcPr>
            <w:tcW w:w="342" w:type="pct"/>
            <w:noWrap/>
            <w:vAlign w:val="center"/>
            <w:hideMark/>
          </w:tcPr>
          <w:p w14:paraId="3C376A9C" w14:textId="70C08A04"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11.</w:t>
            </w:r>
            <w:r w:rsidR="00E23655" w:rsidRPr="00315DDE">
              <w:rPr>
                <w:rFonts w:ascii="Calibri" w:hAnsi="Calibri" w:cs="Calibri"/>
                <w:color w:val="000000"/>
                <w:sz w:val="13"/>
                <w:szCs w:val="13"/>
              </w:rPr>
              <w:t>7</w:t>
            </w:r>
          </w:p>
        </w:tc>
        <w:tc>
          <w:tcPr>
            <w:tcW w:w="344" w:type="pct"/>
            <w:noWrap/>
            <w:vAlign w:val="center"/>
            <w:hideMark/>
          </w:tcPr>
          <w:p w14:paraId="3501A908" w14:textId="07D9B50B"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10.</w:t>
            </w:r>
            <w:r w:rsidR="00E23655" w:rsidRPr="00315DDE">
              <w:rPr>
                <w:rFonts w:ascii="Calibri" w:hAnsi="Calibri" w:cs="Calibri"/>
                <w:color w:val="000000"/>
                <w:sz w:val="13"/>
                <w:szCs w:val="13"/>
              </w:rPr>
              <w:t>1</w:t>
            </w:r>
          </w:p>
        </w:tc>
        <w:tc>
          <w:tcPr>
            <w:tcW w:w="344" w:type="pct"/>
            <w:noWrap/>
            <w:vAlign w:val="center"/>
            <w:hideMark/>
          </w:tcPr>
          <w:p w14:paraId="1BBE60E4" w14:textId="358FB4BD"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8.</w:t>
            </w:r>
            <w:r w:rsidR="00E23655" w:rsidRPr="00315DDE">
              <w:rPr>
                <w:rFonts w:ascii="Calibri" w:hAnsi="Calibri" w:cs="Calibri"/>
                <w:color w:val="000000"/>
                <w:sz w:val="13"/>
                <w:szCs w:val="13"/>
              </w:rPr>
              <w:t>2</w:t>
            </w:r>
          </w:p>
        </w:tc>
        <w:tc>
          <w:tcPr>
            <w:tcW w:w="344" w:type="pct"/>
            <w:noWrap/>
            <w:vAlign w:val="center"/>
            <w:hideMark/>
          </w:tcPr>
          <w:p w14:paraId="7197BB27" w14:textId="3BA1BACA"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10.</w:t>
            </w:r>
            <w:r w:rsidR="00E23655" w:rsidRPr="00315DDE">
              <w:rPr>
                <w:rFonts w:ascii="Calibri" w:hAnsi="Calibri" w:cs="Calibri"/>
                <w:color w:val="000000"/>
                <w:sz w:val="13"/>
                <w:szCs w:val="13"/>
              </w:rPr>
              <w:t>2</w:t>
            </w:r>
          </w:p>
        </w:tc>
        <w:tc>
          <w:tcPr>
            <w:tcW w:w="344" w:type="pct"/>
            <w:noWrap/>
            <w:vAlign w:val="center"/>
            <w:hideMark/>
          </w:tcPr>
          <w:p w14:paraId="64F3CD70" w14:textId="10ED862E"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9.</w:t>
            </w:r>
            <w:r w:rsidR="00E23655" w:rsidRPr="00315DDE">
              <w:rPr>
                <w:rFonts w:ascii="Calibri" w:hAnsi="Calibri" w:cs="Calibri"/>
                <w:color w:val="000000"/>
                <w:sz w:val="13"/>
                <w:szCs w:val="13"/>
              </w:rPr>
              <w:t>0</w:t>
            </w:r>
          </w:p>
        </w:tc>
        <w:tc>
          <w:tcPr>
            <w:tcW w:w="344" w:type="pct"/>
            <w:noWrap/>
            <w:vAlign w:val="center"/>
            <w:hideMark/>
          </w:tcPr>
          <w:p w14:paraId="781D2EB4" w14:textId="54BCA261"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7.</w:t>
            </w:r>
            <w:r w:rsidR="00E23655" w:rsidRPr="00315DDE">
              <w:rPr>
                <w:rFonts w:ascii="Calibri" w:hAnsi="Calibri" w:cs="Calibri"/>
                <w:color w:val="000000"/>
                <w:sz w:val="13"/>
                <w:szCs w:val="13"/>
              </w:rPr>
              <w:t>8</w:t>
            </w:r>
          </w:p>
        </w:tc>
        <w:tc>
          <w:tcPr>
            <w:tcW w:w="344" w:type="pct"/>
            <w:noWrap/>
            <w:vAlign w:val="center"/>
            <w:hideMark/>
          </w:tcPr>
          <w:p w14:paraId="1295BA9C" w14:textId="1F5BB5E9"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5.</w:t>
            </w:r>
            <w:r w:rsidR="00E23655" w:rsidRPr="00315DDE">
              <w:rPr>
                <w:rFonts w:ascii="Calibri" w:hAnsi="Calibri" w:cs="Calibri"/>
                <w:color w:val="000000"/>
                <w:sz w:val="13"/>
                <w:szCs w:val="13"/>
              </w:rPr>
              <w:t>5</w:t>
            </w:r>
          </w:p>
        </w:tc>
        <w:tc>
          <w:tcPr>
            <w:tcW w:w="344" w:type="pct"/>
            <w:noWrap/>
            <w:vAlign w:val="center"/>
            <w:hideMark/>
          </w:tcPr>
          <w:p w14:paraId="1524B908" w14:textId="7BD2DB5F"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8.</w:t>
            </w:r>
            <w:r w:rsidR="00E23655" w:rsidRPr="00315DDE">
              <w:rPr>
                <w:rFonts w:ascii="Calibri" w:hAnsi="Calibri" w:cs="Calibri"/>
                <w:color w:val="000000"/>
                <w:sz w:val="13"/>
                <w:szCs w:val="13"/>
              </w:rPr>
              <w:t>2</w:t>
            </w:r>
          </w:p>
        </w:tc>
      </w:tr>
      <w:tr w:rsidR="00E23655" w:rsidRPr="00315DDE" w14:paraId="3B0645EE" w14:textId="77777777" w:rsidTr="00994BFC">
        <w:trPr>
          <w:trHeight w:val="161"/>
          <w:jc w:val="center"/>
        </w:trPr>
        <w:tc>
          <w:tcPr>
            <w:tcW w:w="1094" w:type="pct"/>
            <w:shd w:val="clear" w:color="auto" w:fill="8EAADB" w:themeFill="accent1" w:themeFillTint="99"/>
            <w:noWrap/>
            <w:hideMark/>
          </w:tcPr>
          <w:p w14:paraId="3FEF4B28" w14:textId="391A007F" w:rsidR="00E23655" w:rsidRPr="00315DDE" w:rsidRDefault="005C6FAF" w:rsidP="0045409E">
            <w:pPr>
              <w:spacing w:after="0" w:line="360" w:lineRule="auto"/>
              <w:rPr>
                <w:rFonts w:ascii="Calibri" w:hAnsi="Calibri" w:cs="Calibri"/>
                <w:color w:val="000000"/>
                <w:sz w:val="13"/>
                <w:szCs w:val="13"/>
              </w:rPr>
            </w:pPr>
            <w:r w:rsidRPr="00315DDE">
              <w:rPr>
                <w:rFonts w:ascii="Calibri" w:hAnsi="Calibri" w:cs="Calibri"/>
                <w:color w:val="000000"/>
                <w:sz w:val="13"/>
                <w:szCs w:val="13"/>
              </w:rPr>
              <w:t>Income from property</w:t>
            </w:r>
          </w:p>
        </w:tc>
        <w:tc>
          <w:tcPr>
            <w:tcW w:w="475" w:type="pct"/>
            <w:noWrap/>
            <w:vAlign w:val="center"/>
            <w:hideMark/>
          </w:tcPr>
          <w:p w14:paraId="5A231D70" w14:textId="7599C1C1"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0.</w:t>
            </w:r>
            <w:r w:rsidR="00E23655" w:rsidRPr="00315DDE">
              <w:rPr>
                <w:rFonts w:ascii="Calibri" w:hAnsi="Calibri" w:cs="Calibri"/>
                <w:color w:val="000000"/>
                <w:sz w:val="13"/>
                <w:szCs w:val="13"/>
              </w:rPr>
              <w:t>2</w:t>
            </w:r>
          </w:p>
        </w:tc>
        <w:tc>
          <w:tcPr>
            <w:tcW w:w="341" w:type="pct"/>
            <w:noWrap/>
            <w:vAlign w:val="center"/>
            <w:hideMark/>
          </w:tcPr>
          <w:p w14:paraId="102D3EB6" w14:textId="6FE035AB"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0.</w:t>
            </w:r>
            <w:r w:rsidR="00E23655" w:rsidRPr="00315DDE">
              <w:rPr>
                <w:rFonts w:ascii="Calibri" w:hAnsi="Calibri" w:cs="Calibri"/>
                <w:color w:val="000000"/>
                <w:sz w:val="13"/>
                <w:szCs w:val="13"/>
              </w:rPr>
              <w:t>1</w:t>
            </w:r>
          </w:p>
        </w:tc>
        <w:tc>
          <w:tcPr>
            <w:tcW w:w="342" w:type="pct"/>
            <w:noWrap/>
            <w:vAlign w:val="center"/>
            <w:hideMark/>
          </w:tcPr>
          <w:p w14:paraId="32CB8A9C" w14:textId="73ECFF58"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0.</w:t>
            </w:r>
            <w:r w:rsidR="00E23655" w:rsidRPr="00315DDE">
              <w:rPr>
                <w:rFonts w:ascii="Calibri" w:hAnsi="Calibri" w:cs="Calibri"/>
                <w:color w:val="000000"/>
                <w:sz w:val="13"/>
                <w:szCs w:val="13"/>
              </w:rPr>
              <w:t>4</w:t>
            </w:r>
          </w:p>
        </w:tc>
        <w:tc>
          <w:tcPr>
            <w:tcW w:w="342" w:type="pct"/>
            <w:noWrap/>
            <w:vAlign w:val="center"/>
            <w:hideMark/>
          </w:tcPr>
          <w:p w14:paraId="459148E1" w14:textId="136BFC8E"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0.</w:t>
            </w:r>
            <w:r w:rsidR="00E23655" w:rsidRPr="00315DDE">
              <w:rPr>
                <w:rFonts w:ascii="Calibri" w:hAnsi="Calibri" w:cs="Calibri"/>
                <w:color w:val="000000"/>
                <w:sz w:val="13"/>
                <w:szCs w:val="13"/>
              </w:rPr>
              <w:t>4</w:t>
            </w:r>
          </w:p>
        </w:tc>
        <w:tc>
          <w:tcPr>
            <w:tcW w:w="344" w:type="pct"/>
            <w:noWrap/>
            <w:vAlign w:val="center"/>
            <w:hideMark/>
          </w:tcPr>
          <w:p w14:paraId="71A5C124" w14:textId="4978EAD6"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0.</w:t>
            </w:r>
            <w:r w:rsidR="00E23655" w:rsidRPr="00315DDE">
              <w:rPr>
                <w:rFonts w:ascii="Calibri" w:hAnsi="Calibri" w:cs="Calibri"/>
                <w:color w:val="000000"/>
                <w:sz w:val="13"/>
                <w:szCs w:val="13"/>
              </w:rPr>
              <w:t>2</w:t>
            </w:r>
          </w:p>
        </w:tc>
        <w:tc>
          <w:tcPr>
            <w:tcW w:w="344" w:type="pct"/>
            <w:noWrap/>
            <w:vAlign w:val="center"/>
            <w:hideMark/>
          </w:tcPr>
          <w:p w14:paraId="7EEF875F" w14:textId="62D8CD02" w:rsidR="00E23655" w:rsidRPr="00315DDE" w:rsidRDefault="00E23655"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w:t>
            </w:r>
          </w:p>
        </w:tc>
        <w:tc>
          <w:tcPr>
            <w:tcW w:w="344" w:type="pct"/>
            <w:noWrap/>
            <w:vAlign w:val="center"/>
            <w:hideMark/>
          </w:tcPr>
          <w:p w14:paraId="46294D1C" w14:textId="02EE1A88" w:rsidR="00E23655" w:rsidRPr="00315DDE" w:rsidRDefault="00E23655"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w:t>
            </w:r>
          </w:p>
        </w:tc>
        <w:tc>
          <w:tcPr>
            <w:tcW w:w="344" w:type="pct"/>
            <w:noWrap/>
            <w:vAlign w:val="center"/>
            <w:hideMark/>
          </w:tcPr>
          <w:p w14:paraId="397FFFEB" w14:textId="49039AE1"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0.</w:t>
            </w:r>
            <w:r w:rsidR="00E23655" w:rsidRPr="00315DDE">
              <w:rPr>
                <w:rFonts w:ascii="Calibri" w:hAnsi="Calibri" w:cs="Calibri"/>
                <w:color w:val="000000"/>
                <w:sz w:val="13"/>
                <w:szCs w:val="13"/>
              </w:rPr>
              <w:t>4</w:t>
            </w:r>
          </w:p>
        </w:tc>
        <w:tc>
          <w:tcPr>
            <w:tcW w:w="344" w:type="pct"/>
            <w:noWrap/>
            <w:vAlign w:val="center"/>
            <w:hideMark/>
          </w:tcPr>
          <w:p w14:paraId="7E899E8D" w14:textId="26A15BA9"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0.</w:t>
            </w:r>
            <w:r w:rsidR="00E23655" w:rsidRPr="00315DDE">
              <w:rPr>
                <w:rFonts w:ascii="Calibri" w:hAnsi="Calibri" w:cs="Calibri"/>
                <w:color w:val="000000"/>
                <w:sz w:val="13"/>
                <w:szCs w:val="13"/>
              </w:rPr>
              <w:t>4</w:t>
            </w:r>
          </w:p>
        </w:tc>
        <w:tc>
          <w:tcPr>
            <w:tcW w:w="344" w:type="pct"/>
            <w:noWrap/>
            <w:vAlign w:val="center"/>
            <w:hideMark/>
          </w:tcPr>
          <w:p w14:paraId="009492AB" w14:textId="53A5026B"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0.</w:t>
            </w:r>
            <w:r w:rsidR="00E23655" w:rsidRPr="00315DDE">
              <w:rPr>
                <w:rFonts w:ascii="Calibri" w:hAnsi="Calibri" w:cs="Calibri"/>
                <w:color w:val="000000"/>
                <w:sz w:val="13"/>
                <w:szCs w:val="13"/>
              </w:rPr>
              <w:t>1</w:t>
            </w:r>
          </w:p>
        </w:tc>
        <w:tc>
          <w:tcPr>
            <w:tcW w:w="344" w:type="pct"/>
            <w:noWrap/>
            <w:vAlign w:val="center"/>
            <w:hideMark/>
          </w:tcPr>
          <w:p w14:paraId="5ECB5EF2" w14:textId="230DFA67"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0.</w:t>
            </w:r>
            <w:r w:rsidR="00E23655" w:rsidRPr="00315DDE">
              <w:rPr>
                <w:rFonts w:ascii="Calibri" w:hAnsi="Calibri" w:cs="Calibri"/>
                <w:color w:val="000000"/>
                <w:sz w:val="13"/>
                <w:szCs w:val="13"/>
              </w:rPr>
              <w:t>2</w:t>
            </w:r>
          </w:p>
        </w:tc>
      </w:tr>
      <w:tr w:rsidR="00E23655" w:rsidRPr="00315DDE" w14:paraId="03ECD37A" w14:textId="77777777" w:rsidTr="00994BFC">
        <w:trPr>
          <w:trHeight w:val="193"/>
          <w:jc w:val="center"/>
        </w:trPr>
        <w:tc>
          <w:tcPr>
            <w:tcW w:w="1094" w:type="pct"/>
            <w:shd w:val="clear" w:color="auto" w:fill="8EAADB" w:themeFill="accent1" w:themeFillTint="99"/>
            <w:noWrap/>
            <w:hideMark/>
          </w:tcPr>
          <w:p w14:paraId="7AB57C7F" w14:textId="3CF42C50" w:rsidR="00E23655" w:rsidRPr="00315DDE" w:rsidRDefault="005C6FAF" w:rsidP="0045409E">
            <w:pPr>
              <w:spacing w:after="0" w:line="360" w:lineRule="auto"/>
              <w:rPr>
                <w:rFonts w:ascii="Calibri" w:hAnsi="Calibri" w:cs="Calibri"/>
                <w:color w:val="000000"/>
                <w:sz w:val="13"/>
                <w:szCs w:val="13"/>
              </w:rPr>
            </w:pPr>
            <w:r w:rsidRPr="00315DDE">
              <w:rPr>
                <w:rFonts w:ascii="Calibri" w:hAnsi="Calibri" w:cs="Calibri"/>
                <w:color w:val="000000"/>
                <w:sz w:val="13"/>
                <w:szCs w:val="13"/>
              </w:rPr>
              <w:t>Pensions</w:t>
            </w:r>
          </w:p>
        </w:tc>
        <w:tc>
          <w:tcPr>
            <w:tcW w:w="475" w:type="pct"/>
            <w:noWrap/>
            <w:vAlign w:val="center"/>
            <w:hideMark/>
          </w:tcPr>
          <w:p w14:paraId="1F760774" w14:textId="7AD7039A" w:rsidR="00E23655" w:rsidRPr="00315DDE" w:rsidRDefault="00E23655" w:rsidP="005C6FAF">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32</w:t>
            </w:r>
            <w:r w:rsidR="005C6FAF" w:rsidRPr="00315DDE">
              <w:rPr>
                <w:rFonts w:ascii="Calibri" w:hAnsi="Calibri" w:cs="Calibri"/>
                <w:color w:val="000000"/>
                <w:sz w:val="13"/>
                <w:szCs w:val="13"/>
              </w:rPr>
              <w:t>.</w:t>
            </w:r>
            <w:r w:rsidRPr="00315DDE">
              <w:rPr>
                <w:rFonts w:ascii="Calibri" w:hAnsi="Calibri" w:cs="Calibri"/>
                <w:color w:val="000000"/>
                <w:sz w:val="13"/>
                <w:szCs w:val="13"/>
              </w:rPr>
              <w:t>0</w:t>
            </w:r>
          </w:p>
        </w:tc>
        <w:tc>
          <w:tcPr>
            <w:tcW w:w="341" w:type="pct"/>
            <w:noWrap/>
            <w:vAlign w:val="center"/>
            <w:hideMark/>
          </w:tcPr>
          <w:p w14:paraId="0E08B59A" w14:textId="4D2BA8E2" w:rsidR="00E23655" w:rsidRPr="00315DDE" w:rsidRDefault="00E23655"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4</w:t>
            </w:r>
            <w:r w:rsidR="005C6FAF" w:rsidRPr="00315DDE">
              <w:rPr>
                <w:rFonts w:ascii="Calibri" w:hAnsi="Calibri" w:cs="Calibri"/>
                <w:color w:val="000000"/>
                <w:sz w:val="13"/>
                <w:szCs w:val="13"/>
              </w:rPr>
              <w:t>5.</w:t>
            </w:r>
            <w:r w:rsidRPr="00315DDE">
              <w:rPr>
                <w:rFonts w:ascii="Calibri" w:hAnsi="Calibri" w:cs="Calibri"/>
                <w:color w:val="000000"/>
                <w:sz w:val="13"/>
                <w:szCs w:val="13"/>
              </w:rPr>
              <w:t>0</w:t>
            </w:r>
          </w:p>
        </w:tc>
        <w:tc>
          <w:tcPr>
            <w:tcW w:w="342" w:type="pct"/>
            <w:noWrap/>
            <w:vAlign w:val="center"/>
            <w:hideMark/>
          </w:tcPr>
          <w:p w14:paraId="7F2B7ADB" w14:textId="2EBB1819"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44.</w:t>
            </w:r>
            <w:r w:rsidR="00E23655" w:rsidRPr="00315DDE">
              <w:rPr>
                <w:rFonts w:ascii="Calibri" w:hAnsi="Calibri" w:cs="Calibri"/>
                <w:color w:val="000000"/>
                <w:sz w:val="13"/>
                <w:szCs w:val="13"/>
              </w:rPr>
              <w:t>0</w:t>
            </w:r>
          </w:p>
        </w:tc>
        <w:tc>
          <w:tcPr>
            <w:tcW w:w="342" w:type="pct"/>
            <w:noWrap/>
            <w:vAlign w:val="center"/>
            <w:hideMark/>
          </w:tcPr>
          <w:p w14:paraId="42152050" w14:textId="4A660FF2"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38.</w:t>
            </w:r>
            <w:r w:rsidR="00E23655" w:rsidRPr="00315DDE">
              <w:rPr>
                <w:rFonts w:ascii="Calibri" w:hAnsi="Calibri" w:cs="Calibri"/>
                <w:color w:val="000000"/>
                <w:sz w:val="13"/>
                <w:szCs w:val="13"/>
              </w:rPr>
              <w:t>5</w:t>
            </w:r>
          </w:p>
        </w:tc>
        <w:tc>
          <w:tcPr>
            <w:tcW w:w="344" w:type="pct"/>
            <w:noWrap/>
            <w:vAlign w:val="center"/>
            <w:hideMark/>
          </w:tcPr>
          <w:p w14:paraId="3F858789" w14:textId="5A45EAE2"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34.</w:t>
            </w:r>
            <w:r w:rsidR="00E23655" w:rsidRPr="00315DDE">
              <w:rPr>
                <w:rFonts w:ascii="Calibri" w:hAnsi="Calibri" w:cs="Calibri"/>
                <w:color w:val="000000"/>
                <w:sz w:val="13"/>
                <w:szCs w:val="13"/>
              </w:rPr>
              <w:t>5</w:t>
            </w:r>
          </w:p>
        </w:tc>
        <w:tc>
          <w:tcPr>
            <w:tcW w:w="344" w:type="pct"/>
            <w:noWrap/>
            <w:vAlign w:val="center"/>
            <w:hideMark/>
          </w:tcPr>
          <w:p w14:paraId="00AD70E2" w14:textId="5DB45FB1"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35.</w:t>
            </w:r>
            <w:r w:rsidR="00E23655" w:rsidRPr="00315DDE">
              <w:rPr>
                <w:rFonts w:ascii="Calibri" w:hAnsi="Calibri" w:cs="Calibri"/>
                <w:color w:val="000000"/>
                <w:sz w:val="13"/>
                <w:szCs w:val="13"/>
              </w:rPr>
              <w:t>4</w:t>
            </w:r>
          </w:p>
        </w:tc>
        <w:tc>
          <w:tcPr>
            <w:tcW w:w="344" w:type="pct"/>
            <w:noWrap/>
            <w:vAlign w:val="center"/>
            <w:hideMark/>
          </w:tcPr>
          <w:p w14:paraId="18D046FA" w14:textId="587B47A7"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27.</w:t>
            </w:r>
            <w:r w:rsidR="00E23655" w:rsidRPr="00315DDE">
              <w:rPr>
                <w:rFonts w:ascii="Calibri" w:hAnsi="Calibri" w:cs="Calibri"/>
                <w:color w:val="000000"/>
                <w:sz w:val="13"/>
                <w:szCs w:val="13"/>
              </w:rPr>
              <w:t>0</w:t>
            </w:r>
          </w:p>
        </w:tc>
        <w:tc>
          <w:tcPr>
            <w:tcW w:w="344" w:type="pct"/>
            <w:noWrap/>
            <w:vAlign w:val="center"/>
            <w:hideMark/>
          </w:tcPr>
          <w:p w14:paraId="093F9321" w14:textId="282BC303"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26.</w:t>
            </w:r>
            <w:r w:rsidR="00E23655" w:rsidRPr="00315DDE">
              <w:rPr>
                <w:rFonts w:ascii="Calibri" w:hAnsi="Calibri" w:cs="Calibri"/>
                <w:color w:val="000000"/>
                <w:sz w:val="13"/>
                <w:szCs w:val="13"/>
              </w:rPr>
              <w:t>9</w:t>
            </w:r>
          </w:p>
        </w:tc>
        <w:tc>
          <w:tcPr>
            <w:tcW w:w="344" w:type="pct"/>
            <w:noWrap/>
            <w:vAlign w:val="center"/>
            <w:hideMark/>
          </w:tcPr>
          <w:p w14:paraId="66FC21B4" w14:textId="05A7AD54"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26.</w:t>
            </w:r>
            <w:r w:rsidR="00E23655" w:rsidRPr="00315DDE">
              <w:rPr>
                <w:rFonts w:ascii="Calibri" w:hAnsi="Calibri" w:cs="Calibri"/>
                <w:color w:val="000000"/>
                <w:sz w:val="13"/>
                <w:szCs w:val="13"/>
              </w:rPr>
              <w:t>3</w:t>
            </w:r>
          </w:p>
        </w:tc>
        <w:tc>
          <w:tcPr>
            <w:tcW w:w="344" w:type="pct"/>
            <w:noWrap/>
            <w:vAlign w:val="center"/>
            <w:hideMark/>
          </w:tcPr>
          <w:p w14:paraId="71A5EE3C" w14:textId="15BABCDC"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23.</w:t>
            </w:r>
            <w:r w:rsidR="00E23655" w:rsidRPr="00315DDE">
              <w:rPr>
                <w:rFonts w:ascii="Calibri" w:hAnsi="Calibri" w:cs="Calibri"/>
                <w:color w:val="000000"/>
                <w:sz w:val="13"/>
                <w:szCs w:val="13"/>
              </w:rPr>
              <w:t>9</w:t>
            </w:r>
          </w:p>
        </w:tc>
        <w:tc>
          <w:tcPr>
            <w:tcW w:w="344" w:type="pct"/>
            <w:noWrap/>
            <w:vAlign w:val="center"/>
            <w:hideMark/>
          </w:tcPr>
          <w:p w14:paraId="05B17547" w14:textId="04A48881"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17.</w:t>
            </w:r>
            <w:r w:rsidR="00E23655" w:rsidRPr="00315DDE">
              <w:rPr>
                <w:rFonts w:ascii="Calibri" w:hAnsi="Calibri" w:cs="Calibri"/>
                <w:color w:val="000000"/>
                <w:sz w:val="13"/>
                <w:szCs w:val="13"/>
              </w:rPr>
              <w:t>9</w:t>
            </w:r>
          </w:p>
        </w:tc>
      </w:tr>
      <w:tr w:rsidR="00E23655" w:rsidRPr="00315DDE" w14:paraId="1BFC3B0F" w14:textId="77777777" w:rsidTr="00994BFC">
        <w:trPr>
          <w:trHeight w:val="193"/>
          <w:jc w:val="center"/>
        </w:trPr>
        <w:tc>
          <w:tcPr>
            <w:tcW w:w="1094" w:type="pct"/>
            <w:shd w:val="clear" w:color="auto" w:fill="8EAADB" w:themeFill="accent1" w:themeFillTint="99"/>
            <w:noWrap/>
            <w:hideMark/>
          </w:tcPr>
          <w:p w14:paraId="2F79A904" w14:textId="17C497EA" w:rsidR="00E23655" w:rsidRPr="00315DDE" w:rsidRDefault="005C6FAF" w:rsidP="0045409E">
            <w:pPr>
              <w:spacing w:after="0" w:line="360" w:lineRule="auto"/>
              <w:rPr>
                <w:rFonts w:ascii="Calibri" w:hAnsi="Calibri" w:cs="Calibri"/>
                <w:color w:val="000000"/>
                <w:sz w:val="13"/>
                <w:szCs w:val="13"/>
              </w:rPr>
            </w:pPr>
            <w:r w:rsidRPr="00315DDE">
              <w:rPr>
                <w:rFonts w:ascii="Calibri" w:hAnsi="Calibri" w:cs="Calibri"/>
                <w:color w:val="000000"/>
                <w:sz w:val="13"/>
                <w:szCs w:val="13"/>
              </w:rPr>
              <w:t>Unemployment benefits</w:t>
            </w:r>
          </w:p>
        </w:tc>
        <w:tc>
          <w:tcPr>
            <w:tcW w:w="475" w:type="pct"/>
            <w:noWrap/>
            <w:vAlign w:val="center"/>
            <w:hideMark/>
          </w:tcPr>
          <w:p w14:paraId="6955D30C" w14:textId="3CA364E5"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0.</w:t>
            </w:r>
            <w:r w:rsidR="00E23655" w:rsidRPr="00315DDE">
              <w:rPr>
                <w:rFonts w:ascii="Calibri" w:hAnsi="Calibri" w:cs="Calibri"/>
                <w:color w:val="000000"/>
                <w:sz w:val="13"/>
                <w:szCs w:val="13"/>
              </w:rPr>
              <w:t>1</w:t>
            </w:r>
          </w:p>
        </w:tc>
        <w:tc>
          <w:tcPr>
            <w:tcW w:w="341" w:type="pct"/>
            <w:noWrap/>
            <w:vAlign w:val="center"/>
            <w:hideMark/>
          </w:tcPr>
          <w:p w14:paraId="1C8E4FF9" w14:textId="0263C0A5"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0.</w:t>
            </w:r>
            <w:r w:rsidR="00E23655" w:rsidRPr="00315DDE">
              <w:rPr>
                <w:rFonts w:ascii="Calibri" w:hAnsi="Calibri" w:cs="Calibri"/>
                <w:color w:val="000000"/>
                <w:sz w:val="13"/>
                <w:szCs w:val="13"/>
              </w:rPr>
              <w:t>3</w:t>
            </w:r>
          </w:p>
        </w:tc>
        <w:tc>
          <w:tcPr>
            <w:tcW w:w="342" w:type="pct"/>
            <w:noWrap/>
            <w:vAlign w:val="center"/>
            <w:hideMark/>
          </w:tcPr>
          <w:p w14:paraId="1A9ECA6B" w14:textId="3E92EE30"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0.</w:t>
            </w:r>
            <w:r w:rsidR="00E23655" w:rsidRPr="00315DDE">
              <w:rPr>
                <w:rFonts w:ascii="Calibri" w:hAnsi="Calibri" w:cs="Calibri"/>
                <w:color w:val="000000"/>
                <w:sz w:val="13"/>
                <w:szCs w:val="13"/>
              </w:rPr>
              <w:t>1</w:t>
            </w:r>
          </w:p>
        </w:tc>
        <w:tc>
          <w:tcPr>
            <w:tcW w:w="342" w:type="pct"/>
            <w:noWrap/>
            <w:vAlign w:val="center"/>
            <w:hideMark/>
          </w:tcPr>
          <w:p w14:paraId="58C81EDF" w14:textId="0E8F1614"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0.</w:t>
            </w:r>
            <w:r w:rsidR="00E23655" w:rsidRPr="00315DDE">
              <w:rPr>
                <w:rFonts w:ascii="Calibri" w:hAnsi="Calibri" w:cs="Calibri"/>
                <w:color w:val="000000"/>
                <w:sz w:val="13"/>
                <w:szCs w:val="13"/>
              </w:rPr>
              <w:t>2</w:t>
            </w:r>
          </w:p>
        </w:tc>
        <w:tc>
          <w:tcPr>
            <w:tcW w:w="344" w:type="pct"/>
            <w:noWrap/>
            <w:vAlign w:val="center"/>
            <w:hideMark/>
          </w:tcPr>
          <w:p w14:paraId="10552D1A" w14:textId="1627E573"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0.</w:t>
            </w:r>
            <w:r w:rsidR="00E23655" w:rsidRPr="00315DDE">
              <w:rPr>
                <w:rFonts w:ascii="Calibri" w:hAnsi="Calibri" w:cs="Calibri"/>
                <w:color w:val="000000"/>
                <w:sz w:val="13"/>
                <w:szCs w:val="13"/>
              </w:rPr>
              <w:t>2</w:t>
            </w:r>
          </w:p>
        </w:tc>
        <w:tc>
          <w:tcPr>
            <w:tcW w:w="344" w:type="pct"/>
            <w:noWrap/>
            <w:vAlign w:val="center"/>
            <w:hideMark/>
          </w:tcPr>
          <w:p w14:paraId="2EAFFAFD" w14:textId="3FFB0ABD"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0.</w:t>
            </w:r>
            <w:r w:rsidR="00E23655" w:rsidRPr="00315DDE">
              <w:rPr>
                <w:rFonts w:ascii="Calibri" w:hAnsi="Calibri" w:cs="Calibri"/>
                <w:color w:val="000000"/>
                <w:sz w:val="13"/>
                <w:szCs w:val="13"/>
              </w:rPr>
              <w:t>4</w:t>
            </w:r>
          </w:p>
        </w:tc>
        <w:tc>
          <w:tcPr>
            <w:tcW w:w="344" w:type="pct"/>
            <w:noWrap/>
            <w:vAlign w:val="center"/>
            <w:hideMark/>
          </w:tcPr>
          <w:p w14:paraId="303C8CC2" w14:textId="20EE2311"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0.</w:t>
            </w:r>
            <w:r w:rsidR="00E23655" w:rsidRPr="00315DDE">
              <w:rPr>
                <w:rFonts w:ascii="Calibri" w:hAnsi="Calibri" w:cs="Calibri"/>
                <w:color w:val="000000"/>
                <w:sz w:val="13"/>
                <w:szCs w:val="13"/>
              </w:rPr>
              <w:t>3</w:t>
            </w:r>
          </w:p>
        </w:tc>
        <w:tc>
          <w:tcPr>
            <w:tcW w:w="344" w:type="pct"/>
            <w:noWrap/>
            <w:vAlign w:val="center"/>
            <w:hideMark/>
          </w:tcPr>
          <w:p w14:paraId="1DF0C7F1" w14:textId="26800B62" w:rsidR="00E23655" w:rsidRPr="00315DDE" w:rsidRDefault="00E23655"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w:t>
            </w:r>
          </w:p>
        </w:tc>
        <w:tc>
          <w:tcPr>
            <w:tcW w:w="344" w:type="pct"/>
            <w:noWrap/>
            <w:vAlign w:val="center"/>
            <w:hideMark/>
          </w:tcPr>
          <w:p w14:paraId="39333DBF" w14:textId="17F04FDC"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0.</w:t>
            </w:r>
            <w:r w:rsidR="00E23655" w:rsidRPr="00315DDE">
              <w:rPr>
                <w:rFonts w:ascii="Calibri" w:hAnsi="Calibri" w:cs="Calibri"/>
                <w:color w:val="000000"/>
                <w:sz w:val="13"/>
                <w:szCs w:val="13"/>
              </w:rPr>
              <w:t>1</w:t>
            </w:r>
          </w:p>
        </w:tc>
        <w:tc>
          <w:tcPr>
            <w:tcW w:w="344" w:type="pct"/>
            <w:noWrap/>
            <w:vAlign w:val="center"/>
            <w:hideMark/>
          </w:tcPr>
          <w:p w14:paraId="7DD49004" w14:textId="198ECBE0" w:rsidR="00E23655" w:rsidRPr="00315DDE" w:rsidRDefault="00E23655"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w:t>
            </w:r>
          </w:p>
        </w:tc>
        <w:tc>
          <w:tcPr>
            <w:tcW w:w="344" w:type="pct"/>
            <w:noWrap/>
            <w:vAlign w:val="center"/>
            <w:hideMark/>
          </w:tcPr>
          <w:p w14:paraId="5EA5DC2B" w14:textId="4EEA8782" w:rsidR="00E23655" w:rsidRPr="00315DDE" w:rsidRDefault="00E23655"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w:t>
            </w:r>
          </w:p>
        </w:tc>
      </w:tr>
      <w:tr w:rsidR="00E23655" w:rsidRPr="00315DDE" w14:paraId="644B26A3" w14:textId="77777777" w:rsidTr="00994BFC">
        <w:trPr>
          <w:trHeight w:val="193"/>
          <w:jc w:val="center"/>
        </w:trPr>
        <w:tc>
          <w:tcPr>
            <w:tcW w:w="1094" w:type="pct"/>
            <w:shd w:val="clear" w:color="auto" w:fill="8EAADB" w:themeFill="accent1" w:themeFillTint="99"/>
            <w:noWrap/>
          </w:tcPr>
          <w:p w14:paraId="46B79999" w14:textId="3E7288C0" w:rsidR="00E23655" w:rsidRPr="00315DDE" w:rsidRDefault="005C6FAF" w:rsidP="005C6FAF">
            <w:pPr>
              <w:spacing w:after="0" w:line="360" w:lineRule="auto"/>
              <w:rPr>
                <w:rFonts w:ascii="Calibri" w:hAnsi="Calibri" w:cs="Calibri"/>
                <w:color w:val="000000"/>
                <w:sz w:val="13"/>
                <w:szCs w:val="13"/>
              </w:rPr>
            </w:pPr>
            <w:r w:rsidRPr="00315DDE">
              <w:rPr>
                <w:rFonts w:ascii="Calibri" w:hAnsi="Calibri" w:cs="Calibri"/>
                <w:color w:val="000000"/>
                <w:sz w:val="13"/>
                <w:szCs w:val="13"/>
              </w:rPr>
              <w:t>Social transfers</w:t>
            </w:r>
            <w:r w:rsidR="005E495C" w:rsidRPr="00315DDE">
              <w:rPr>
                <w:rFonts w:ascii="Calibri" w:hAnsi="Calibri" w:cs="Calibri"/>
                <w:color w:val="000000"/>
                <w:sz w:val="13"/>
                <w:szCs w:val="13"/>
              </w:rPr>
              <w:t xml:space="preserve"> </w:t>
            </w:r>
            <w:r w:rsidR="00E23655" w:rsidRPr="00315DDE">
              <w:rPr>
                <w:rFonts w:ascii="Calibri" w:hAnsi="Calibri" w:cs="Calibri"/>
                <w:color w:val="000000"/>
                <w:sz w:val="13"/>
                <w:szCs w:val="13"/>
              </w:rPr>
              <w:t>(</w:t>
            </w:r>
            <w:r w:rsidRPr="00315DDE">
              <w:rPr>
                <w:rFonts w:ascii="Calibri" w:hAnsi="Calibri" w:cs="Calibri"/>
                <w:color w:val="000000"/>
                <w:sz w:val="13"/>
                <w:szCs w:val="13"/>
              </w:rPr>
              <w:t>financial social assistance, child benefits, etc.)</w:t>
            </w:r>
          </w:p>
        </w:tc>
        <w:tc>
          <w:tcPr>
            <w:tcW w:w="475" w:type="pct"/>
            <w:noWrap/>
            <w:vAlign w:val="center"/>
          </w:tcPr>
          <w:p w14:paraId="0C8C4CD7" w14:textId="36A783AD" w:rsidR="00E23655" w:rsidRPr="005046FB" w:rsidRDefault="00E23655" w:rsidP="0045409E">
            <w:pPr>
              <w:spacing w:after="0" w:line="360" w:lineRule="auto"/>
              <w:jc w:val="right"/>
              <w:rPr>
                <w:rFonts w:ascii="Arial" w:hAnsi="Arial" w:cs="Arial"/>
                <w:color w:val="000000" w:themeColor="text1"/>
                <w:sz w:val="13"/>
                <w:szCs w:val="13"/>
              </w:rPr>
            </w:pPr>
            <w:r w:rsidRPr="005046FB">
              <w:rPr>
                <w:rFonts w:ascii="Calibri" w:hAnsi="Calibri" w:cs="Calibri"/>
                <w:color w:val="000000" w:themeColor="text1"/>
                <w:sz w:val="13"/>
                <w:szCs w:val="13"/>
              </w:rPr>
              <w:t>2</w:t>
            </w:r>
            <w:r w:rsidR="005C6FAF" w:rsidRPr="005046FB">
              <w:rPr>
                <w:rFonts w:ascii="Calibri" w:hAnsi="Calibri" w:cs="Calibri"/>
                <w:color w:val="000000" w:themeColor="text1"/>
                <w:sz w:val="13"/>
                <w:szCs w:val="13"/>
              </w:rPr>
              <w:t>.</w:t>
            </w:r>
            <w:r w:rsidRPr="005046FB">
              <w:rPr>
                <w:rFonts w:ascii="Calibri" w:hAnsi="Calibri" w:cs="Calibri"/>
                <w:color w:val="000000" w:themeColor="text1"/>
                <w:sz w:val="13"/>
                <w:szCs w:val="13"/>
              </w:rPr>
              <w:t>4</w:t>
            </w:r>
          </w:p>
        </w:tc>
        <w:tc>
          <w:tcPr>
            <w:tcW w:w="341" w:type="pct"/>
            <w:noWrap/>
            <w:vAlign w:val="center"/>
          </w:tcPr>
          <w:p w14:paraId="7D6C87CD" w14:textId="617EB37D" w:rsidR="00E23655" w:rsidRPr="005046FB" w:rsidRDefault="005C6FAF" w:rsidP="0045409E">
            <w:pPr>
              <w:spacing w:after="0" w:line="360" w:lineRule="auto"/>
              <w:jc w:val="right"/>
              <w:rPr>
                <w:rFonts w:ascii="Arial" w:hAnsi="Arial" w:cs="Arial"/>
                <w:color w:val="000000" w:themeColor="text1"/>
                <w:sz w:val="13"/>
                <w:szCs w:val="13"/>
              </w:rPr>
            </w:pPr>
            <w:r w:rsidRPr="005046FB">
              <w:rPr>
                <w:rFonts w:ascii="Calibri" w:hAnsi="Calibri" w:cs="Calibri"/>
                <w:color w:val="000000" w:themeColor="text1"/>
                <w:sz w:val="13"/>
                <w:szCs w:val="13"/>
              </w:rPr>
              <w:t>15.</w:t>
            </w:r>
            <w:r w:rsidR="00E23655" w:rsidRPr="005046FB">
              <w:rPr>
                <w:rFonts w:ascii="Calibri" w:hAnsi="Calibri" w:cs="Calibri"/>
                <w:color w:val="000000" w:themeColor="text1"/>
                <w:sz w:val="13"/>
                <w:szCs w:val="13"/>
              </w:rPr>
              <w:t>3</w:t>
            </w:r>
          </w:p>
        </w:tc>
        <w:tc>
          <w:tcPr>
            <w:tcW w:w="342" w:type="pct"/>
            <w:noWrap/>
            <w:vAlign w:val="center"/>
          </w:tcPr>
          <w:p w14:paraId="47A2D06A" w14:textId="020087BC" w:rsidR="00E23655" w:rsidRPr="005046FB" w:rsidRDefault="005C6FAF" w:rsidP="0045409E">
            <w:pPr>
              <w:spacing w:after="0" w:line="360" w:lineRule="auto"/>
              <w:jc w:val="right"/>
              <w:rPr>
                <w:rFonts w:ascii="Arial" w:hAnsi="Arial" w:cs="Arial"/>
                <w:color w:val="000000" w:themeColor="text1"/>
                <w:sz w:val="13"/>
                <w:szCs w:val="13"/>
              </w:rPr>
            </w:pPr>
            <w:r w:rsidRPr="005046FB">
              <w:rPr>
                <w:rFonts w:ascii="Calibri" w:hAnsi="Calibri" w:cs="Calibri"/>
                <w:color w:val="000000" w:themeColor="text1"/>
                <w:sz w:val="13"/>
                <w:szCs w:val="13"/>
              </w:rPr>
              <w:t>4.</w:t>
            </w:r>
            <w:r w:rsidR="00E23655" w:rsidRPr="005046FB">
              <w:rPr>
                <w:rFonts w:ascii="Calibri" w:hAnsi="Calibri" w:cs="Calibri"/>
                <w:color w:val="000000" w:themeColor="text1"/>
                <w:sz w:val="13"/>
                <w:szCs w:val="13"/>
              </w:rPr>
              <w:t>5</w:t>
            </w:r>
          </w:p>
        </w:tc>
        <w:tc>
          <w:tcPr>
            <w:tcW w:w="342" w:type="pct"/>
            <w:noWrap/>
            <w:vAlign w:val="center"/>
          </w:tcPr>
          <w:p w14:paraId="4C223F9C" w14:textId="1792FFA9" w:rsidR="00E23655" w:rsidRPr="005046FB" w:rsidRDefault="005C6FAF" w:rsidP="0045409E">
            <w:pPr>
              <w:spacing w:after="0" w:line="360" w:lineRule="auto"/>
              <w:jc w:val="right"/>
              <w:rPr>
                <w:rFonts w:ascii="Arial" w:hAnsi="Arial" w:cs="Arial"/>
                <w:color w:val="000000" w:themeColor="text1"/>
                <w:sz w:val="13"/>
                <w:szCs w:val="13"/>
              </w:rPr>
            </w:pPr>
            <w:r w:rsidRPr="005046FB">
              <w:rPr>
                <w:rFonts w:ascii="Calibri" w:hAnsi="Calibri" w:cs="Calibri"/>
                <w:color w:val="000000" w:themeColor="text1"/>
                <w:sz w:val="13"/>
                <w:szCs w:val="13"/>
              </w:rPr>
              <w:t>2.</w:t>
            </w:r>
            <w:r w:rsidR="00E23655" w:rsidRPr="005046FB">
              <w:rPr>
                <w:rFonts w:ascii="Calibri" w:hAnsi="Calibri" w:cs="Calibri"/>
                <w:color w:val="000000" w:themeColor="text1"/>
                <w:sz w:val="13"/>
                <w:szCs w:val="13"/>
              </w:rPr>
              <w:t>5</w:t>
            </w:r>
          </w:p>
        </w:tc>
        <w:tc>
          <w:tcPr>
            <w:tcW w:w="344" w:type="pct"/>
            <w:noWrap/>
            <w:vAlign w:val="center"/>
          </w:tcPr>
          <w:p w14:paraId="58EF19FD" w14:textId="25B356BB" w:rsidR="00E23655" w:rsidRPr="005046FB" w:rsidRDefault="005C6FAF" w:rsidP="0045409E">
            <w:pPr>
              <w:spacing w:after="0" w:line="360" w:lineRule="auto"/>
              <w:jc w:val="right"/>
              <w:rPr>
                <w:rFonts w:ascii="Arial" w:hAnsi="Arial" w:cs="Arial"/>
                <w:color w:val="000000" w:themeColor="text1"/>
                <w:sz w:val="13"/>
                <w:szCs w:val="13"/>
              </w:rPr>
            </w:pPr>
            <w:r w:rsidRPr="005046FB">
              <w:rPr>
                <w:rFonts w:ascii="Calibri" w:hAnsi="Calibri" w:cs="Calibri"/>
                <w:color w:val="000000" w:themeColor="text1"/>
                <w:sz w:val="13"/>
                <w:szCs w:val="13"/>
              </w:rPr>
              <w:t>0.</w:t>
            </w:r>
            <w:r w:rsidR="00E23655" w:rsidRPr="005046FB">
              <w:rPr>
                <w:rFonts w:ascii="Calibri" w:hAnsi="Calibri" w:cs="Calibri"/>
                <w:color w:val="000000" w:themeColor="text1"/>
                <w:sz w:val="13"/>
                <w:szCs w:val="13"/>
              </w:rPr>
              <w:t>5</w:t>
            </w:r>
          </w:p>
        </w:tc>
        <w:tc>
          <w:tcPr>
            <w:tcW w:w="344" w:type="pct"/>
            <w:noWrap/>
            <w:vAlign w:val="center"/>
          </w:tcPr>
          <w:p w14:paraId="67C4E257" w14:textId="3750912E" w:rsidR="00E23655" w:rsidRPr="005046FB" w:rsidRDefault="005C6FAF" w:rsidP="0045409E">
            <w:pPr>
              <w:spacing w:after="0" w:line="360" w:lineRule="auto"/>
              <w:jc w:val="right"/>
              <w:rPr>
                <w:rFonts w:ascii="Arial" w:hAnsi="Arial" w:cs="Arial"/>
                <w:color w:val="000000" w:themeColor="text1"/>
                <w:sz w:val="13"/>
                <w:szCs w:val="13"/>
              </w:rPr>
            </w:pPr>
            <w:r w:rsidRPr="005046FB">
              <w:rPr>
                <w:rFonts w:ascii="Calibri" w:hAnsi="Calibri" w:cs="Calibri"/>
                <w:color w:val="000000" w:themeColor="text1"/>
                <w:sz w:val="13"/>
                <w:szCs w:val="13"/>
              </w:rPr>
              <w:t>0.</w:t>
            </w:r>
            <w:r w:rsidR="00E23655" w:rsidRPr="005046FB">
              <w:rPr>
                <w:rFonts w:ascii="Calibri" w:hAnsi="Calibri" w:cs="Calibri"/>
                <w:color w:val="000000" w:themeColor="text1"/>
                <w:sz w:val="13"/>
                <w:szCs w:val="13"/>
              </w:rPr>
              <w:t>3</w:t>
            </w:r>
          </w:p>
        </w:tc>
        <w:tc>
          <w:tcPr>
            <w:tcW w:w="344" w:type="pct"/>
            <w:noWrap/>
            <w:vAlign w:val="center"/>
          </w:tcPr>
          <w:p w14:paraId="072BFEDF" w14:textId="52CF9383" w:rsidR="00E23655" w:rsidRPr="005046FB" w:rsidRDefault="005C6FAF" w:rsidP="0045409E">
            <w:pPr>
              <w:spacing w:after="0" w:line="360" w:lineRule="auto"/>
              <w:jc w:val="right"/>
              <w:rPr>
                <w:rFonts w:ascii="Arial" w:hAnsi="Arial" w:cs="Arial"/>
                <w:color w:val="000000" w:themeColor="text1"/>
                <w:sz w:val="13"/>
                <w:szCs w:val="13"/>
              </w:rPr>
            </w:pPr>
            <w:r w:rsidRPr="005046FB">
              <w:rPr>
                <w:rFonts w:ascii="Calibri" w:hAnsi="Calibri" w:cs="Calibri"/>
                <w:color w:val="000000" w:themeColor="text1"/>
                <w:sz w:val="13"/>
                <w:szCs w:val="13"/>
              </w:rPr>
              <w:t>0.</w:t>
            </w:r>
            <w:r w:rsidR="00E23655" w:rsidRPr="005046FB">
              <w:rPr>
                <w:rFonts w:ascii="Calibri" w:hAnsi="Calibri" w:cs="Calibri"/>
                <w:color w:val="000000" w:themeColor="text1"/>
                <w:sz w:val="13"/>
                <w:szCs w:val="13"/>
              </w:rPr>
              <w:t>4</w:t>
            </w:r>
          </w:p>
        </w:tc>
        <w:tc>
          <w:tcPr>
            <w:tcW w:w="344" w:type="pct"/>
            <w:noWrap/>
            <w:vAlign w:val="center"/>
          </w:tcPr>
          <w:p w14:paraId="3DDD6DA1" w14:textId="09815261" w:rsidR="00E23655" w:rsidRPr="005046FB" w:rsidRDefault="005C6FAF" w:rsidP="0045409E">
            <w:pPr>
              <w:spacing w:after="0" w:line="360" w:lineRule="auto"/>
              <w:jc w:val="right"/>
              <w:rPr>
                <w:rFonts w:ascii="Arial" w:hAnsi="Arial" w:cs="Arial"/>
                <w:color w:val="000000" w:themeColor="text1"/>
                <w:sz w:val="13"/>
                <w:szCs w:val="13"/>
              </w:rPr>
            </w:pPr>
            <w:r w:rsidRPr="005046FB">
              <w:rPr>
                <w:rFonts w:ascii="Calibri" w:hAnsi="Calibri" w:cs="Calibri"/>
                <w:color w:val="000000" w:themeColor="text1"/>
                <w:sz w:val="13"/>
                <w:szCs w:val="13"/>
              </w:rPr>
              <w:t>0.</w:t>
            </w:r>
            <w:r w:rsidR="00E23655" w:rsidRPr="005046FB">
              <w:rPr>
                <w:rFonts w:ascii="Calibri" w:hAnsi="Calibri" w:cs="Calibri"/>
                <w:color w:val="000000" w:themeColor="text1"/>
                <w:sz w:val="13"/>
                <w:szCs w:val="13"/>
              </w:rPr>
              <w:t>2</w:t>
            </w:r>
          </w:p>
        </w:tc>
        <w:tc>
          <w:tcPr>
            <w:tcW w:w="344" w:type="pct"/>
            <w:noWrap/>
            <w:vAlign w:val="center"/>
          </w:tcPr>
          <w:p w14:paraId="72C3914D" w14:textId="3E34F3E2" w:rsidR="00E23655" w:rsidRPr="005046FB" w:rsidRDefault="00E23655" w:rsidP="0045409E">
            <w:pPr>
              <w:spacing w:after="0" w:line="360" w:lineRule="auto"/>
              <w:jc w:val="right"/>
              <w:rPr>
                <w:rFonts w:ascii="Arial" w:hAnsi="Arial" w:cs="Arial"/>
                <w:color w:val="000000" w:themeColor="text1"/>
                <w:sz w:val="13"/>
                <w:szCs w:val="13"/>
              </w:rPr>
            </w:pPr>
            <w:r w:rsidRPr="005046FB">
              <w:rPr>
                <w:rFonts w:ascii="Calibri" w:hAnsi="Calibri" w:cs="Calibri"/>
                <w:color w:val="000000" w:themeColor="text1"/>
                <w:sz w:val="13"/>
                <w:szCs w:val="13"/>
              </w:rPr>
              <w:t>-</w:t>
            </w:r>
          </w:p>
        </w:tc>
        <w:tc>
          <w:tcPr>
            <w:tcW w:w="344" w:type="pct"/>
            <w:noWrap/>
            <w:vAlign w:val="center"/>
          </w:tcPr>
          <w:p w14:paraId="53AA32AE" w14:textId="107D0DA1" w:rsidR="00E23655" w:rsidRPr="00315DDE" w:rsidRDefault="00E23655"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w:t>
            </w:r>
          </w:p>
        </w:tc>
        <w:tc>
          <w:tcPr>
            <w:tcW w:w="344" w:type="pct"/>
            <w:noWrap/>
            <w:vAlign w:val="center"/>
          </w:tcPr>
          <w:p w14:paraId="436712DB" w14:textId="28809BE0" w:rsidR="00E23655" w:rsidRPr="00315DDE" w:rsidRDefault="00E23655"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w:t>
            </w:r>
          </w:p>
        </w:tc>
      </w:tr>
      <w:tr w:rsidR="00E23655" w:rsidRPr="00315DDE" w14:paraId="3727B13F" w14:textId="77777777" w:rsidTr="00994BFC">
        <w:trPr>
          <w:trHeight w:val="193"/>
          <w:jc w:val="center"/>
        </w:trPr>
        <w:tc>
          <w:tcPr>
            <w:tcW w:w="1094" w:type="pct"/>
            <w:shd w:val="clear" w:color="auto" w:fill="8EAADB" w:themeFill="accent1" w:themeFillTint="99"/>
            <w:noWrap/>
            <w:hideMark/>
          </w:tcPr>
          <w:p w14:paraId="36727555" w14:textId="1BDA837E" w:rsidR="00E23655" w:rsidRPr="00315DDE" w:rsidRDefault="005C6FAF" w:rsidP="0045409E">
            <w:pPr>
              <w:spacing w:after="0" w:line="360" w:lineRule="auto"/>
              <w:rPr>
                <w:rFonts w:ascii="Calibri" w:hAnsi="Calibri" w:cs="Calibri"/>
                <w:color w:val="000000"/>
                <w:sz w:val="13"/>
                <w:szCs w:val="13"/>
              </w:rPr>
            </w:pPr>
            <w:r w:rsidRPr="00315DDE">
              <w:rPr>
                <w:rFonts w:ascii="Calibri" w:hAnsi="Calibri" w:cs="Calibri"/>
                <w:color w:val="000000"/>
                <w:sz w:val="13"/>
                <w:szCs w:val="13"/>
              </w:rPr>
              <w:t>Other income</w:t>
            </w:r>
          </w:p>
        </w:tc>
        <w:tc>
          <w:tcPr>
            <w:tcW w:w="475" w:type="pct"/>
            <w:noWrap/>
            <w:vAlign w:val="center"/>
            <w:hideMark/>
          </w:tcPr>
          <w:p w14:paraId="600C1146" w14:textId="386ADEAC"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1.</w:t>
            </w:r>
            <w:r w:rsidR="00E23655" w:rsidRPr="00315DDE">
              <w:rPr>
                <w:rFonts w:ascii="Calibri" w:hAnsi="Calibri" w:cs="Calibri"/>
                <w:color w:val="000000"/>
                <w:sz w:val="13"/>
                <w:szCs w:val="13"/>
              </w:rPr>
              <w:t>6</w:t>
            </w:r>
          </w:p>
        </w:tc>
        <w:tc>
          <w:tcPr>
            <w:tcW w:w="341" w:type="pct"/>
            <w:noWrap/>
            <w:vAlign w:val="center"/>
            <w:hideMark/>
          </w:tcPr>
          <w:p w14:paraId="49FF8AA3" w14:textId="7908AF5F"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4.</w:t>
            </w:r>
            <w:r w:rsidR="00E23655" w:rsidRPr="00315DDE">
              <w:rPr>
                <w:rFonts w:ascii="Calibri" w:hAnsi="Calibri" w:cs="Calibri"/>
                <w:color w:val="000000"/>
                <w:sz w:val="13"/>
                <w:szCs w:val="13"/>
              </w:rPr>
              <w:t>7</w:t>
            </w:r>
          </w:p>
        </w:tc>
        <w:tc>
          <w:tcPr>
            <w:tcW w:w="342" w:type="pct"/>
            <w:noWrap/>
            <w:vAlign w:val="center"/>
            <w:hideMark/>
          </w:tcPr>
          <w:p w14:paraId="6B7671BE" w14:textId="4D5855D8"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1.</w:t>
            </w:r>
            <w:r w:rsidR="00E23655" w:rsidRPr="00315DDE">
              <w:rPr>
                <w:rFonts w:ascii="Calibri" w:hAnsi="Calibri" w:cs="Calibri"/>
                <w:color w:val="000000"/>
                <w:sz w:val="13"/>
                <w:szCs w:val="13"/>
              </w:rPr>
              <w:t>7</w:t>
            </w:r>
          </w:p>
        </w:tc>
        <w:tc>
          <w:tcPr>
            <w:tcW w:w="342" w:type="pct"/>
            <w:noWrap/>
            <w:vAlign w:val="center"/>
            <w:hideMark/>
          </w:tcPr>
          <w:p w14:paraId="39F680C2" w14:textId="40D5091E"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1.</w:t>
            </w:r>
            <w:r w:rsidR="00E23655" w:rsidRPr="00315DDE">
              <w:rPr>
                <w:rFonts w:ascii="Calibri" w:hAnsi="Calibri" w:cs="Calibri"/>
                <w:color w:val="000000"/>
                <w:sz w:val="13"/>
                <w:szCs w:val="13"/>
              </w:rPr>
              <w:t>4</w:t>
            </w:r>
          </w:p>
        </w:tc>
        <w:tc>
          <w:tcPr>
            <w:tcW w:w="344" w:type="pct"/>
            <w:noWrap/>
            <w:vAlign w:val="center"/>
            <w:hideMark/>
          </w:tcPr>
          <w:p w14:paraId="40B65A55" w14:textId="728D7913"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1.</w:t>
            </w:r>
            <w:r w:rsidR="00E23655" w:rsidRPr="00315DDE">
              <w:rPr>
                <w:rFonts w:ascii="Calibri" w:hAnsi="Calibri" w:cs="Calibri"/>
                <w:color w:val="000000"/>
                <w:sz w:val="13"/>
                <w:szCs w:val="13"/>
              </w:rPr>
              <w:t>4</w:t>
            </w:r>
          </w:p>
        </w:tc>
        <w:tc>
          <w:tcPr>
            <w:tcW w:w="344" w:type="pct"/>
            <w:noWrap/>
            <w:vAlign w:val="center"/>
            <w:hideMark/>
          </w:tcPr>
          <w:p w14:paraId="2EB45023" w14:textId="29867396"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2.</w:t>
            </w:r>
            <w:r w:rsidR="00E23655" w:rsidRPr="00315DDE">
              <w:rPr>
                <w:rFonts w:ascii="Calibri" w:hAnsi="Calibri" w:cs="Calibri"/>
                <w:color w:val="000000"/>
                <w:sz w:val="13"/>
                <w:szCs w:val="13"/>
              </w:rPr>
              <w:t>4</w:t>
            </w:r>
          </w:p>
        </w:tc>
        <w:tc>
          <w:tcPr>
            <w:tcW w:w="344" w:type="pct"/>
            <w:noWrap/>
            <w:vAlign w:val="center"/>
            <w:hideMark/>
          </w:tcPr>
          <w:p w14:paraId="56731FB6" w14:textId="3EDF1495"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1.</w:t>
            </w:r>
            <w:r w:rsidR="00E23655" w:rsidRPr="00315DDE">
              <w:rPr>
                <w:rFonts w:ascii="Calibri" w:hAnsi="Calibri" w:cs="Calibri"/>
                <w:color w:val="000000"/>
                <w:sz w:val="13"/>
                <w:szCs w:val="13"/>
              </w:rPr>
              <w:t>2</w:t>
            </w:r>
          </w:p>
        </w:tc>
        <w:tc>
          <w:tcPr>
            <w:tcW w:w="344" w:type="pct"/>
            <w:noWrap/>
            <w:vAlign w:val="center"/>
            <w:hideMark/>
          </w:tcPr>
          <w:p w14:paraId="19947085" w14:textId="3D85A0B8"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0.</w:t>
            </w:r>
            <w:r w:rsidR="00E23655" w:rsidRPr="00315DDE">
              <w:rPr>
                <w:rFonts w:ascii="Calibri" w:hAnsi="Calibri" w:cs="Calibri"/>
                <w:color w:val="000000"/>
                <w:sz w:val="13"/>
                <w:szCs w:val="13"/>
              </w:rPr>
              <w:t>8</w:t>
            </w:r>
          </w:p>
        </w:tc>
        <w:tc>
          <w:tcPr>
            <w:tcW w:w="344" w:type="pct"/>
            <w:noWrap/>
            <w:vAlign w:val="center"/>
            <w:hideMark/>
          </w:tcPr>
          <w:p w14:paraId="6EAD6B44" w14:textId="234C6F9F"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1.</w:t>
            </w:r>
            <w:r w:rsidR="00E23655" w:rsidRPr="00315DDE">
              <w:rPr>
                <w:rFonts w:ascii="Calibri" w:hAnsi="Calibri" w:cs="Calibri"/>
                <w:color w:val="000000"/>
                <w:sz w:val="13"/>
                <w:szCs w:val="13"/>
              </w:rPr>
              <w:t>4</w:t>
            </w:r>
          </w:p>
        </w:tc>
        <w:tc>
          <w:tcPr>
            <w:tcW w:w="344" w:type="pct"/>
            <w:noWrap/>
            <w:vAlign w:val="center"/>
            <w:hideMark/>
          </w:tcPr>
          <w:p w14:paraId="0DF8FE73" w14:textId="1DCBE7D6"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1.</w:t>
            </w:r>
            <w:r w:rsidR="00E23655" w:rsidRPr="00315DDE">
              <w:rPr>
                <w:rFonts w:ascii="Calibri" w:hAnsi="Calibri" w:cs="Calibri"/>
                <w:color w:val="000000"/>
                <w:sz w:val="13"/>
                <w:szCs w:val="13"/>
              </w:rPr>
              <w:t>0</w:t>
            </w:r>
          </w:p>
        </w:tc>
        <w:tc>
          <w:tcPr>
            <w:tcW w:w="344" w:type="pct"/>
            <w:noWrap/>
            <w:vAlign w:val="center"/>
            <w:hideMark/>
          </w:tcPr>
          <w:p w14:paraId="2446473D" w14:textId="516ED17C" w:rsidR="00E23655" w:rsidRPr="00315DDE" w:rsidRDefault="005C6FAF" w:rsidP="0045409E">
            <w:pPr>
              <w:spacing w:after="0" w:line="360" w:lineRule="auto"/>
              <w:jc w:val="right"/>
              <w:rPr>
                <w:rFonts w:ascii="Arial" w:hAnsi="Arial" w:cs="Arial"/>
                <w:color w:val="000000" w:themeColor="text1"/>
                <w:sz w:val="13"/>
                <w:szCs w:val="13"/>
              </w:rPr>
            </w:pPr>
            <w:r w:rsidRPr="00315DDE">
              <w:rPr>
                <w:rFonts w:ascii="Calibri" w:hAnsi="Calibri" w:cs="Calibri"/>
                <w:color w:val="000000"/>
                <w:sz w:val="13"/>
                <w:szCs w:val="13"/>
              </w:rPr>
              <w:t>1.</w:t>
            </w:r>
            <w:r w:rsidR="00E23655" w:rsidRPr="00315DDE">
              <w:rPr>
                <w:rFonts w:ascii="Calibri" w:hAnsi="Calibri" w:cs="Calibri"/>
                <w:color w:val="000000"/>
                <w:sz w:val="13"/>
                <w:szCs w:val="13"/>
              </w:rPr>
              <w:t>0</w:t>
            </w:r>
          </w:p>
        </w:tc>
      </w:tr>
    </w:tbl>
    <w:p w14:paraId="3ED67DED" w14:textId="28E7F00B" w:rsidR="00B004E5" w:rsidRPr="00315DDE" w:rsidRDefault="00990102" w:rsidP="00990102">
      <w:pPr>
        <w:spacing w:after="0"/>
        <w:jc w:val="both"/>
        <w:rPr>
          <w:rFonts w:ascii="Arial" w:hAnsi="Arial" w:cs="Arial"/>
          <w:i/>
          <w:color w:val="000000" w:themeColor="text1"/>
          <w:sz w:val="15"/>
          <w:szCs w:val="16"/>
        </w:rPr>
      </w:pPr>
      <w:r w:rsidRPr="00315DDE">
        <w:rPr>
          <w:rFonts w:ascii="Arial" w:hAnsi="Arial" w:cs="Arial"/>
          <w:i/>
          <w:color w:val="000000" w:themeColor="text1"/>
          <w:sz w:val="15"/>
          <w:szCs w:val="16"/>
        </w:rPr>
        <w:t>Source: Household Budget Survey, Statistical Office of the Republic of Serbia, 2018. The data was processed specifically for the needs of the Social Inclusion and Poverty Reduction of the Government of the Republic of Serbia</w:t>
      </w:r>
    </w:p>
    <w:p w14:paraId="15017F87" w14:textId="6E95AD09" w:rsidR="00B004E5" w:rsidRPr="00315DDE" w:rsidRDefault="00994BFC" w:rsidP="00990102">
      <w:pPr>
        <w:spacing w:before="240" w:after="0" w:line="240" w:lineRule="auto"/>
        <w:jc w:val="both"/>
        <w:rPr>
          <w:rFonts w:ascii="Arial" w:hAnsi="Arial" w:cs="Arial"/>
          <w:b/>
          <w:color w:val="000000" w:themeColor="text1"/>
          <w:sz w:val="18"/>
          <w:szCs w:val="18"/>
        </w:rPr>
      </w:pPr>
      <w:r w:rsidRPr="00315DDE">
        <w:rPr>
          <w:rFonts w:ascii="Arial" w:hAnsi="Arial" w:cs="Arial"/>
          <w:b/>
          <w:color w:val="000000" w:themeColor="text1"/>
          <w:sz w:val="18"/>
          <w:szCs w:val="18"/>
        </w:rPr>
        <w:lastRenderedPageBreak/>
        <w:t>Chart</w:t>
      </w:r>
      <w:r w:rsidR="00B004E5" w:rsidRPr="00315DDE">
        <w:rPr>
          <w:rFonts w:ascii="Arial" w:hAnsi="Arial" w:cs="Arial"/>
          <w:b/>
          <w:color w:val="000000" w:themeColor="text1"/>
          <w:sz w:val="18"/>
          <w:szCs w:val="18"/>
        </w:rPr>
        <w:t xml:space="preserve"> </w:t>
      </w:r>
      <w:r w:rsidR="00CC7346" w:rsidRPr="00315DDE">
        <w:rPr>
          <w:rFonts w:ascii="Arial" w:hAnsi="Arial" w:cs="Arial"/>
          <w:b/>
          <w:color w:val="000000" w:themeColor="text1"/>
          <w:sz w:val="18"/>
          <w:szCs w:val="18"/>
        </w:rPr>
        <w:t>3</w:t>
      </w:r>
      <w:r w:rsidR="00B004E5" w:rsidRPr="00315DDE">
        <w:rPr>
          <w:rFonts w:ascii="Arial" w:hAnsi="Arial" w:cs="Arial"/>
          <w:b/>
          <w:color w:val="000000" w:themeColor="text1"/>
          <w:sz w:val="18"/>
          <w:szCs w:val="18"/>
        </w:rPr>
        <w:t xml:space="preserve">. </w:t>
      </w:r>
      <w:r w:rsidRPr="00315DDE">
        <w:rPr>
          <w:rFonts w:ascii="Arial" w:hAnsi="Arial" w:cs="Arial"/>
          <w:b/>
          <w:color w:val="000000" w:themeColor="text1"/>
          <w:sz w:val="18"/>
          <w:szCs w:val="18"/>
        </w:rPr>
        <w:t>Main Sources of Income of the first and the tenth decile</w:t>
      </w:r>
      <w:r w:rsidR="00B004E5" w:rsidRPr="00315DDE">
        <w:rPr>
          <w:rFonts w:ascii="Arial" w:hAnsi="Arial" w:cs="Arial"/>
          <w:b/>
          <w:color w:val="000000" w:themeColor="text1"/>
          <w:sz w:val="18"/>
          <w:szCs w:val="18"/>
        </w:rPr>
        <w:t xml:space="preserve">, </w:t>
      </w:r>
      <w:r w:rsidRPr="00315DDE">
        <w:rPr>
          <w:rFonts w:ascii="Arial" w:hAnsi="Arial" w:cs="Arial"/>
          <w:b/>
          <w:color w:val="000000" w:themeColor="text1"/>
          <w:sz w:val="18"/>
          <w:szCs w:val="18"/>
        </w:rPr>
        <w:t>for 2018</w:t>
      </w:r>
    </w:p>
    <w:p w14:paraId="2F5502EA" w14:textId="781AD1F0" w:rsidR="00CC7346" w:rsidRPr="00315DDE" w:rsidRDefault="00994BFC" w:rsidP="003D715A">
      <w:pPr>
        <w:pStyle w:val="NormalWeb"/>
        <w:shd w:val="clear" w:color="auto" w:fill="FFFFFF"/>
        <w:spacing w:before="0" w:beforeAutospacing="0" w:after="0" w:afterAutospacing="0"/>
        <w:jc w:val="both"/>
        <w:rPr>
          <w:rFonts w:ascii="Arial" w:hAnsi="Arial" w:cs="Arial"/>
          <w:i/>
          <w:color w:val="000000" w:themeColor="text1"/>
          <w:sz w:val="15"/>
          <w:szCs w:val="16"/>
        </w:rPr>
      </w:pPr>
      <w:r w:rsidRPr="00315DDE">
        <w:rPr>
          <w:noProof/>
          <w:lang w:val="en-US" w:eastAsia="en-US"/>
        </w:rPr>
        <w:drawing>
          <wp:inline distT="0" distB="0" distL="0" distR="0" wp14:anchorId="4DBD93EA" wp14:editId="53FF3084">
            <wp:extent cx="2846070" cy="2957830"/>
            <wp:effectExtent l="0" t="0" r="11430" b="139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315DDE">
        <w:rPr>
          <w:noProof/>
          <w:lang w:eastAsia="en-US"/>
        </w:rPr>
        <w:t xml:space="preserve"> </w:t>
      </w:r>
      <w:r w:rsidRPr="00315DDE">
        <w:rPr>
          <w:noProof/>
          <w:lang w:val="en-US" w:eastAsia="en-US"/>
        </w:rPr>
        <w:drawing>
          <wp:inline distT="0" distB="0" distL="0" distR="0" wp14:anchorId="324C680E" wp14:editId="3C9C3E23">
            <wp:extent cx="2806810" cy="2957830"/>
            <wp:effectExtent l="0" t="0" r="12700" b="139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703640C" w14:textId="57F680EA" w:rsidR="00B004E5" w:rsidRPr="00583309" w:rsidRDefault="00994BFC" w:rsidP="004A1238">
      <w:pPr>
        <w:pStyle w:val="NormalWeb"/>
        <w:shd w:val="clear" w:color="auto" w:fill="FFFFFF"/>
        <w:spacing w:before="0" w:beforeAutospacing="0"/>
        <w:jc w:val="both"/>
        <w:rPr>
          <w:rFonts w:ascii="Arial" w:hAnsi="Arial" w:cs="Arial"/>
          <w:i/>
          <w:color w:val="000000" w:themeColor="text1"/>
          <w:sz w:val="15"/>
          <w:szCs w:val="16"/>
        </w:rPr>
      </w:pPr>
      <w:r w:rsidRPr="00315DDE">
        <w:rPr>
          <w:rFonts w:ascii="Arial" w:hAnsi="Arial" w:cs="Arial"/>
          <w:i/>
          <w:color w:val="000000" w:themeColor="text1"/>
          <w:sz w:val="15"/>
          <w:szCs w:val="16"/>
        </w:rPr>
        <w:t>Source: Household Budget Survey, Statistical Office of the Republic of Serbia, 2018. The data was processed specifically for the needs of the Social Inclusion and Poverty Reduction of the Government of the Republic of Serbia</w:t>
      </w:r>
    </w:p>
    <w:p w14:paraId="6FE405BA" w14:textId="51642E26" w:rsidR="007227B2" w:rsidRDefault="004A1238" w:rsidP="00583309">
      <w:pPr>
        <w:spacing w:before="120" w:after="120"/>
        <w:jc w:val="both"/>
        <w:rPr>
          <w:rFonts w:ascii="Arial" w:hAnsi="Arial" w:cs="Arial"/>
          <w:sz w:val="21"/>
        </w:rPr>
      </w:pPr>
      <w:r w:rsidRPr="00D50F2E">
        <w:rPr>
          <w:rFonts w:ascii="Arial" w:eastAsia="Times New Roman" w:hAnsi="Arial" w:cs="Arial"/>
          <w:b/>
          <w:bCs/>
          <w:sz w:val="26"/>
          <w:szCs w:val="26"/>
          <w:lang w:bidi="ar-SA"/>
        </w:rPr>
        <w:t>Income Distribution by deciles</w:t>
      </w:r>
      <w:r w:rsidRPr="00315DDE">
        <w:rPr>
          <w:rFonts w:ascii="Arial" w:eastAsia="Times New Roman" w:hAnsi="Arial" w:cs="Arial"/>
          <w:b/>
          <w:bCs/>
          <w:sz w:val="21"/>
          <w:szCs w:val="21"/>
          <w:lang w:bidi="ar-SA"/>
        </w:rPr>
        <w:t xml:space="preserve"> </w:t>
      </w:r>
      <w:r w:rsidR="007227B2" w:rsidRPr="00315DDE">
        <w:rPr>
          <w:rFonts w:ascii="Arial" w:eastAsia="Times New Roman" w:hAnsi="Arial" w:cs="Arial"/>
          <w:b/>
          <w:bCs/>
          <w:sz w:val="21"/>
          <w:szCs w:val="21"/>
          <w:lang w:bidi="ar-SA"/>
        </w:rPr>
        <w:t>–</w:t>
      </w:r>
      <w:r w:rsidR="00B004E5" w:rsidRPr="00315DDE">
        <w:rPr>
          <w:rFonts w:ascii="Arial" w:hAnsi="Arial" w:cs="Arial"/>
          <w:b/>
          <w:color w:val="000000" w:themeColor="text1"/>
          <w:sz w:val="26"/>
          <w:szCs w:val="26"/>
        </w:rPr>
        <w:t xml:space="preserve"> </w:t>
      </w:r>
      <w:r w:rsidR="007227B2" w:rsidRPr="00315DDE">
        <w:rPr>
          <w:rFonts w:ascii="Arial" w:hAnsi="Arial" w:cs="Arial"/>
          <w:sz w:val="21"/>
        </w:rPr>
        <w:t>In</w:t>
      </w:r>
      <w:r w:rsidR="00ED25B2" w:rsidRPr="00315DDE">
        <w:rPr>
          <w:rFonts w:ascii="Arial" w:hAnsi="Arial" w:cs="Arial"/>
          <w:sz w:val="21"/>
        </w:rPr>
        <w:t xml:space="preserve"> 2018, in</w:t>
      </w:r>
      <w:r w:rsidR="007227B2" w:rsidRPr="00315DDE">
        <w:rPr>
          <w:rFonts w:ascii="Arial" w:hAnsi="Arial" w:cs="Arial"/>
          <w:sz w:val="21"/>
        </w:rPr>
        <w:t xml:space="preserve"> the Republic of Serbia,</w:t>
      </w:r>
      <w:r w:rsidR="00ED25B2" w:rsidRPr="00315DDE">
        <w:rPr>
          <w:rFonts w:ascii="Arial" w:hAnsi="Arial" w:cs="Arial"/>
          <w:sz w:val="21"/>
        </w:rPr>
        <w:t xml:space="preserve"> </w:t>
      </w:r>
      <w:r w:rsidR="007227B2" w:rsidRPr="00315DDE">
        <w:rPr>
          <w:rFonts w:ascii="Arial" w:hAnsi="Arial" w:cs="Arial"/>
          <w:sz w:val="21"/>
        </w:rPr>
        <w:t xml:space="preserve">the poorest 10% of the population has further reduced its share in </w:t>
      </w:r>
      <w:r w:rsidR="007227B2" w:rsidRPr="00583309">
        <w:rPr>
          <w:rFonts w:ascii="Arial" w:hAnsi="Arial" w:cs="Arial"/>
          <w:color w:val="000000" w:themeColor="text1"/>
          <w:sz w:val="21"/>
          <w:szCs w:val="21"/>
        </w:rPr>
        <w:t>total</w:t>
      </w:r>
      <w:r w:rsidR="007227B2" w:rsidRPr="00315DDE">
        <w:rPr>
          <w:rFonts w:ascii="Arial" w:hAnsi="Arial" w:cs="Arial"/>
          <w:sz w:val="21"/>
        </w:rPr>
        <w:t xml:space="preserve"> income and it amounts </w:t>
      </w:r>
      <w:r w:rsidR="00ED25B2" w:rsidRPr="00315DDE">
        <w:rPr>
          <w:rFonts w:ascii="Arial" w:hAnsi="Arial" w:cs="Arial"/>
          <w:sz w:val="21"/>
        </w:rPr>
        <w:t xml:space="preserve">to </w:t>
      </w:r>
      <w:r w:rsidR="007227B2" w:rsidRPr="00315DDE">
        <w:rPr>
          <w:rFonts w:ascii="Arial" w:hAnsi="Arial" w:cs="Arial"/>
          <w:sz w:val="21"/>
        </w:rPr>
        <w:t>2.6% (compared to 3.1% in 2017).</w:t>
      </w:r>
      <w:r w:rsidR="007227B2" w:rsidRPr="00315DDE">
        <w:t xml:space="preserve"> </w:t>
      </w:r>
      <w:r w:rsidR="007227B2" w:rsidRPr="00315DDE">
        <w:rPr>
          <w:rFonts w:ascii="Arial" w:hAnsi="Arial" w:cs="Arial"/>
          <w:sz w:val="21"/>
        </w:rPr>
        <w:t>On the other hand, 10% of the richest population increased their share in the total income generated in the c</w:t>
      </w:r>
      <w:r w:rsidR="00B55461" w:rsidRPr="00315DDE">
        <w:rPr>
          <w:rFonts w:ascii="Arial" w:hAnsi="Arial" w:cs="Arial"/>
          <w:sz w:val="21"/>
        </w:rPr>
        <w:t>ountry, which</w:t>
      </w:r>
      <w:r w:rsidR="007227B2" w:rsidRPr="00315DDE">
        <w:rPr>
          <w:rFonts w:ascii="Arial" w:hAnsi="Arial" w:cs="Arial"/>
          <w:sz w:val="21"/>
        </w:rPr>
        <w:t xml:space="preserve"> amounts to 23.8% (compared to 20.0% in 2017) of the total income generated.  </w:t>
      </w:r>
    </w:p>
    <w:p w14:paraId="36C0A6E6" w14:textId="157C6D7A" w:rsidR="006F06A6" w:rsidRPr="006F06A6" w:rsidRDefault="006F06A6" w:rsidP="006F06A6">
      <w:pPr>
        <w:spacing w:before="240" w:after="0" w:line="240" w:lineRule="auto"/>
        <w:jc w:val="both"/>
        <w:rPr>
          <w:rFonts w:ascii="Arial" w:hAnsi="Arial" w:cs="Arial"/>
          <w:b/>
          <w:color w:val="000000" w:themeColor="text1"/>
          <w:sz w:val="18"/>
          <w:szCs w:val="18"/>
        </w:rPr>
      </w:pPr>
      <w:r w:rsidRPr="006F06A6">
        <w:rPr>
          <w:rFonts w:ascii="Arial" w:hAnsi="Arial" w:cs="Arial"/>
          <w:b/>
          <w:color w:val="000000" w:themeColor="text1"/>
          <w:sz w:val="18"/>
          <w:szCs w:val="18"/>
        </w:rPr>
        <w:t xml:space="preserve">Chart 4. Distribution of total income by deciles </w:t>
      </w:r>
    </w:p>
    <w:p w14:paraId="6333041A" w14:textId="65FB5185" w:rsidR="006F06A6" w:rsidRDefault="00401A45" w:rsidP="006F06A6">
      <w:pPr>
        <w:spacing w:before="120" w:after="120"/>
        <w:rPr>
          <w:rFonts w:ascii="Arial" w:hAnsi="Arial" w:cs="Arial"/>
          <w:sz w:val="21"/>
        </w:rPr>
      </w:pPr>
      <w:r w:rsidRPr="006F06A6">
        <w:rPr>
          <w:rFonts w:ascii="Arial" w:hAnsi="Arial" w:cs="Arial"/>
          <w:noProof/>
          <w:sz w:val="21"/>
          <w:lang w:val="en-US" w:eastAsia="en-US" w:bidi="ar-SA"/>
        </w:rPr>
        <w:drawing>
          <wp:inline distT="0" distB="0" distL="0" distR="0" wp14:anchorId="75734A5B" wp14:editId="62F88C9A">
            <wp:extent cx="3676650" cy="31377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3136" cy="3143324"/>
                    </a:xfrm>
                    <a:prstGeom prst="rect">
                      <a:avLst/>
                    </a:prstGeom>
                  </pic:spPr>
                </pic:pic>
              </a:graphicData>
            </a:graphic>
          </wp:inline>
        </w:drawing>
      </w:r>
      <w:bookmarkStart w:id="0" w:name="_GoBack"/>
      <w:bookmarkEnd w:id="0"/>
    </w:p>
    <w:p w14:paraId="78F321E0" w14:textId="6CB82B00" w:rsidR="006F06A6" w:rsidRDefault="00D50F2E" w:rsidP="006F06A6">
      <w:pPr>
        <w:spacing w:before="120" w:after="120"/>
        <w:rPr>
          <w:rFonts w:ascii="Arial" w:hAnsi="Arial" w:cs="Arial"/>
          <w:sz w:val="21"/>
        </w:rPr>
      </w:pPr>
      <w:r>
        <w:rPr>
          <w:rFonts w:ascii="Arial" w:hAnsi="Arial" w:cs="Arial"/>
          <w:noProof/>
          <w:sz w:val="21"/>
          <w:lang w:val="en-US" w:eastAsia="en-US" w:bidi="ar-SA"/>
        </w:rPr>
        <mc:AlternateContent>
          <mc:Choice Requires="wps">
            <w:drawing>
              <wp:anchor distT="0" distB="0" distL="114300" distR="114300" simplePos="0" relativeHeight="251659264" behindDoc="0" locked="0" layoutInCell="1" allowOverlap="1" wp14:anchorId="0A1BE0C9" wp14:editId="70568FD7">
                <wp:simplePos x="0" y="0"/>
                <wp:positionH relativeFrom="margin">
                  <wp:align>left</wp:align>
                </wp:positionH>
                <wp:positionV relativeFrom="paragraph">
                  <wp:posOffset>7620</wp:posOffset>
                </wp:positionV>
                <wp:extent cx="3398520" cy="517525"/>
                <wp:effectExtent l="0" t="0" r="0" b="0"/>
                <wp:wrapNone/>
                <wp:docPr id="3" name="Text Box 3"/>
                <wp:cNvGraphicFramePr/>
                <a:graphic xmlns:a="http://schemas.openxmlformats.org/drawingml/2006/main">
                  <a:graphicData uri="http://schemas.microsoft.com/office/word/2010/wordprocessingShape">
                    <wps:wsp>
                      <wps:cNvSpPr txBox="1"/>
                      <wps:spPr>
                        <a:xfrm>
                          <a:off x="0" y="0"/>
                          <a:ext cx="3398520" cy="517525"/>
                        </a:xfrm>
                        <a:prstGeom prst="rect">
                          <a:avLst/>
                        </a:prstGeom>
                        <a:solidFill>
                          <a:schemeClr val="lt1"/>
                        </a:solidFill>
                        <a:ln w="6350">
                          <a:noFill/>
                        </a:ln>
                      </wps:spPr>
                      <wps:txbx>
                        <w:txbxContent>
                          <w:p w14:paraId="3B8EE7F2" w14:textId="77777777" w:rsidR="006F06A6" w:rsidRPr="00583309" w:rsidRDefault="006F06A6" w:rsidP="006F06A6">
                            <w:pPr>
                              <w:pStyle w:val="NormalWeb"/>
                              <w:shd w:val="clear" w:color="auto" w:fill="FFFFFF"/>
                              <w:spacing w:before="0" w:beforeAutospacing="0"/>
                              <w:jc w:val="both"/>
                              <w:rPr>
                                <w:rFonts w:ascii="Arial" w:hAnsi="Arial" w:cs="Arial"/>
                                <w:i/>
                                <w:color w:val="000000" w:themeColor="text1"/>
                                <w:sz w:val="15"/>
                                <w:szCs w:val="16"/>
                              </w:rPr>
                            </w:pPr>
                            <w:r w:rsidRPr="00315DDE">
                              <w:rPr>
                                <w:rFonts w:ascii="Arial" w:hAnsi="Arial" w:cs="Arial"/>
                                <w:i/>
                                <w:color w:val="000000" w:themeColor="text1"/>
                                <w:sz w:val="15"/>
                                <w:szCs w:val="16"/>
                              </w:rPr>
                              <w:t>Source: Household Budget Survey, Statistical Office of the Republic of Serbia, 2018. The data was processed specifically for the needs of the Social Inclusion and Poverty Reduction of the Government of the Republic of Serbia</w:t>
                            </w:r>
                          </w:p>
                          <w:p w14:paraId="5CC0225E" w14:textId="77777777" w:rsidR="006F06A6" w:rsidRDefault="006F06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1BE0C9" id="_x0000_t202" coordsize="21600,21600" o:spt="202" path="m,l,21600r21600,l21600,xe">
                <v:stroke joinstyle="miter"/>
                <v:path gradientshapeok="t" o:connecttype="rect"/>
              </v:shapetype>
              <v:shape id="Text Box 3" o:spid="_x0000_s1026" type="#_x0000_t202" style="position:absolute;margin-left:0;margin-top:.6pt;width:267.6pt;height:40.7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" fillcolor="white [3201]" stroked="f" strokeweight=".5pt">
                <v:textbox>
                  <w:txbxContent>
                    <w:p w14:paraId="3B8EE7F2" w14:textId="77777777" w:rsidR="006F06A6" w:rsidRPr="00583309" w:rsidRDefault="006F06A6" w:rsidP="006F06A6">
                      <w:pPr>
                        <w:pStyle w:val="NormalWeb"/>
                        <w:shd w:val="clear" w:color="auto" w:fill="FFFFFF"/>
                        <w:spacing w:before="0" w:beforeAutospacing="0"/>
                        <w:jc w:val="both"/>
                        <w:rPr>
                          <w:rFonts w:ascii="Arial" w:hAnsi="Arial" w:cs="Arial"/>
                          <w:i/>
                          <w:color w:val="000000" w:themeColor="text1"/>
                          <w:sz w:val="15"/>
                          <w:szCs w:val="16"/>
                        </w:rPr>
                      </w:pPr>
                      <w:r w:rsidRPr="00315DDE">
                        <w:rPr>
                          <w:rFonts w:ascii="Arial" w:hAnsi="Arial" w:cs="Arial"/>
                          <w:i/>
                          <w:color w:val="000000" w:themeColor="text1"/>
                          <w:sz w:val="15"/>
                          <w:szCs w:val="16"/>
                        </w:rPr>
                        <w:t>Source: Household Budget Survey, Statistical Office of the Republic of Serbia, 2018. The data was processed specifically for the needs of the Social Inclusion and Poverty Reduction of the Government of the Republic of Serbia</w:t>
                      </w:r>
                    </w:p>
                    <w:p w14:paraId="5CC0225E" w14:textId="77777777" w:rsidR="006F06A6" w:rsidRDefault="006F06A6"/>
                  </w:txbxContent>
                </v:textbox>
                <w10:wrap anchorx="margin"/>
              </v:shape>
            </w:pict>
          </mc:Fallback>
        </mc:AlternateContent>
      </w:r>
    </w:p>
    <w:p w14:paraId="29A74C35" w14:textId="77777777" w:rsidR="006F06A6" w:rsidRPr="00315DDE" w:rsidRDefault="006F06A6" w:rsidP="006F06A6">
      <w:pPr>
        <w:spacing w:before="120" w:after="120"/>
        <w:rPr>
          <w:rFonts w:ascii="Arial" w:hAnsi="Arial" w:cs="Arial"/>
          <w:sz w:val="21"/>
        </w:rPr>
      </w:pPr>
    </w:p>
    <w:p w14:paraId="53859A50" w14:textId="035D566B" w:rsidR="002771D1" w:rsidRPr="00315DDE" w:rsidRDefault="00583309" w:rsidP="00583309">
      <w:pPr>
        <w:spacing w:before="120" w:after="120"/>
        <w:jc w:val="both"/>
        <w:rPr>
          <w:rFonts w:ascii="Arial" w:hAnsi="Arial" w:cs="Arial"/>
          <w:color w:val="000000" w:themeColor="text1"/>
          <w:sz w:val="21"/>
          <w:szCs w:val="21"/>
        </w:rPr>
      </w:pPr>
      <w:r>
        <w:rPr>
          <w:rFonts w:ascii="Arial" w:hAnsi="Arial" w:cs="Arial"/>
          <w:color w:val="000000" w:themeColor="text1"/>
          <w:sz w:val="21"/>
          <w:szCs w:val="21"/>
          <w:lang w:val="sr-Cyrl-RS"/>
        </w:rPr>
        <w:lastRenderedPageBreak/>
        <w:t>D</w:t>
      </w:r>
      <w:r>
        <w:rPr>
          <w:rFonts w:ascii="Arial" w:hAnsi="Arial" w:cs="Arial"/>
          <w:color w:val="000000" w:themeColor="text1"/>
          <w:sz w:val="21"/>
          <w:szCs w:val="21"/>
          <w:lang w:val="en-US"/>
        </w:rPr>
        <w:t>ata</w:t>
      </w:r>
      <w:r w:rsidR="002771D1" w:rsidRPr="00315DDE">
        <w:rPr>
          <w:rFonts w:ascii="Arial" w:hAnsi="Arial" w:cs="Arial"/>
          <w:color w:val="000000" w:themeColor="text1"/>
          <w:sz w:val="21"/>
          <w:szCs w:val="21"/>
        </w:rPr>
        <w:t xml:space="preserve"> on </w:t>
      </w:r>
      <w:r w:rsidR="002771D1" w:rsidRPr="00315DDE">
        <w:rPr>
          <w:rFonts w:ascii="Arial" w:hAnsi="Arial" w:cs="Arial"/>
          <w:b/>
          <w:color w:val="000000" w:themeColor="text1"/>
          <w:sz w:val="21"/>
          <w:szCs w:val="21"/>
        </w:rPr>
        <w:t>median consumption/income</w:t>
      </w:r>
      <w:r w:rsidR="002771D1" w:rsidRPr="00315DDE">
        <w:rPr>
          <w:rFonts w:ascii="Arial" w:hAnsi="Arial" w:cs="Arial"/>
          <w:color w:val="000000" w:themeColor="text1"/>
          <w:sz w:val="21"/>
          <w:szCs w:val="21"/>
        </w:rPr>
        <w:t xml:space="preserve">, as consumption/income of </w:t>
      </w:r>
      <w:r w:rsidR="00B5705D" w:rsidRPr="00315DDE">
        <w:rPr>
          <w:rFonts w:ascii="Arial" w:hAnsi="Arial" w:cs="Arial"/>
          <w:color w:val="000000" w:themeColor="text1"/>
          <w:sz w:val="21"/>
          <w:szCs w:val="21"/>
        </w:rPr>
        <w:t>an average (median) person</w:t>
      </w:r>
      <w:r w:rsidR="002771D1" w:rsidRPr="00315DDE">
        <w:rPr>
          <w:rFonts w:ascii="Arial" w:hAnsi="Arial" w:cs="Arial"/>
          <w:color w:val="000000" w:themeColor="text1"/>
          <w:sz w:val="21"/>
          <w:szCs w:val="21"/>
        </w:rPr>
        <w:t xml:space="preserve"> </w:t>
      </w:r>
      <w:r w:rsidR="002771D1" w:rsidRPr="00583309">
        <w:rPr>
          <w:rFonts w:ascii="Arial" w:hAnsi="Arial" w:cs="Arial"/>
          <w:color w:val="000000" w:themeColor="text1"/>
          <w:sz w:val="21"/>
          <w:szCs w:val="21"/>
          <w:lang w:val="sr-Cyrl-RS"/>
        </w:rPr>
        <w:t>who</w:t>
      </w:r>
      <w:r w:rsidR="002771D1" w:rsidRPr="00315DDE">
        <w:rPr>
          <w:rFonts w:ascii="Arial" w:hAnsi="Arial" w:cs="Arial"/>
          <w:color w:val="000000" w:themeColor="text1"/>
          <w:sz w:val="21"/>
          <w:szCs w:val="21"/>
        </w:rPr>
        <w:t xml:space="preserve"> divides the distribution of consumption into two parts</w:t>
      </w:r>
      <w:r w:rsidR="00D50F2E">
        <w:rPr>
          <w:rStyle w:val="FootnoteReference"/>
          <w:rFonts w:ascii="Arial" w:hAnsi="Arial" w:cs="Arial"/>
          <w:color w:val="000000" w:themeColor="text1"/>
          <w:sz w:val="21"/>
          <w:szCs w:val="21"/>
        </w:rPr>
        <w:footnoteReference w:id="1"/>
      </w:r>
      <w:r w:rsidR="002771D1" w:rsidRPr="00315DDE">
        <w:rPr>
          <w:rFonts w:ascii="Arial" w:hAnsi="Arial" w:cs="Arial"/>
          <w:color w:val="000000" w:themeColor="text1"/>
          <w:sz w:val="21"/>
          <w:szCs w:val="21"/>
        </w:rPr>
        <w:t>, can be fou</w:t>
      </w:r>
      <w:r w:rsidR="00B5705D" w:rsidRPr="00315DDE">
        <w:rPr>
          <w:rFonts w:ascii="Arial" w:hAnsi="Arial" w:cs="Arial"/>
          <w:color w:val="000000" w:themeColor="text1"/>
          <w:sz w:val="21"/>
          <w:szCs w:val="21"/>
        </w:rPr>
        <w:t xml:space="preserve">nd </w:t>
      </w:r>
      <w:hyperlink r:id="rId14" w:history="1">
        <w:r w:rsidR="00B5705D" w:rsidRPr="00AC303C">
          <w:rPr>
            <w:rStyle w:val="Hyperlink"/>
            <w:rFonts w:ascii="Arial" w:hAnsi="Arial" w:cs="Arial"/>
            <w:sz w:val="21"/>
            <w:szCs w:val="21"/>
          </w:rPr>
          <w:t>in the accompanying data</w:t>
        </w:r>
      </w:hyperlink>
      <w:r w:rsidR="00B5705D" w:rsidRPr="00315DDE">
        <w:rPr>
          <w:rFonts w:ascii="Arial" w:hAnsi="Arial" w:cs="Arial"/>
          <w:color w:val="000000" w:themeColor="text1"/>
          <w:sz w:val="21"/>
          <w:szCs w:val="21"/>
        </w:rPr>
        <w:t>, which</w:t>
      </w:r>
      <w:r w:rsidR="002771D1" w:rsidRPr="00315DDE">
        <w:rPr>
          <w:rFonts w:ascii="Arial" w:hAnsi="Arial" w:cs="Arial"/>
          <w:color w:val="000000" w:themeColor="text1"/>
          <w:sz w:val="21"/>
          <w:szCs w:val="21"/>
        </w:rPr>
        <w:t xml:space="preserve"> form an integral part of this publication. </w:t>
      </w:r>
      <w:hyperlink r:id="rId15" w:history="1">
        <w:r w:rsidR="002771D1" w:rsidRPr="00197F7A">
          <w:rPr>
            <w:rStyle w:val="Hyperlink"/>
            <w:rFonts w:ascii="Arial" w:hAnsi="Arial" w:cs="Arial"/>
            <w:sz w:val="21"/>
            <w:szCs w:val="21"/>
          </w:rPr>
          <w:t>The accompanying files</w:t>
        </w:r>
      </w:hyperlink>
      <w:r w:rsidR="002771D1" w:rsidRPr="00315DDE">
        <w:rPr>
          <w:rFonts w:ascii="Arial" w:hAnsi="Arial" w:cs="Arial"/>
          <w:color w:val="000000" w:themeColor="text1"/>
          <w:sz w:val="21"/>
          <w:szCs w:val="21"/>
        </w:rPr>
        <w:t xml:space="preserve"> also show the </w:t>
      </w:r>
      <w:r w:rsidR="002771D1" w:rsidRPr="00315DDE">
        <w:rPr>
          <w:rFonts w:ascii="Arial" w:hAnsi="Arial" w:cs="Arial"/>
          <w:b/>
          <w:color w:val="000000" w:themeColor="text1"/>
          <w:sz w:val="21"/>
          <w:szCs w:val="21"/>
        </w:rPr>
        <w:t>growth rates</w:t>
      </w:r>
      <w:r w:rsidR="002771D1" w:rsidRPr="00315DDE">
        <w:rPr>
          <w:rFonts w:ascii="Arial" w:hAnsi="Arial" w:cs="Arial"/>
          <w:color w:val="000000" w:themeColor="text1"/>
          <w:sz w:val="21"/>
          <w:szCs w:val="21"/>
        </w:rPr>
        <w:t xml:space="preserve"> of averag</w:t>
      </w:r>
      <w:r w:rsidR="00B5705D" w:rsidRPr="00315DDE">
        <w:rPr>
          <w:rFonts w:ascii="Arial" w:hAnsi="Arial" w:cs="Arial"/>
          <w:color w:val="000000" w:themeColor="text1"/>
          <w:sz w:val="21"/>
          <w:szCs w:val="21"/>
        </w:rPr>
        <w:t>e and median</w:t>
      </w:r>
      <w:r w:rsidR="002771D1" w:rsidRPr="00315DDE">
        <w:rPr>
          <w:rFonts w:ascii="Arial" w:hAnsi="Arial" w:cs="Arial"/>
          <w:color w:val="000000" w:themeColor="text1"/>
          <w:sz w:val="21"/>
          <w:szCs w:val="21"/>
        </w:rPr>
        <w:t xml:space="preserve"> consumption and income, as well as information on the average number of household members and the average number of </w:t>
      </w:r>
      <w:r w:rsidR="00B5705D" w:rsidRPr="00315DDE">
        <w:rPr>
          <w:rFonts w:ascii="Arial" w:hAnsi="Arial" w:cs="Arial"/>
          <w:color w:val="000000" w:themeColor="text1"/>
          <w:sz w:val="21"/>
          <w:szCs w:val="21"/>
        </w:rPr>
        <w:t xml:space="preserve">consumption </w:t>
      </w:r>
      <w:r w:rsidR="002771D1" w:rsidRPr="00315DDE">
        <w:rPr>
          <w:rFonts w:ascii="Arial" w:hAnsi="Arial" w:cs="Arial"/>
          <w:color w:val="000000" w:themeColor="text1"/>
          <w:sz w:val="21"/>
          <w:szCs w:val="21"/>
        </w:rPr>
        <w:t>units per decile.</w:t>
      </w:r>
    </w:p>
    <w:p w14:paraId="111B0090" w14:textId="6E7D2EAD" w:rsidR="00B5705D" w:rsidRPr="00315DDE" w:rsidRDefault="00B5705D" w:rsidP="00CC7346">
      <w:pPr>
        <w:pStyle w:val="NormalWeb"/>
        <w:shd w:val="clear" w:color="auto" w:fill="FFFFFF"/>
        <w:jc w:val="both"/>
        <w:rPr>
          <w:rFonts w:ascii="Arial" w:hAnsi="Arial" w:cs="Arial"/>
          <w:b/>
          <w:bCs/>
          <w:sz w:val="21"/>
          <w:szCs w:val="21"/>
        </w:rPr>
      </w:pPr>
    </w:p>
    <w:p w14:paraId="0630A0C2" w14:textId="67ED2E6D" w:rsidR="00620341" w:rsidRPr="00D50F2E" w:rsidRDefault="00652B1F" w:rsidP="00CC7346">
      <w:pPr>
        <w:pStyle w:val="NormalWeb"/>
        <w:shd w:val="clear" w:color="auto" w:fill="FFFFFF"/>
        <w:jc w:val="both"/>
        <w:rPr>
          <w:rFonts w:ascii="Arial" w:hAnsi="Arial" w:cs="Arial"/>
          <w:b/>
          <w:bCs/>
          <w:szCs w:val="21"/>
        </w:rPr>
      </w:pPr>
      <w:r w:rsidRPr="00D50F2E">
        <w:rPr>
          <w:rFonts w:ascii="Arial" w:hAnsi="Arial" w:cs="Arial"/>
          <w:b/>
          <w:bCs/>
          <w:szCs w:val="21"/>
        </w:rPr>
        <w:t>Methodological Notes</w:t>
      </w:r>
    </w:p>
    <w:p w14:paraId="22D15E2E" w14:textId="4D9154BE" w:rsidR="00652B1F" w:rsidRPr="00315DDE" w:rsidRDefault="00652B1F" w:rsidP="00583309">
      <w:pPr>
        <w:spacing w:before="120" w:after="120"/>
        <w:jc w:val="both"/>
        <w:rPr>
          <w:rFonts w:ascii="Arial" w:hAnsi="Arial" w:cs="Arial"/>
          <w:color w:val="000000" w:themeColor="text1"/>
          <w:sz w:val="21"/>
          <w:szCs w:val="21"/>
        </w:rPr>
      </w:pPr>
      <w:r w:rsidRPr="00315DDE">
        <w:rPr>
          <w:rFonts w:ascii="Arial" w:hAnsi="Arial" w:cs="Arial"/>
          <w:color w:val="000000" w:themeColor="text1"/>
          <w:sz w:val="21"/>
          <w:szCs w:val="21"/>
        </w:rPr>
        <w:t>The decile analysis is an analytical procedure by means of which the equivalent consumption/income of all households or individuals are ranked from lowest to highest. Ranked in this way, households/individuals are divided into ten equal groups. Households/individuals with the lowest equivalent consumption/income are in the first decile (the poorest households), while households/individuals with the highest equivalent consumption/income are in the tenth decile (the richest households).</w:t>
      </w:r>
    </w:p>
    <w:p w14:paraId="7A11273B" w14:textId="7A0C6655" w:rsidR="00652B1F" w:rsidRPr="00315DDE" w:rsidRDefault="00652B1F" w:rsidP="00583309">
      <w:pPr>
        <w:spacing w:before="120" w:after="120"/>
        <w:jc w:val="both"/>
        <w:rPr>
          <w:rFonts w:ascii="Arial" w:hAnsi="Arial" w:cs="Arial"/>
          <w:color w:val="000000" w:themeColor="text1"/>
          <w:sz w:val="21"/>
          <w:szCs w:val="21"/>
        </w:rPr>
      </w:pPr>
      <w:r w:rsidRPr="00315DDE">
        <w:rPr>
          <w:rFonts w:ascii="Arial" w:hAnsi="Arial" w:cs="Arial"/>
          <w:color w:val="000000" w:themeColor="text1"/>
          <w:sz w:val="21"/>
          <w:szCs w:val="21"/>
        </w:rPr>
        <w:t>In preparing this publication, deciles were categorized by dividing the total population</w:t>
      </w:r>
      <w:r w:rsidR="00D50F2E">
        <w:rPr>
          <w:rStyle w:val="FootnoteReference"/>
          <w:rFonts w:ascii="Arial" w:hAnsi="Arial" w:cs="Arial"/>
          <w:color w:val="000000" w:themeColor="text1"/>
          <w:sz w:val="21"/>
          <w:szCs w:val="21"/>
        </w:rPr>
        <w:footnoteReference w:id="2"/>
      </w:r>
      <w:r w:rsidRPr="00315DDE">
        <w:t xml:space="preserve"> </w:t>
      </w:r>
      <w:r w:rsidRPr="00315DDE">
        <w:rPr>
          <w:rFonts w:ascii="Arial" w:hAnsi="Arial" w:cs="Arial"/>
          <w:color w:val="000000" w:themeColor="text1"/>
          <w:sz w:val="21"/>
          <w:szCs w:val="21"/>
        </w:rPr>
        <w:t>into ten equal groups, using the corresponding equivalence scale for consumption and income, respectively. The use of an equivalence scale (consumption units) allows for comparability of data on the consumption/income of individuals living in different-size households (number of household members) through a joint denominator - the consumption unit.</w:t>
      </w:r>
    </w:p>
    <w:p w14:paraId="27F1CD2F" w14:textId="3FFC02D0" w:rsidR="00AA4568" w:rsidRPr="00315DDE" w:rsidRDefault="00AA4568" w:rsidP="00583309">
      <w:pPr>
        <w:spacing w:before="120" w:after="120"/>
        <w:jc w:val="both"/>
        <w:rPr>
          <w:rFonts w:ascii="Arial" w:hAnsi="Arial" w:cs="Arial"/>
          <w:sz w:val="21"/>
          <w:szCs w:val="21"/>
        </w:rPr>
      </w:pPr>
      <w:r w:rsidRPr="00315DDE">
        <w:rPr>
          <w:rFonts w:ascii="Arial" w:hAnsi="Arial" w:cs="Arial"/>
          <w:sz w:val="21"/>
          <w:szCs w:val="21"/>
        </w:rPr>
        <w:t xml:space="preserve">For the calculation of the equivalent consumption, we used the OECD equivalence scale, which assigns a value </w:t>
      </w:r>
      <w:r w:rsidRPr="00583309">
        <w:rPr>
          <w:rFonts w:ascii="Arial" w:hAnsi="Arial" w:cs="Arial"/>
          <w:color w:val="000000" w:themeColor="text1"/>
          <w:sz w:val="21"/>
          <w:szCs w:val="21"/>
        </w:rPr>
        <w:t>of</w:t>
      </w:r>
      <w:r w:rsidRPr="00315DDE">
        <w:rPr>
          <w:rFonts w:ascii="Arial" w:hAnsi="Arial" w:cs="Arial"/>
          <w:sz w:val="21"/>
          <w:szCs w:val="21"/>
        </w:rPr>
        <w:t xml:space="preserve"> 1 to the household head, of 0.7 to each additional adult household member (aged 14 or over), and of 0.5 to each child (below the age of 14). For the calculation of the equi</w:t>
      </w:r>
      <w:r w:rsidR="00160C88" w:rsidRPr="00315DDE">
        <w:rPr>
          <w:rFonts w:ascii="Arial" w:hAnsi="Arial" w:cs="Arial"/>
          <w:sz w:val="21"/>
          <w:szCs w:val="21"/>
        </w:rPr>
        <w:t>valent income, we used the modified OECD</w:t>
      </w:r>
      <w:r w:rsidRPr="00315DDE">
        <w:rPr>
          <w:rFonts w:ascii="Arial" w:hAnsi="Arial" w:cs="Arial"/>
          <w:sz w:val="21"/>
          <w:szCs w:val="21"/>
        </w:rPr>
        <w:t xml:space="preserve"> equivalence scale</w:t>
      </w:r>
      <w:r w:rsidR="00160C88" w:rsidRPr="00315DDE">
        <w:rPr>
          <w:rFonts w:ascii="Arial" w:hAnsi="Arial" w:cs="Arial"/>
          <w:sz w:val="21"/>
          <w:szCs w:val="21"/>
        </w:rPr>
        <w:t>,</w:t>
      </w:r>
      <w:r w:rsidRPr="00315DDE">
        <w:rPr>
          <w:rFonts w:ascii="Arial" w:hAnsi="Arial" w:cs="Arial"/>
          <w:sz w:val="21"/>
          <w:szCs w:val="21"/>
        </w:rPr>
        <w:t xml:space="preserve"> which assigns a value of 1 to the household head, of 0.5 to each additional adult household member (aged 14 or over), and of 0.3 to each child (below the age of 14).</w:t>
      </w:r>
    </w:p>
    <w:p w14:paraId="4815F000" w14:textId="0A3648CC" w:rsidR="00AA4568" w:rsidRPr="00315DDE" w:rsidRDefault="00AA4568" w:rsidP="00583309">
      <w:pPr>
        <w:spacing w:before="120" w:after="120"/>
        <w:jc w:val="both"/>
        <w:rPr>
          <w:rFonts w:ascii="Arial" w:hAnsi="Arial" w:cs="Arial"/>
          <w:sz w:val="21"/>
          <w:szCs w:val="21"/>
        </w:rPr>
      </w:pPr>
      <w:r w:rsidRPr="00315DDE">
        <w:rPr>
          <w:rFonts w:ascii="Arial" w:hAnsi="Arial" w:cs="Arial"/>
          <w:sz w:val="21"/>
          <w:szCs w:val="21"/>
        </w:rPr>
        <w:t xml:space="preserve">In the Household Budget Survey (HBS), the household income in money and in kind includes </w:t>
      </w:r>
      <w:r w:rsidR="00160C88" w:rsidRPr="00315DDE">
        <w:rPr>
          <w:rFonts w:ascii="Arial" w:hAnsi="Arial" w:cs="Arial"/>
          <w:sz w:val="21"/>
          <w:szCs w:val="21"/>
        </w:rPr>
        <w:t xml:space="preserve">only </w:t>
      </w:r>
      <w:r w:rsidRPr="00315DDE">
        <w:rPr>
          <w:rFonts w:ascii="Arial" w:hAnsi="Arial" w:cs="Arial"/>
          <w:sz w:val="21"/>
          <w:szCs w:val="21"/>
        </w:rPr>
        <w:t xml:space="preserve">current receipts of all household members (not including cash, consumer or investment loans, income from </w:t>
      </w:r>
      <w:r w:rsidR="00315DDE" w:rsidRPr="00315DDE">
        <w:rPr>
          <w:rFonts w:ascii="Arial" w:hAnsi="Arial" w:cs="Arial"/>
          <w:sz w:val="21"/>
          <w:szCs w:val="21"/>
        </w:rPr>
        <w:t xml:space="preserve">the </w:t>
      </w:r>
      <w:r w:rsidRPr="00315DDE">
        <w:rPr>
          <w:rFonts w:ascii="Arial" w:hAnsi="Arial" w:cs="Arial"/>
          <w:sz w:val="21"/>
          <w:szCs w:val="21"/>
        </w:rPr>
        <w:t xml:space="preserve">sale of movable and immovable property and similar). Likewise, personal consumption includes current, typical spending of all household members, which means that investment spending, loan </w:t>
      </w:r>
      <w:r w:rsidRPr="00583309">
        <w:rPr>
          <w:rFonts w:ascii="Arial" w:hAnsi="Arial" w:cs="Arial"/>
          <w:color w:val="000000" w:themeColor="text1"/>
          <w:sz w:val="21"/>
          <w:szCs w:val="21"/>
        </w:rPr>
        <w:t>repayment</w:t>
      </w:r>
      <w:r w:rsidRPr="00315DDE">
        <w:rPr>
          <w:rFonts w:ascii="Arial" w:hAnsi="Arial" w:cs="Arial"/>
          <w:sz w:val="21"/>
          <w:szCs w:val="21"/>
        </w:rPr>
        <w:t>, tax payment and similar are not monitored. According to the HBS, the full amount of each purchase is recorded, regardless of whether the goods/services were purchased on credit or paid in cash.</w:t>
      </w:r>
    </w:p>
    <w:p w14:paraId="54DE2BCD" w14:textId="672D6777" w:rsidR="00620341" w:rsidRPr="00315DDE" w:rsidRDefault="00AA4568" w:rsidP="00583309">
      <w:pPr>
        <w:spacing w:before="120" w:after="120"/>
        <w:jc w:val="both"/>
        <w:rPr>
          <w:rFonts w:ascii="Arial" w:hAnsi="Arial" w:cs="Arial"/>
          <w:sz w:val="21"/>
          <w:szCs w:val="21"/>
        </w:rPr>
      </w:pPr>
      <w:r w:rsidRPr="00315DDE">
        <w:rPr>
          <w:rFonts w:ascii="Arial" w:hAnsi="Arial" w:cs="Arial"/>
          <w:sz w:val="21"/>
          <w:szCs w:val="21"/>
        </w:rPr>
        <w:t xml:space="preserve">An important feature of this </w:t>
      </w:r>
      <w:r w:rsidRPr="00583309">
        <w:rPr>
          <w:rFonts w:ascii="Arial" w:hAnsi="Arial" w:cs="Arial"/>
          <w:color w:val="000000" w:themeColor="text1"/>
          <w:sz w:val="21"/>
          <w:szCs w:val="21"/>
        </w:rPr>
        <w:t>survey</w:t>
      </w:r>
      <w:r w:rsidRPr="00315DDE">
        <w:rPr>
          <w:rFonts w:ascii="Arial" w:hAnsi="Arial" w:cs="Arial"/>
          <w:sz w:val="21"/>
          <w:szCs w:val="21"/>
        </w:rPr>
        <w:t xml:space="preserve"> is that it does not apply weighting (equivalization) of household income and consumption</w:t>
      </w:r>
      <w:r w:rsidR="00D50F2E">
        <w:rPr>
          <w:rStyle w:val="FootnoteReference"/>
          <w:rFonts w:ascii="Arial" w:hAnsi="Arial" w:cs="Arial"/>
          <w:sz w:val="21"/>
          <w:szCs w:val="21"/>
        </w:rPr>
        <w:footnoteReference w:id="3"/>
      </w:r>
      <w:r w:rsidRPr="00315DDE">
        <w:rPr>
          <w:rFonts w:ascii="Arial" w:hAnsi="Arial" w:cs="Arial"/>
          <w:sz w:val="21"/>
          <w:szCs w:val="21"/>
        </w:rPr>
        <w:t>.</w:t>
      </w:r>
    </w:p>
    <w:p w14:paraId="745071E9" w14:textId="77777777" w:rsidR="00620341" w:rsidRPr="00315DDE" w:rsidRDefault="00620341" w:rsidP="00CC7346">
      <w:pPr>
        <w:jc w:val="both"/>
      </w:pPr>
    </w:p>
    <w:sectPr w:rsidR="00620341" w:rsidRPr="00315DDE" w:rsidSect="001108F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A645CD" w14:textId="77777777" w:rsidR="009F36CB" w:rsidRDefault="009F36CB" w:rsidP="00620341">
      <w:pPr>
        <w:spacing w:after="0" w:line="240" w:lineRule="auto"/>
      </w:pPr>
      <w:r>
        <w:separator/>
      </w:r>
    </w:p>
  </w:endnote>
  <w:endnote w:type="continuationSeparator" w:id="0">
    <w:p w14:paraId="3AC38E89" w14:textId="77777777" w:rsidR="009F36CB" w:rsidRDefault="009F36CB" w:rsidP="006203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ouschka Pro Thin">
    <w:altName w:val="Arial"/>
    <w:charset w:val="00"/>
    <w:family w:val="modern"/>
    <w:pitch w:val="variable"/>
    <w:sig w:usb0="800002AF" w:usb1="5000204A"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40BB9" w14:textId="77777777" w:rsidR="009F36CB" w:rsidRDefault="009F36CB" w:rsidP="00620341">
      <w:pPr>
        <w:spacing w:after="0" w:line="240" w:lineRule="auto"/>
      </w:pPr>
      <w:r>
        <w:separator/>
      </w:r>
    </w:p>
  </w:footnote>
  <w:footnote w:type="continuationSeparator" w:id="0">
    <w:p w14:paraId="429F9DAF" w14:textId="77777777" w:rsidR="009F36CB" w:rsidRDefault="009F36CB" w:rsidP="00620341">
      <w:pPr>
        <w:spacing w:after="0" w:line="240" w:lineRule="auto"/>
      </w:pPr>
      <w:r>
        <w:continuationSeparator/>
      </w:r>
    </w:p>
  </w:footnote>
  <w:footnote w:id="1">
    <w:p w14:paraId="19762A6D" w14:textId="050982E7" w:rsidR="00D50F2E" w:rsidRPr="00D50F2E" w:rsidRDefault="00D50F2E">
      <w:pPr>
        <w:pStyle w:val="FootnoteText"/>
        <w:rPr>
          <w:lang w:val="sr-Latn-RS"/>
        </w:rPr>
      </w:pPr>
      <w:r w:rsidRPr="00D50F2E">
        <w:rPr>
          <w:rStyle w:val="FootnoteReference"/>
          <w:b/>
        </w:rPr>
        <w:footnoteRef/>
      </w:r>
      <w:r>
        <w:t xml:space="preserve"> </w:t>
      </w:r>
      <w:r w:rsidRPr="00D50F2E">
        <w:rPr>
          <w:rFonts w:ascii="Arial" w:hAnsi="Arial" w:cs="Arial"/>
          <w:color w:val="000000" w:themeColor="text1"/>
          <w:sz w:val="16"/>
          <w:szCs w:val="15"/>
        </w:rPr>
        <w:t>With approximately the same number of individuals.</w:t>
      </w:r>
    </w:p>
  </w:footnote>
  <w:footnote w:id="2">
    <w:p w14:paraId="48BECA42" w14:textId="0D48D0EE" w:rsidR="00D50F2E" w:rsidRPr="00D50F2E" w:rsidRDefault="00D50F2E">
      <w:pPr>
        <w:pStyle w:val="FootnoteText"/>
        <w:rPr>
          <w:lang w:val="sr-Latn-RS"/>
        </w:rPr>
      </w:pPr>
      <w:r w:rsidRPr="00D50F2E">
        <w:rPr>
          <w:rStyle w:val="FootnoteReference"/>
          <w:b/>
        </w:rPr>
        <w:footnoteRef/>
      </w:r>
      <w:r w:rsidRPr="00D50F2E">
        <w:rPr>
          <w:b/>
        </w:rPr>
        <w:t xml:space="preserve"> </w:t>
      </w:r>
      <w:r w:rsidRPr="00D50F2E">
        <w:rPr>
          <w:rFonts w:ascii="Arial" w:hAnsi="Arial" w:cs="Arial"/>
          <w:sz w:val="16"/>
          <w:szCs w:val="15"/>
        </w:rPr>
        <w:t>Depending on the choice, it is possible to form deciles by dividing the total number of households into ten equal units. This approach was applied in developing the Household Budget Survey of the Statistical Office of the Republic of Serbia.</w:t>
      </w:r>
    </w:p>
  </w:footnote>
  <w:footnote w:id="3">
    <w:p w14:paraId="53E727DB" w14:textId="5A58A149" w:rsidR="00D50F2E" w:rsidRPr="00D50F2E" w:rsidRDefault="00D50F2E">
      <w:pPr>
        <w:pStyle w:val="FootnoteText"/>
        <w:rPr>
          <w:lang w:val="sr-Latn-RS"/>
        </w:rPr>
      </w:pPr>
      <w:r w:rsidRPr="00D50F2E">
        <w:rPr>
          <w:rStyle w:val="FootnoteReference"/>
          <w:b/>
        </w:rPr>
        <w:footnoteRef/>
      </w:r>
      <w:r w:rsidRPr="00D50F2E">
        <w:rPr>
          <w:b/>
        </w:rPr>
        <w:t xml:space="preserve"> </w:t>
      </w:r>
      <w:r w:rsidRPr="00D50F2E">
        <w:rPr>
          <w:rFonts w:ascii="Arial" w:hAnsi="Arial" w:cs="Arial"/>
          <w:sz w:val="16"/>
          <w:szCs w:val="15"/>
          <w:lang w:val="sr-Cyrl-RS"/>
        </w:rPr>
        <w:t>More information on the Household Budget Survey methodology is available at</w:t>
      </w:r>
      <w:r>
        <w:rPr>
          <w:rFonts w:ascii="Arial" w:hAnsi="Arial" w:cs="Arial"/>
          <w:sz w:val="16"/>
          <w:szCs w:val="15"/>
          <w:lang w:val="sr-Latn-RS"/>
        </w:rPr>
        <w:t>:</w:t>
      </w:r>
      <w:r w:rsidRPr="00D50F2E">
        <w:rPr>
          <w:rFonts w:ascii="Arial" w:hAnsi="Arial" w:cs="Arial"/>
          <w:sz w:val="16"/>
          <w:szCs w:val="15"/>
          <w:lang w:val="sr-Latn-RS"/>
        </w:rPr>
        <w:t xml:space="preserve"> </w:t>
      </w:r>
      <w:hyperlink r:id="rId1" w:history="1">
        <w:r w:rsidRPr="00D50F2E">
          <w:rPr>
            <w:rStyle w:val="Hyperlink"/>
            <w:rFonts w:ascii="Arial" w:hAnsi="Arial" w:cs="Arial"/>
            <w:sz w:val="16"/>
            <w:szCs w:val="15"/>
            <w:lang w:val="sr-Cyrl-RS"/>
          </w:rPr>
          <w:t>http://www.stat.gov.rs/sr-latn/istrazivanja/methodology-and-documents/?a=01&amp;s=0101</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GB"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M0t7A0NDW1NDI2MjJR0lEKTi0uzszPAykwrgUAkjtORSwAAAA="/>
  </w:docVars>
  <w:rsids>
    <w:rsidRoot w:val="00620341"/>
    <w:rsid w:val="0002062F"/>
    <w:rsid w:val="00072F33"/>
    <w:rsid w:val="000B0461"/>
    <w:rsid w:val="001108F6"/>
    <w:rsid w:val="00126BD6"/>
    <w:rsid w:val="00131908"/>
    <w:rsid w:val="0013704E"/>
    <w:rsid w:val="00160C88"/>
    <w:rsid w:val="0018245D"/>
    <w:rsid w:val="00197F7A"/>
    <w:rsid w:val="001C32F4"/>
    <w:rsid w:val="00222F39"/>
    <w:rsid w:val="002771D1"/>
    <w:rsid w:val="002802BE"/>
    <w:rsid w:val="002928AA"/>
    <w:rsid w:val="002B3D52"/>
    <w:rsid w:val="002B7FC8"/>
    <w:rsid w:val="002F6E93"/>
    <w:rsid w:val="0030431F"/>
    <w:rsid w:val="00315DDE"/>
    <w:rsid w:val="003D715A"/>
    <w:rsid w:val="003F3D81"/>
    <w:rsid w:val="00401A45"/>
    <w:rsid w:val="004301E5"/>
    <w:rsid w:val="0045409E"/>
    <w:rsid w:val="0045673A"/>
    <w:rsid w:val="004602EE"/>
    <w:rsid w:val="0048214E"/>
    <w:rsid w:val="00497AD5"/>
    <w:rsid w:val="004A1238"/>
    <w:rsid w:val="004C63B0"/>
    <w:rsid w:val="005046FB"/>
    <w:rsid w:val="00566743"/>
    <w:rsid w:val="00583309"/>
    <w:rsid w:val="005C6FAF"/>
    <w:rsid w:val="005E495C"/>
    <w:rsid w:val="00620341"/>
    <w:rsid w:val="00652B1F"/>
    <w:rsid w:val="00684F40"/>
    <w:rsid w:val="00694972"/>
    <w:rsid w:val="006B439B"/>
    <w:rsid w:val="006C58DA"/>
    <w:rsid w:val="006F06A6"/>
    <w:rsid w:val="007227B2"/>
    <w:rsid w:val="00724768"/>
    <w:rsid w:val="007417C0"/>
    <w:rsid w:val="00742FCC"/>
    <w:rsid w:val="00756358"/>
    <w:rsid w:val="007A3CF5"/>
    <w:rsid w:val="007D3EA6"/>
    <w:rsid w:val="00831A44"/>
    <w:rsid w:val="00886885"/>
    <w:rsid w:val="008A2AAE"/>
    <w:rsid w:val="008E2D9C"/>
    <w:rsid w:val="00985188"/>
    <w:rsid w:val="00990102"/>
    <w:rsid w:val="00994BFC"/>
    <w:rsid w:val="009C22C8"/>
    <w:rsid w:val="009F36CB"/>
    <w:rsid w:val="00A24CEB"/>
    <w:rsid w:val="00A3268F"/>
    <w:rsid w:val="00AA4568"/>
    <w:rsid w:val="00AC120C"/>
    <w:rsid w:val="00AC303C"/>
    <w:rsid w:val="00AC44F5"/>
    <w:rsid w:val="00AC5C00"/>
    <w:rsid w:val="00AD286D"/>
    <w:rsid w:val="00AD56F5"/>
    <w:rsid w:val="00B004E5"/>
    <w:rsid w:val="00B213D2"/>
    <w:rsid w:val="00B55461"/>
    <w:rsid w:val="00B5705D"/>
    <w:rsid w:val="00B60B90"/>
    <w:rsid w:val="00BB5E07"/>
    <w:rsid w:val="00C53475"/>
    <w:rsid w:val="00C7478D"/>
    <w:rsid w:val="00C97F65"/>
    <w:rsid w:val="00CC7346"/>
    <w:rsid w:val="00CE2A42"/>
    <w:rsid w:val="00CE4914"/>
    <w:rsid w:val="00CE610E"/>
    <w:rsid w:val="00D50F2E"/>
    <w:rsid w:val="00D978E0"/>
    <w:rsid w:val="00DA4A99"/>
    <w:rsid w:val="00E042C0"/>
    <w:rsid w:val="00E23655"/>
    <w:rsid w:val="00E30F2F"/>
    <w:rsid w:val="00ED15E2"/>
    <w:rsid w:val="00ED25B2"/>
    <w:rsid w:val="00ED4E24"/>
    <w:rsid w:val="00F206E2"/>
    <w:rsid w:val="00F61D51"/>
    <w:rsid w:val="00F76A49"/>
    <w:rsid w:val="00F85EDC"/>
    <w:rsid w:val="00FC271F"/>
    <w:rsid w:val="00FF5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0E210"/>
  <w15:chartTrackingRefBased/>
  <w15:docId w15:val="{CA3BB62E-D4AF-1042-BF18-1AE18B794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1E5"/>
    <w:pPr>
      <w:spacing w:after="200" w:line="276" w:lineRule="auto"/>
    </w:pPr>
    <w:rPr>
      <w:sz w:val="22"/>
      <w:szCs w:val="22"/>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0341"/>
    <w:pPr>
      <w:widowControl w:val="0"/>
      <w:autoSpaceDE w:val="0"/>
      <w:autoSpaceDN w:val="0"/>
      <w:adjustRightInd w:val="0"/>
      <w:spacing w:before="120" w:after="120" w:line="240" w:lineRule="auto"/>
      <w:jc w:val="both"/>
    </w:pPr>
    <w:rPr>
      <w:rFonts w:ascii="Houschka Pro Thin" w:eastAsia="MS Mincho" w:hAnsi="Houschka Pro Thin" w:cs="Times New Roman"/>
      <w:color w:val="365F91"/>
      <w:sz w:val="72"/>
      <w:szCs w:val="72"/>
      <w:shd w:val="clear" w:color="auto" w:fill="FFFFFF"/>
      <w:lang w:val="sr-Latn-CS" w:eastAsia="x-none" w:bidi="ar-SA"/>
    </w:rPr>
  </w:style>
  <w:style w:type="character" w:customStyle="1" w:styleId="TitleChar">
    <w:name w:val="Title Char"/>
    <w:basedOn w:val="DefaultParagraphFont"/>
    <w:link w:val="Title"/>
    <w:uiPriority w:val="10"/>
    <w:rsid w:val="00620341"/>
    <w:rPr>
      <w:rFonts w:ascii="Houschka Pro Thin" w:eastAsia="MS Mincho" w:hAnsi="Houschka Pro Thin" w:cs="Times New Roman"/>
      <w:color w:val="365F91"/>
      <w:sz w:val="72"/>
      <w:szCs w:val="72"/>
      <w:lang w:val="sr-Latn-CS" w:eastAsia="x-none"/>
    </w:rPr>
  </w:style>
  <w:style w:type="paragraph" w:styleId="NormalWeb">
    <w:name w:val="Normal (Web)"/>
    <w:basedOn w:val="Normal"/>
    <w:uiPriority w:val="99"/>
    <w:unhideWhenUsed/>
    <w:rsid w:val="00620341"/>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FootnoteText">
    <w:name w:val="footnote text"/>
    <w:basedOn w:val="Normal"/>
    <w:link w:val="FootnoteTextChar"/>
    <w:uiPriority w:val="99"/>
    <w:semiHidden/>
    <w:unhideWhenUsed/>
    <w:rsid w:val="006203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0341"/>
    <w:rPr>
      <w:sz w:val="20"/>
      <w:szCs w:val="20"/>
      <w:lang w:val="en-GB" w:eastAsia="en-GB" w:bidi="en-GB"/>
    </w:rPr>
  </w:style>
  <w:style w:type="character" w:styleId="FootnoteReference">
    <w:name w:val="footnote reference"/>
    <w:basedOn w:val="DefaultParagraphFont"/>
    <w:uiPriority w:val="99"/>
    <w:semiHidden/>
    <w:unhideWhenUsed/>
    <w:rsid w:val="00620341"/>
    <w:rPr>
      <w:vertAlign w:val="superscript"/>
    </w:rPr>
  </w:style>
  <w:style w:type="character" w:styleId="Hyperlink">
    <w:name w:val="Hyperlink"/>
    <w:basedOn w:val="DefaultParagraphFont"/>
    <w:uiPriority w:val="99"/>
    <w:unhideWhenUsed/>
    <w:rsid w:val="00620341"/>
    <w:rPr>
      <w:color w:val="0000FF"/>
      <w:u w:val="single"/>
    </w:rPr>
  </w:style>
  <w:style w:type="table" w:styleId="TableGrid">
    <w:name w:val="Table Grid"/>
    <w:basedOn w:val="TableNormal"/>
    <w:uiPriority w:val="39"/>
    <w:rsid w:val="00BB5E07"/>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245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8245D"/>
    <w:rPr>
      <w:rFonts w:ascii="Times New Roman" w:hAnsi="Times New Roman" w:cs="Times New Roman"/>
      <w:sz w:val="18"/>
      <w:szCs w:val="18"/>
      <w:lang w:val="en-GB" w:eastAsia="en-GB" w:bidi="en-GB"/>
    </w:rPr>
  </w:style>
  <w:style w:type="character" w:customStyle="1" w:styleId="UnresolvedMention1">
    <w:name w:val="Unresolved Mention1"/>
    <w:basedOn w:val="DefaultParagraphFont"/>
    <w:uiPriority w:val="99"/>
    <w:semiHidden/>
    <w:unhideWhenUsed/>
    <w:rsid w:val="003D715A"/>
    <w:rPr>
      <w:color w:val="605E5C"/>
      <w:shd w:val="clear" w:color="auto" w:fill="E1DFDD"/>
    </w:rPr>
  </w:style>
  <w:style w:type="character" w:styleId="CommentReference">
    <w:name w:val="annotation reference"/>
    <w:basedOn w:val="DefaultParagraphFont"/>
    <w:uiPriority w:val="99"/>
    <w:semiHidden/>
    <w:unhideWhenUsed/>
    <w:rsid w:val="00A24CEB"/>
    <w:rPr>
      <w:sz w:val="16"/>
      <w:szCs w:val="16"/>
    </w:rPr>
  </w:style>
  <w:style w:type="paragraph" w:styleId="CommentText">
    <w:name w:val="annotation text"/>
    <w:basedOn w:val="Normal"/>
    <w:link w:val="CommentTextChar"/>
    <w:uiPriority w:val="99"/>
    <w:semiHidden/>
    <w:unhideWhenUsed/>
    <w:rsid w:val="00A24CEB"/>
    <w:pPr>
      <w:spacing w:line="240" w:lineRule="auto"/>
    </w:pPr>
    <w:rPr>
      <w:sz w:val="20"/>
      <w:szCs w:val="20"/>
    </w:rPr>
  </w:style>
  <w:style w:type="character" w:customStyle="1" w:styleId="CommentTextChar">
    <w:name w:val="Comment Text Char"/>
    <w:basedOn w:val="DefaultParagraphFont"/>
    <w:link w:val="CommentText"/>
    <w:uiPriority w:val="99"/>
    <w:semiHidden/>
    <w:rsid w:val="00A24CEB"/>
    <w:rPr>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A24CEB"/>
    <w:rPr>
      <w:b/>
      <w:bCs/>
    </w:rPr>
  </w:style>
  <w:style w:type="character" w:customStyle="1" w:styleId="CommentSubjectChar">
    <w:name w:val="Comment Subject Char"/>
    <w:basedOn w:val="CommentTextChar"/>
    <w:link w:val="CommentSubject"/>
    <w:uiPriority w:val="99"/>
    <w:semiHidden/>
    <w:rsid w:val="00A24CEB"/>
    <w:rPr>
      <w:b/>
      <w:bCs/>
      <w:sz w:val="20"/>
      <w:szCs w:val="20"/>
      <w:lang w:val="en-GB" w:eastAsia="en-GB" w:bidi="en-GB"/>
    </w:rPr>
  </w:style>
  <w:style w:type="character" w:styleId="FollowedHyperlink">
    <w:name w:val="FollowedHyperlink"/>
    <w:basedOn w:val="DefaultParagraphFont"/>
    <w:uiPriority w:val="99"/>
    <w:semiHidden/>
    <w:unhideWhenUsed/>
    <w:rsid w:val="003F3D81"/>
    <w:rPr>
      <w:color w:val="954F72" w:themeColor="followedHyperlink"/>
      <w:u w:val="single"/>
    </w:rPr>
  </w:style>
  <w:style w:type="paragraph" w:styleId="Header">
    <w:name w:val="header"/>
    <w:basedOn w:val="Normal"/>
    <w:link w:val="HeaderChar"/>
    <w:uiPriority w:val="99"/>
    <w:unhideWhenUsed/>
    <w:rsid w:val="00222F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222F39"/>
    <w:rPr>
      <w:sz w:val="22"/>
      <w:szCs w:val="22"/>
      <w:lang w:val="en-GB" w:eastAsia="en-GB" w:bidi="en-GB"/>
    </w:rPr>
  </w:style>
  <w:style w:type="paragraph" w:styleId="Footer">
    <w:name w:val="footer"/>
    <w:basedOn w:val="Normal"/>
    <w:link w:val="FooterChar"/>
    <w:uiPriority w:val="99"/>
    <w:unhideWhenUsed/>
    <w:rsid w:val="00222F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222F39"/>
    <w:rPr>
      <w:sz w:val="22"/>
      <w:szCs w:val="22"/>
      <w:lang w:val="en-GB" w:eastAsia="en-GB" w:bidi="en-GB"/>
    </w:rPr>
  </w:style>
  <w:style w:type="paragraph" w:styleId="Revision">
    <w:name w:val="Revision"/>
    <w:hidden/>
    <w:uiPriority w:val="99"/>
    <w:semiHidden/>
    <w:rsid w:val="0013704E"/>
    <w:rPr>
      <w:sz w:val="22"/>
      <w:szCs w:val="22"/>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672855">
      <w:bodyDiv w:val="1"/>
      <w:marLeft w:val="0"/>
      <w:marRight w:val="0"/>
      <w:marTop w:val="0"/>
      <w:marBottom w:val="0"/>
      <w:divBdr>
        <w:top w:val="none" w:sz="0" w:space="0" w:color="auto"/>
        <w:left w:val="none" w:sz="0" w:space="0" w:color="auto"/>
        <w:bottom w:val="none" w:sz="0" w:space="0" w:color="auto"/>
        <w:right w:val="none" w:sz="0" w:space="0" w:color="auto"/>
      </w:divBdr>
      <w:divsChild>
        <w:div w:id="1667785326">
          <w:marLeft w:val="0"/>
          <w:marRight w:val="0"/>
          <w:marTop w:val="0"/>
          <w:marBottom w:val="0"/>
          <w:divBdr>
            <w:top w:val="none" w:sz="0" w:space="0" w:color="auto"/>
            <w:left w:val="none" w:sz="0" w:space="0" w:color="auto"/>
            <w:bottom w:val="none" w:sz="0" w:space="0" w:color="auto"/>
            <w:right w:val="none" w:sz="0" w:space="0" w:color="auto"/>
          </w:divBdr>
          <w:divsChild>
            <w:div w:id="375277299">
              <w:marLeft w:val="0"/>
              <w:marRight w:val="0"/>
              <w:marTop w:val="0"/>
              <w:marBottom w:val="0"/>
              <w:divBdr>
                <w:top w:val="none" w:sz="0" w:space="0" w:color="auto"/>
                <w:left w:val="none" w:sz="0" w:space="0" w:color="auto"/>
                <w:bottom w:val="none" w:sz="0" w:space="0" w:color="auto"/>
                <w:right w:val="none" w:sz="0" w:space="0" w:color="auto"/>
              </w:divBdr>
              <w:divsChild>
                <w:div w:id="1680621810">
                  <w:marLeft w:val="0"/>
                  <w:marRight w:val="0"/>
                  <w:marTop w:val="0"/>
                  <w:marBottom w:val="0"/>
                  <w:divBdr>
                    <w:top w:val="none" w:sz="0" w:space="0" w:color="auto"/>
                    <w:left w:val="none" w:sz="0" w:space="0" w:color="auto"/>
                    <w:bottom w:val="none" w:sz="0" w:space="0" w:color="auto"/>
                    <w:right w:val="none" w:sz="0" w:space="0" w:color="auto"/>
                  </w:divBdr>
                  <w:divsChild>
                    <w:div w:id="49947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079537">
      <w:bodyDiv w:val="1"/>
      <w:marLeft w:val="0"/>
      <w:marRight w:val="0"/>
      <w:marTop w:val="0"/>
      <w:marBottom w:val="0"/>
      <w:divBdr>
        <w:top w:val="none" w:sz="0" w:space="0" w:color="auto"/>
        <w:left w:val="none" w:sz="0" w:space="0" w:color="auto"/>
        <w:bottom w:val="none" w:sz="0" w:space="0" w:color="auto"/>
        <w:right w:val="none" w:sz="0" w:space="0" w:color="auto"/>
      </w:divBdr>
      <w:divsChild>
        <w:div w:id="1443568176">
          <w:marLeft w:val="0"/>
          <w:marRight w:val="0"/>
          <w:marTop w:val="0"/>
          <w:marBottom w:val="0"/>
          <w:divBdr>
            <w:top w:val="none" w:sz="0" w:space="0" w:color="auto"/>
            <w:left w:val="none" w:sz="0" w:space="0" w:color="auto"/>
            <w:bottom w:val="none" w:sz="0" w:space="0" w:color="auto"/>
            <w:right w:val="none" w:sz="0" w:space="0" w:color="auto"/>
          </w:divBdr>
          <w:divsChild>
            <w:div w:id="710687870">
              <w:marLeft w:val="0"/>
              <w:marRight w:val="0"/>
              <w:marTop w:val="0"/>
              <w:marBottom w:val="0"/>
              <w:divBdr>
                <w:top w:val="none" w:sz="0" w:space="0" w:color="auto"/>
                <w:left w:val="none" w:sz="0" w:space="0" w:color="auto"/>
                <w:bottom w:val="none" w:sz="0" w:space="0" w:color="auto"/>
                <w:right w:val="none" w:sz="0" w:space="0" w:color="auto"/>
              </w:divBdr>
              <w:divsChild>
                <w:div w:id="1570194351">
                  <w:marLeft w:val="0"/>
                  <w:marRight w:val="0"/>
                  <w:marTop w:val="0"/>
                  <w:marBottom w:val="0"/>
                  <w:divBdr>
                    <w:top w:val="none" w:sz="0" w:space="0" w:color="auto"/>
                    <w:left w:val="none" w:sz="0" w:space="0" w:color="auto"/>
                    <w:bottom w:val="none" w:sz="0" w:space="0" w:color="auto"/>
                    <w:right w:val="none" w:sz="0" w:space="0" w:color="auto"/>
                  </w:divBdr>
                  <w:divsChild>
                    <w:div w:id="91528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socijalnoukljucivanje.gov.rs/wp-content/uploads/2019/06/Decilna_analiza_potrosnje_i_prihoda_u_Republici_Srbiji_eng.pdf" TargetMode="External"/><Relationship Id="rId12" Type="http://schemas.openxmlformats.org/officeDocument/2006/relationships/chart" Target="charts/chart5.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hyperlink" Target="http://socijalnoukljucivanje.gov.rs/wp-content/uploads/2020/07/Decile_analysis-2006-2018-SIPRU_eng_web.xlsx" TargetMode="Externa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socijalnoukljucivanje.gov.rs/wp-content/uploads/2020/07/Decile_analysis-2006-2018-SIPRU_eng_web.xls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tat.gov.rs/sr-latn/istrazivanja/methodology-and-documents/?a=01&amp;s=0101"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 Average consumption'!$B$16</c:f>
              <c:strCache>
                <c:ptCount val="1"/>
                <c:pt idx="0">
                  <c:v>2017</c:v>
                </c:pt>
              </c:strCache>
            </c:strRef>
          </c:tx>
          <c:spPr>
            <a:solidFill>
              <a:srgbClr val="E7E6E6">
                <a:lumMod val="90000"/>
              </a:srgbClr>
            </a:solidFill>
            <a:ln>
              <a:solidFill>
                <a:srgbClr val="4472C4"/>
              </a:solidFill>
            </a:ln>
            <a:effectLst/>
          </c:spPr>
          <c:invertIfNegative val="0"/>
          <c:dLbls>
            <c:delete val="1"/>
          </c:dLbls>
          <c:cat>
            <c:strRef>
              <c:f>'2. Average consumption'!$C$4:$M$4</c:f>
              <c:strCache>
                <c:ptCount val="11"/>
                <c:pt idx="0">
                  <c:v>Total</c:v>
                </c:pt>
                <c:pt idx="1">
                  <c:v>decile 
1</c:v>
                </c:pt>
                <c:pt idx="2">
                  <c:v>decile 
2</c:v>
                </c:pt>
                <c:pt idx="3">
                  <c:v>decile
3</c:v>
                </c:pt>
                <c:pt idx="4">
                  <c:v>decile
4</c:v>
                </c:pt>
                <c:pt idx="5">
                  <c:v>decile
5</c:v>
                </c:pt>
                <c:pt idx="6">
                  <c:v>decile 
6</c:v>
                </c:pt>
                <c:pt idx="7">
                  <c:v>decile 
7</c:v>
                </c:pt>
                <c:pt idx="8">
                  <c:v>decile 
8</c:v>
                </c:pt>
                <c:pt idx="9">
                  <c:v>decile 
9</c:v>
                </c:pt>
                <c:pt idx="10">
                  <c:v>decile 
10</c:v>
                </c:pt>
              </c:strCache>
            </c:strRef>
          </c:cat>
          <c:val>
            <c:numRef>
              <c:f>'2. Average consumption'!$C$16:$M$16</c:f>
              <c:numCache>
                <c:formatCode>0</c:formatCode>
                <c:ptCount val="11"/>
                <c:pt idx="0">
                  <c:v>29056</c:v>
                </c:pt>
                <c:pt idx="1">
                  <c:v>11161</c:v>
                </c:pt>
                <c:pt idx="2">
                  <c:v>15894</c:v>
                </c:pt>
                <c:pt idx="3">
                  <c:v>19162</c:v>
                </c:pt>
                <c:pt idx="4">
                  <c:v>21857</c:v>
                </c:pt>
                <c:pt idx="5">
                  <c:v>24687</c:v>
                </c:pt>
                <c:pt idx="6">
                  <c:v>27722</c:v>
                </c:pt>
                <c:pt idx="7">
                  <c:v>30839</c:v>
                </c:pt>
                <c:pt idx="8">
                  <c:v>34928</c:v>
                </c:pt>
                <c:pt idx="9">
                  <c:v>41517</c:v>
                </c:pt>
                <c:pt idx="10">
                  <c:v>62800</c:v>
                </c:pt>
              </c:numCache>
            </c:numRef>
          </c:val>
          <c:extLst>
            <c:ext xmlns:c16="http://schemas.microsoft.com/office/drawing/2014/chart" uri="{C3380CC4-5D6E-409C-BE32-E72D297353CC}">
              <c16:uniqueId val="{00000000-2141-4C6D-B993-06CCAB1F00FA}"/>
            </c:ext>
          </c:extLst>
        </c:ser>
        <c:ser>
          <c:idx val="1"/>
          <c:order val="1"/>
          <c:tx>
            <c:strRef>
              <c:f>'2. Average consumption'!$B$17</c:f>
              <c:strCache>
                <c:ptCount val="1"/>
                <c:pt idx="0">
                  <c:v>2018</c:v>
                </c:pt>
              </c:strCache>
            </c:strRef>
          </c:tx>
          <c:spPr>
            <a:solidFill>
              <a:srgbClr val="4472C4">
                <a:lumMod val="75000"/>
              </a:srgb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Average consumption'!$C$4:$M$4</c:f>
              <c:strCache>
                <c:ptCount val="11"/>
                <c:pt idx="0">
                  <c:v>Total</c:v>
                </c:pt>
                <c:pt idx="1">
                  <c:v>decile 
1</c:v>
                </c:pt>
                <c:pt idx="2">
                  <c:v>decile 
2</c:v>
                </c:pt>
                <c:pt idx="3">
                  <c:v>decile
3</c:v>
                </c:pt>
                <c:pt idx="4">
                  <c:v>decile
4</c:v>
                </c:pt>
                <c:pt idx="5">
                  <c:v>decile
5</c:v>
                </c:pt>
                <c:pt idx="6">
                  <c:v>decile 
6</c:v>
                </c:pt>
                <c:pt idx="7">
                  <c:v>decile 
7</c:v>
                </c:pt>
                <c:pt idx="8">
                  <c:v>decile 
8</c:v>
                </c:pt>
                <c:pt idx="9">
                  <c:v>decile 
9</c:v>
                </c:pt>
                <c:pt idx="10">
                  <c:v>decile 
10</c:v>
                </c:pt>
              </c:strCache>
            </c:strRef>
          </c:cat>
          <c:val>
            <c:numRef>
              <c:f>'2. Average consumption'!$C$17:$M$17</c:f>
              <c:numCache>
                <c:formatCode>0</c:formatCode>
                <c:ptCount val="11"/>
                <c:pt idx="0">
                  <c:v>30474</c:v>
                </c:pt>
                <c:pt idx="1">
                  <c:v>10988</c:v>
                </c:pt>
                <c:pt idx="2">
                  <c:v>15687</c:v>
                </c:pt>
                <c:pt idx="3">
                  <c:v>18790</c:v>
                </c:pt>
                <c:pt idx="4">
                  <c:v>21596</c:v>
                </c:pt>
                <c:pt idx="5">
                  <c:v>24645</c:v>
                </c:pt>
                <c:pt idx="6">
                  <c:v>27865</c:v>
                </c:pt>
                <c:pt idx="7">
                  <c:v>31825</c:v>
                </c:pt>
                <c:pt idx="8">
                  <c:v>36982</c:v>
                </c:pt>
                <c:pt idx="9">
                  <c:v>44947</c:v>
                </c:pt>
                <c:pt idx="10">
                  <c:v>71413</c:v>
                </c:pt>
              </c:numCache>
            </c:numRef>
          </c:val>
          <c:extLst>
            <c:ext xmlns:c16="http://schemas.microsoft.com/office/drawing/2014/chart" uri="{C3380CC4-5D6E-409C-BE32-E72D297353CC}">
              <c16:uniqueId val="{00000001-2141-4C6D-B993-06CCAB1F00FA}"/>
            </c:ext>
          </c:extLst>
        </c:ser>
        <c:dLbls>
          <c:dLblPos val="outEnd"/>
          <c:showLegendKey val="0"/>
          <c:showVal val="1"/>
          <c:showCatName val="0"/>
          <c:showSerName val="0"/>
          <c:showPercent val="0"/>
          <c:showBubbleSize val="0"/>
        </c:dLbls>
        <c:gapWidth val="219"/>
        <c:overlap val="8"/>
        <c:axId val="295686912"/>
        <c:axId val="298791664"/>
      </c:barChart>
      <c:catAx>
        <c:axId val="2956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98791664"/>
        <c:crosses val="autoZero"/>
        <c:auto val="1"/>
        <c:lblAlgn val="ctr"/>
        <c:lblOffset val="100"/>
        <c:noMultiLvlLbl val="0"/>
      </c:catAx>
      <c:valAx>
        <c:axId val="298791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9568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solidFill>
                <a:latin typeface="+mn-lt"/>
                <a:ea typeface="+mn-ea"/>
                <a:cs typeface="+mn-cs"/>
              </a:defRPr>
            </a:pPr>
            <a:r>
              <a:rPr lang="sr-Latn-RS" sz="900" b="1">
                <a:solidFill>
                  <a:schemeClr val="tx1"/>
                </a:solidFill>
              </a:rPr>
              <a:t>Decile</a:t>
            </a:r>
            <a:r>
              <a:rPr lang="sr-Latn-RS" sz="900" b="1" baseline="0">
                <a:solidFill>
                  <a:schemeClr val="tx1"/>
                </a:solidFill>
              </a:rPr>
              <a:t> 1</a:t>
            </a:r>
            <a:endParaRPr lang="en-US" sz="900" b="1">
              <a:solidFill>
                <a:schemeClr val="tx1"/>
              </a:solidFill>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mn-lt"/>
              <a:ea typeface="+mn-ea"/>
              <a:cs typeface="+mn-cs"/>
            </a:defRPr>
          </a:pPr>
          <a:endParaRPr lang="en-US"/>
        </a:p>
      </c:txPr>
    </c:title>
    <c:autoTitleDeleted val="0"/>
    <c:plotArea>
      <c:layout/>
      <c:pieChart>
        <c:varyColors val="1"/>
        <c:ser>
          <c:idx val="0"/>
          <c:order val="0"/>
          <c:dPt>
            <c:idx val="0"/>
            <c:bubble3D val="0"/>
            <c:spPr>
              <a:solidFill>
                <a:srgbClr val="4472C4"/>
              </a:solidFill>
              <a:ln w="19050">
                <a:solidFill>
                  <a:schemeClr val="lt1"/>
                </a:solidFill>
              </a:ln>
              <a:effectLst/>
            </c:spPr>
            <c:extLst>
              <c:ext xmlns:c16="http://schemas.microsoft.com/office/drawing/2014/chart" uri="{C3380CC4-5D6E-409C-BE32-E72D297353CC}">
                <c16:uniqueId val="{00000001-6DAC-485B-A696-34738FA155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DAC-485B-A696-34738FA1555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DAC-485B-A696-34738FA1555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DAC-485B-A696-34738FA1555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DAC-485B-A696-34738FA1555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DAC-485B-A696-34738FA1555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DAC-485B-A696-34738FA1555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DAC-485B-A696-34738FA1555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DAC-485B-A696-34738FA15551}"/>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6DAC-485B-A696-34738FA15551}"/>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6DAC-485B-A696-34738FA15551}"/>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6DAC-485B-A696-34738FA15551}"/>
              </c:ext>
            </c:extLst>
          </c:dPt>
          <c:dLbls>
            <c:dLbl>
              <c:idx val="7"/>
              <c:layout>
                <c:manualLayout>
                  <c:x val="-3.3149965843310683E-4"/>
                  <c:y val="-8.501543774601950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DAC-485B-A696-34738FA15551}"/>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 Structure consumption expen.'!$B$163:$B$174</c:f>
              <c:strCache>
                <c:ptCount val="12"/>
                <c:pt idx="0">
                  <c:v>Food and non-alcoholic beverages</c:v>
                </c:pt>
                <c:pt idx="1">
                  <c:v>Alcoholic beverages and tobacco</c:v>
                </c:pt>
                <c:pt idx="2">
                  <c:v>Clothing and footwear</c:v>
                </c:pt>
                <c:pt idx="3">
                  <c:v>Housing, water, electricity, gas and other fuels</c:v>
                </c:pt>
                <c:pt idx="4">
                  <c:v>Furnishings, household equipment and routine maintenance</c:v>
                </c:pt>
                <c:pt idx="5">
                  <c:v>Health</c:v>
                </c:pt>
                <c:pt idx="6">
                  <c:v>Transport</c:v>
                </c:pt>
                <c:pt idx="7">
                  <c:v>Communication</c:v>
                </c:pt>
                <c:pt idx="8">
                  <c:v>Recreation and culture</c:v>
                </c:pt>
                <c:pt idx="9">
                  <c:v>Education</c:v>
                </c:pt>
                <c:pt idx="10">
                  <c:v>Restaurants and hotels</c:v>
                </c:pt>
                <c:pt idx="11">
                  <c:v>Miscellaneous goods and services</c:v>
                </c:pt>
              </c:strCache>
            </c:strRef>
          </c:cat>
          <c:val>
            <c:numRef>
              <c:f>'5. Structure consumption expen.'!$D$163:$D$174</c:f>
              <c:numCache>
                <c:formatCode>0.0</c:formatCode>
                <c:ptCount val="12"/>
                <c:pt idx="0">
                  <c:v>50.2</c:v>
                </c:pt>
                <c:pt idx="1">
                  <c:v>4.4000000000000004</c:v>
                </c:pt>
                <c:pt idx="2">
                  <c:v>3.7</c:v>
                </c:pt>
                <c:pt idx="3">
                  <c:v>15.2</c:v>
                </c:pt>
                <c:pt idx="4">
                  <c:v>4.2</c:v>
                </c:pt>
                <c:pt idx="5">
                  <c:v>4.9000000000000004</c:v>
                </c:pt>
                <c:pt idx="6">
                  <c:v>3.7</c:v>
                </c:pt>
                <c:pt idx="7">
                  <c:v>5.5</c:v>
                </c:pt>
                <c:pt idx="8">
                  <c:v>1.6</c:v>
                </c:pt>
                <c:pt idx="9">
                  <c:v>0.4</c:v>
                </c:pt>
                <c:pt idx="10">
                  <c:v>1.3</c:v>
                </c:pt>
                <c:pt idx="11">
                  <c:v>4.9000000000000004</c:v>
                </c:pt>
              </c:numCache>
            </c:numRef>
          </c:val>
          <c:extLst>
            <c:ext xmlns:c16="http://schemas.microsoft.com/office/drawing/2014/chart" uri="{C3380CC4-5D6E-409C-BE32-E72D297353CC}">
              <c16:uniqueId val="{00000018-6DAC-485B-A696-34738FA15551}"/>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solidFill>
                <a:latin typeface="Arial" panose="020B0604020202020204" pitchFamily="34" charset="0"/>
                <a:ea typeface="+mn-ea"/>
                <a:cs typeface="Arial" panose="020B0604020202020204" pitchFamily="34" charset="0"/>
              </a:defRPr>
            </a:pPr>
            <a:r>
              <a:rPr lang="sr-Latn-RS" sz="900" b="1"/>
              <a:t>Decile</a:t>
            </a:r>
            <a:r>
              <a:rPr lang="sr-Latn-RS" sz="1100" b="1"/>
              <a:t> </a:t>
            </a:r>
            <a:r>
              <a:rPr lang="sr-Latn-RS" sz="900" b="1"/>
              <a:t>10</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FF3-4324-B356-D05ADC36C68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FF3-4324-B356-D05ADC36C68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FF3-4324-B356-D05ADC36C68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FF3-4324-B356-D05ADC36C68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FF3-4324-B356-D05ADC36C68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FF3-4324-B356-D05ADC36C68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FF3-4324-B356-D05ADC36C68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FF3-4324-B356-D05ADC36C68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FF3-4324-B356-D05ADC36C68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2FF3-4324-B356-D05ADC36C685}"/>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2FF3-4324-B356-D05ADC36C685}"/>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2FF3-4324-B356-D05ADC36C685}"/>
              </c:ext>
            </c:extLst>
          </c:dPt>
          <c:dLbls>
            <c:dLbl>
              <c:idx val="1"/>
              <c:layout>
                <c:manualLayout>
                  <c:x val="-2.6049644818288498E-3"/>
                  <c:y val="1.995821950827575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2FF3-4324-B356-D05ADC36C685}"/>
                </c:ext>
              </c:extLst>
            </c:dLbl>
            <c:dLbl>
              <c:idx val="2"/>
              <c:layout>
                <c:manualLayout>
                  <c:x val="-4.7169206238298629E-2"/>
                  <c:y val="2.660820458667156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FF3-4324-B356-D05ADC36C685}"/>
                </c:ext>
              </c:extLst>
            </c:dLbl>
            <c:dLbl>
              <c:idx val="3"/>
              <c:layout>
                <c:manualLayout>
                  <c:x val="3.2352798903550112E-2"/>
                  <c:y val="-0.14375121477162295"/>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2FF3-4324-B356-D05ADC36C685}"/>
                </c:ext>
              </c:extLst>
            </c:dLbl>
            <c:dLbl>
              <c:idx val="4"/>
              <c:layout>
                <c:manualLayout>
                  <c:x val="-3.0887640751390711E-2"/>
                  <c:y val="-8.9407191448007779E-4"/>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2FF3-4324-B356-D05ADC36C685}"/>
                </c:ext>
              </c:extLst>
            </c:dLbl>
            <c:dLbl>
              <c:idx val="5"/>
              <c:layout>
                <c:manualLayout>
                  <c:x val="-1.1863517060367455E-2"/>
                  <c:y val="-5.648049095903828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2FF3-4324-B356-D05ADC36C685}"/>
                </c:ext>
              </c:extLst>
            </c:dLbl>
            <c:dLbl>
              <c:idx val="6"/>
              <c:layout>
                <c:manualLayout>
                  <c:x val="2.1606514202789496E-4"/>
                  <c:y val="-2.936602312466043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2FF3-4324-B356-D05ADC36C685}"/>
                </c:ext>
              </c:extLst>
            </c:dLbl>
            <c:dLbl>
              <c:idx val="9"/>
              <c:layout>
                <c:manualLayout>
                  <c:x val="-5.1008035258391336E-2"/>
                  <c:y val="-0.13628504549338544"/>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2FF3-4324-B356-D05ADC36C685}"/>
                </c:ext>
              </c:extLst>
            </c:dLbl>
            <c:dLbl>
              <c:idx val="10"/>
              <c:layout>
                <c:manualLayout>
                  <c:x val="0.18218877930361094"/>
                  <c:y val="-4.240459738451061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2FF3-4324-B356-D05ADC36C685}"/>
                </c:ext>
              </c:extLst>
            </c:dLbl>
            <c:dLbl>
              <c:idx val="11"/>
              <c:layout>
                <c:manualLayout>
                  <c:x val="0.32247955353703656"/>
                  <c:y val="-2.082872294024471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7-2FF3-4324-B356-D05ADC36C685}"/>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 Structure consumption expen.'!$B$163:$B$174</c:f>
              <c:strCache>
                <c:ptCount val="12"/>
                <c:pt idx="0">
                  <c:v>Food and non-alcoholic beverages</c:v>
                </c:pt>
                <c:pt idx="1">
                  <c:v>Alcoholic beverages and tobacco</c:v>
                </c:pt>
                <c:pt idx="2">
                  <c:v>Clothing and footwear</c:v>
                </c:pt>
                <c:pt idx="3">
                  <c:v>Housing, water, electricity, gas and other fuels</c:v>
                </c:pt>
                <c:pt idx="4">
                  <c:v>Furnishings, household equipment and routine maintenance</c:v>
                </c:pt>
                <c:pt idx="5">
                  <c:v>Health</c:v>
                </c:pt>
                <c:pt idx="6">
                  <c:v>Transport</c:v>
                </c:pt>
                <c:pt idx="7">
                  <c:v>Communication</c:v>
                </c:pt>
                <c:pt idx="8">
                  <c:v>Recreation and culture</c:v>
                </c:pt>
                <c:pt idx="9">
                  <c:v>Education</c:v>
                </c:pt>
                <c:pt idx="10">
                  <c:v>Restaurants and hotels</c:v>
                </c:pt>
                <c:pt idx="11">
                  <c:v>Miscellaneous goods and services</c:v>
                </c:pt>
              </c:strCache>
            </c:strRef>
          </c:cat>
          <c:val>
            <c:numRef>
              <c:f>'5. Structure consumption expen.'!$M$163:$M$174</c:f>
              <c:numCache>
                <c:formatCode>0.0</c:formatCode>
                <c:ptCount val="12"/>
                <c:pt idx="0">
                  <c:v>32.9</c:v>
                </c:pt>
                <c:pt idx="1">
                  <c:v>5</c:v>
                </c:pt>
                <c:pt idx="2">
                  <c:v>6.1</c:v>
                </c:pt>
                <c:pt idx="3">
                  <c:v>13.5</c:v>
                </c:pt>
                <c:pt idx="4">
                  <c:v>4.0999999999999996</c:v>
                </c:pt>
                <c:pt idx="5">
                  <c:v>4.4000000000000004</c:v>
                </c:pt>
                <c:pt idx="6">
                  <c:v>11.8</c:v>
                </c:pt>
                <c:pt idx="7">
                  <c:v>3.3</c:v>
                </c:pt>
                <c:pt idx="8">
                  <c:v>7.3</c:v>
                </c:pt>
                <c:pt idx="9">
                  <c:v>2.1</c:v>
                </c:pt>
                <c:pt idx="10">
                  <c:v>3.8</c:v>
                </c:pt>
                <c:pt idx="11">
                  <c:v>5.6</c:v>
                </c:pt>
              </c:numCache>
            </c:numRef>
          </c:val>
          <c:extLst>
            <c:ext xmlns:c16="http://schemas.microsoft.com/office/drawing/2014/chart" uri="{C3380CC4-5D6E-409C-BE32-E72D297353CC}">
              <c16:uniqueId val="{00000018-2FF3-4324-B356-D05ADC36C68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r>
              <a:rPr lang="sr-Latn-RS" sz="900" b="1"/>
              <a:t>Decile 1</a:t>
            </a:r>
            <a:endParaRPr lang="en-US" sz="900" b="1"/>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BB-42DA-9046-B689FFDCD1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BB-42DA-9046-B689FFDCD1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2BB-42DA-9046-B689FFDCD1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2BB-42DA-9046-B689FFDCD14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2BB-42DA-9046-B689FFDCD14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2BB-42DA-9046-B689FFDCD14C}"/>
              </c:ext>
            </c:extLst>
          </c:dPt>
          <c:dPt>
            <c:idx val="6"/>
            <c:bubble3D val="0"/>
            <c:spPr>
              <a:solidFill>
                <a:srgbClr val="E7E6E6">
                  <a:lumMod val="75000"/>
                </a:srgbClr>
              </a:solidFill>
              <a:ln w="19050">
                <a:solidFill>
                  <a:schemeClr val="lt1"/>
                </a:solidFill>
              </a:ln>
              <a:effectLst/>
            </c:spPr>
            <c:extLst>
              <c:ext xmlns:c16="http://schemas.microsoft.com/office/drawing/2014/chart" uri="{C3380CC4-5D6E-409C-BE32-E72D297353CC}">
                <c16:uniqueId val="{0000000D-52BB-42DA-9046-B689FFDCD14C}"/>
              </c:ext>
            </c:extLst>
          </c:dPt>
          <c:dLbls>
            <c:dLbl>
              <c:idx val="1"/>
              <c:layout>
                <c:manualLayout>
                  <c:x val="-0.16155716479215199"/>
                  <c:y val="-4.520070457058053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2BB-42DA-9046-B689FFDCD14C}"/>
                </c:ext>
              </c:extLst>
            </c:dLbl>
            <c:dLbl>
              <c:idx val="2"/>
              <c:layout>
                <c:manualLayout>
                  <c:x val="-3.9827285368856449E-2"/>
                  <c:y val="0.14265237678623505"/>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2BB-42DA-9046-B689FFDCD14C}"/>
                </c:ext>
              </c:extLst>
            </c:dLbl>
            <c:dLbl>
              <c:idx val="4"/>
              <c:layout>
                <c:manualLayout>
                  <c:x val="1.7849174475680501E-2"/>
                  <c:y val="-0.30125226940020217"/>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52BB-42DA-9046-B689FFDCD14C}"/>
                </c:ext>
              </c:extLst>
            </c:dLbl>
            <c:dLbl>
              <c:idx val="5"/>
              <c:layout>
                <c:manualLayout>
                  <c:x val="0.14279357148629512"/>
                  <c:y val="0.1631601545727780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5355758481578689"/>
                      <c:h val="0.29166666666666669"/>
                    </c:manualLayout>
                  </c15:layout>
                </c:ext>
                <c:ext xmlns:c16="http://schemas.microsoft.com/office/drawing/2014/chart" uri="{C3380CC4-5D6E-409C-BE32-E72D297353CC}">
                  <c16:uniqueId val="{0000000B-52BB-42DA-9046-B689FFDCD14C}"/>
                </c:ext>
              </c:extLst>
            </c:dLbl>
            <c:dLbl>
              <c:idx val="6"/>
              <c:layout>
                <c:manualLayout>
                  <c:x val="5.5624598130052938E-2"/>
                  <c:y val="2.489443274292302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6512699968728806"/>
                      <c:h val="7.2091026191498486E-2"/>
                    </c:manualLayout>
                  </c15:layout>
                </c:ext>
                <c:ext xmlns:c16="http://schemas.microsoft.com/office/drawing/2014/chart" uri="{C3380CC4-5D6E-409C-BE32-E72D297353CC}">
                  <c16:uniqueId val="{0000000D-52BB-42DA-9046-B689FFDCD14C}"/>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'10. Main source of income'!$B$98:$B$104</c:f>
              <c:strCache>
                <c:ptCount val="7"/>
                <c:pt idx="0">
                  <c:v>Income from wages</c:v>
                </c:pt>
                <c:pt idx="1">
                  <c:v>Income from self-employment</c:v>
                </c:pt>
                <c:pt idx="2">
                  <c:v>Income from property</c:v>
                </c:pt>
                <c:pt idx="3">
                  <c:v>Pensions</c:v>
                </c:pt>
                <c:pt idx="4">
                  <c:v>Unemployment benefits</c:v>
                </c:pt>
                <c:pt idx="5">
                  <c:v>Social transfers (financial social assistance, child benefits, etc.)</c:v>
                </c:pt>
                <c:pt idx="6">
                  <c:v>Other income</c:v>
                </c:pt>
              </c:strCache>
            </c:strRef>
          </c:cat>
          <c:val>
            <c:numRef>
              <c:f>'10. Main source of income'!$D$98:$D$104</c:f>
              <c:numCache>
                <c:formatCode>0.0</c:formatCode>
                <c:ptCount val="7"/>
                <c:pt idx="0">
                  <c:v>25.1</c:v>
                </c:pt>
                <c:pt idx="1">
                  <c:v>9.5</c:v>
                </c:pt>
                <c:pt idx="2">
                  <c:v>0.1</c:v>
                </c:pt>
                <c:pt idx="3">
                  <c:v>45</c:v>
                </c:pt>
                <c:pt idx="4">
                  <c:v>0.3</c:v>
                </c:pt>
                <c:pt idx="5">
                  <c:v>15.3</c:v>
                </c:pt>
                <c:pt idx="6">
                  <c:v>4.7</c:v>
                </c:pt>
              </c:numCache>
            </c:numRef>
          </c:val>
          <c:extLst>
            <c:ext xmlns:c16="http://schemas.microsoft.com/office/drawing/2014/chart" uri="{C3380CC4-5D6E-409C-BE32-E72D297353CC}">
              <c16:uniqueId val="{0000000E-52BB-42DA-9046-B689FFDCD14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r>
              <a:rPr lang="sr-Latn-RS" sz="900" b="1"/>
              <a:t>Decile 10</a:t>
            </a:r>
            <a:endParaRPr lang="en-US" sz="900" b="1"/>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BFF-431E-A198-707569857D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BFF-431E-A198-707569857D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BFF-431E-A198-707569857DA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BFF-431E-A198-707569857DA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BFF-431E-A198-707569857DA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BFF-431E-A198-707569857DAE}"/>
              </c:ext>
            </c:extLst>
          </c:dPt>
          <c:dPt>
            <c:idx val="6"/>
            <c:bubble3D val="0"/>
            <c:spPr>
              <a:solidFill>
                <a:srgbClr val="E7E6E6">
                  <a:lumMod val="75000"/>
                </a:srgbClr>
              </a:solidFill>
              <a:ln w="19050">
                <a:solidFill>
                  <a:schemeClr val="lt1"/>
                </a:solidFill>
              </a:ln>
              <a:effectLst/>
            </c:spPr>
            <c:extLst>
              <c:ext xmlns:c16="http://schemas.microsoft.com/office/drawing/2014/chart" uri="{C3380CC4-5D6E-409C-BE32-E72D297353CC}">
                <c16:uniqueId val="{0000000D-1BFF-431E-A198-707569857DAE}"/>
              </c:ext>
            </c:extLst>
          </c:dPt>
          <c:dLbls>
            <c:dLbl>
              <c:idx val="1"/>
              <c:layout>
                <c:manualLayout>
                  <c:x val="8.11992731677771E-2"/>
                  <c:y val="2.805942194108518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1497737556561084"/>
                      <c:h val="0.10811507084585659"/>
                    </c:manualLayout>
                  </c15:layout>
                </c:ext>
                <c:ext xmlns:c16="http://schemas.microsoft.com/office/drawing/2014/chart" uri="{C3380CC4-5D6E-409C-BE32-E72D297353CC}">
                  <c16:uniqueId val="{00000003-1BFF-431E-A198-707569857DAE}"/>
                </c:ext>
              </c:extLst>
            </c:dLbl>
            <c:dLbl>
              <c:idx val="2"/>
              <c:layout>
                <c:manualLayout>
                  <c:x val="4.5248868778280547E-3"/>
                  <c:y val="-0.12255978200234631"/>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BFF-431E-A198-707569857DAE}"/>
                </c:ext>
              </c:extLst>
            </c:dLbl>
            <c:dLbl>
              <c:idx val="4"/>
              <c:delete val="1"/>
              <c:extLst>
                <c:ext xmlns:c15="http://schemas.microsoft.com/office/drawing/2012/chart" uri="{CE6537A1-D6FC-4f65-9D91-7224C49458BB}"/>
                <c:ext xmlns:c16="http://schemas.microsoft.com/office/drawing/2014/chart" uri="{C3380CC4-5D6E-409C-BE32-E72D297353CC}">
                  <c16:uniqueId val="{00000009-1BFF-431E-A198-707569857DAE}"/>
                </c:ext>
              </c:extLst>
            </c:dLbl>
            <c:dLbl>
              <c:idx val="5"/>
              <c:layout>
                <c:manualLayout>
                  <c:x val="0.39264830583959803"/>
                  <c:y val="1.0734220695577477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2466063348416291"/>
                      <c:h val="0.18462859596393302"/>
                    </c:manualLayout>
                  </c15:layout>
                </c:ext>
                <c:ext xmlns:c16="http://schemas.microsoft.com/office/drawing/2014/chart" uri="{C3380CC4-5D6E-409C-BE32-E72D297353CC}">
                  <c16:uniqueId val="{0000000B-1BFF-431E-A198-707569857DAE}"/>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'10. Main source of income'!$B$98:$B$104</c:f>
              <c:strCache>
                <c:ptCount val="7"/>
                <c:pt idx="0">
                  <c:v>Income from wages</c:v>
                </c:pt>
                <c:pt idx="1">
                  <c:v>Income from self-employment</c:v>
                </c:pt>
                <c:pt idx="2">
                  <c:v>Income from property</c:v>
                </c:pt>
                <c:pt idx="3">
                  <c:v>Pensions</c:v>
                </c:pt>
                <c:pt idx="4">
                  <c:v>Unemployment benefits</c:v>
                </c:pt>
                <c:pt idx="5">
                  <c:v>Social transfers (financial social assistance, child benefits, etc.)</c:v>
                </c:pt>
                <c:pt idx="6">
                  <c:v>Other income</c:v>
                </c:pt>
              </c:strCache>
            </c:strRef>
          </c:cat>
          <c:val>
            <c:numRef>
              <c:f>'10. Main source of income'!$M$98:$M$104</c:f>
              <c:numCache>
                <c:formatCode>0.0</c:formatCode>
                <c:ptCount val="7"/>
                <c:pt idx="0">
                  <c:v>72.7</c:v>
                </c:pt>
                <c:pt idx="1">
                  <c:v>8.1999999999999993</c:v>
                </c:pt>
                <c:pt idx="2">
                  <c:v>0.2</c:v>
                </c:pt>
                <c:pt idx="3">
                  <c:v>17.899999999999999</c:v>
                </c:pt>
                <c:pt idx="4">
                  <c:v>0</c:v>
                </c:pt>
                <c:pt idx="5">
                  <c:v>0</c:v>
                </c:pt>
                <c:pt idx="6">
                  <c:v>1</c:v>
                </c:pt>
              </c:numCache>
            </c:numRef>
          </c:val>
          <c:extLst>
            <c:ext xmlns:c16="http://schemas.microsoft.com/office/drawing/2014/chart" uri="{C3380CC4-5D6E-409C-BE32-E72D297353CC}">
              <c16:uniqueId val="{0000000E-1BFF-431E-A198-707569857DA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49F6F-DD5B-46F9-A15D-DFF8EADD3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1250</Words>
  <Characters>7126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Biljana Mladenovic</dc:creator>
  <cp:keywords/>
  <dc:description/>
  <cp:lastModifiedBy>Jovana Ilic</cp:lastModifiedBy>
  <cp:revision>4</cp:revision>
  <cp:lastPrinted>2020-07-06T13:56:00Z</cp:lastPrinted>
  <dcterms:created xsi:type="dcterms:W3CDTF">2020-07-06T13:38:00Z</dcterms:created>
  <dcterms:modified xsi:type="dcterms:W3CDTF">2020-07-06T13:56:00Z</dcterms:modified>
</cp:coreProperties>
</file>