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650A7" w14:textId="67C9E2A2" w:rsidR="00620341" w:rsidRPr="00460E47" w:rsidRDefault="00620341" w:rsidP="00460E47">
      <w:pPr>
        <w:pStyle w:val="Title"/>
        <w:jc w:val="center"/>
        <w:rPr>
          <w:rFonts w:ascii="Arial" w:hAnsi="Arial" w:cs="Arial"/>
          <w:color w:val="2F5496" w:themeColor="accent1" w:themeShade="BF"/>
          <w:lang w:val="sr-Cyrl-RS"/>
        </w:rPr>
      </w:pPr>
      <w:r w:rsidRPr="0018245D">
        <w:rPr>
          <w:rFonts w:ascii="Arial" w:hAnsi="Arial" w:cs="Arial"/>
          <w:color w:val="2F5496" w:themeColor="accent1" w:themeShade="BF"/>
          <w:sz w:val="44"/>
          <w:szCs w:val="44"/>
          <w:lang w:val="sr-Cyrl-RS"/>
        </w:rPr>
        <w:t xml:space="preserve">ДЕЦИЛНА РАСПОДЕЛА ПОТРОШЊЕ И ПРИХОДА У РЕПУБЛИЦИ СРБИЈИ </w:t>
      </w:r>
      <w:r w:rsidR="0048214E" w:rsidRPr="0018245D">
        <w:rPr>
          <w:rFonts w:ascii="Arial" w:hAnsi="Arial" w:cs="Arial"/>
          <w:color w:val="2F5496" w:themeColor="accent1" w:themeShade="BF"/>
          <w:sz w:val="44"/>
          <w:szCs w:val="44"/>
          <w:lang w:val="sr-Cyrl-RS"/>
        </w:rPr>
        <w:t>У</w:t>
      </w:r>
      <w:r w:rsidRPr="0018245D">
        <w:rPr>
          <w:rFonts w:ascii="Arial" w:hAnsi="Arial" w:cs="Arial"/>
          <w:color w:val="2F5496" w:themeColor="accent1" w:themeShade="BF"/>
          <w:sz w:val="44"/>
          <w:szCs w:val="44"/>
          <w:lang w:val="sr-Cyrl-RS"/>
        </w:rPr>
        <w:t xml:space="preserve"> 2018. </w:t>
      </w:r>
      <w:r w:rsidR="0048214E" w:rsidRPr="0018245D">
        <w:rPr>
          <w:rFonts w:ascii="Arial" w:hAnsi="Arial" w:cs="Arial"/>
          <w:color w:val="2F5496" w:themeColor="accent1" w:themeShade="BF"/>
          <w:sz w:val="44"/>
          <w:szCs w:val="44"/>
          <w:lang w:val="sr-Cyrl-RS"/>
        </w:rPr>
        <w:t>ГОДИНИ</w:t>
      </w:r>
    </w:p>
    <w:p w14:paraId="08311E97" w14:textId="77777777" w:rsidR="00620341" w:rsidRPr="0018245D" w:rsidRDefault="00620341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</w:p>
    <w:p w14:paraId="4F171C48" w14:textId="63F9F8FC" w:rsidR="0048214E" w:rsidRPr="0018245D" w:rsidRDefault="00620341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  <w:r w:rsidRPr="0018245D">
        <w:rPr>
          <w:rFonts w:ascii="Arial" w:hAnsi="Arial" w:cs="Arial"/>
          <w:sz w:val="21"/>
          <w:lang w:val="sr-Cyrl-RS"/>
        </w:rPr>
        <w:t xml:space="preserve">Децилна расподела потрошње/прихода у 2018. години, потврђује </w:t>
      </w:r>
      <w:r w:rsidR="007C2F5C" w:rsidRPr="0018245D">
        <w:rPr>
          <w:rFonts w:ascii="Arial" w:hAnsi="Arial" w:cs="Arial"/>
          <w:sz w:val="21"/>
          <w:lang w:val="sr-Cyrl-RS"/>
        </w:rPr>
        <w:t>опште</w:t>
      </w:r>
      <w:r w:rsidR="00AD56F5" w:rsidRPr="0018245D">
        <w:rPr>
          <w:rFonts w:ascii="Arial" w:hAnsi="Arial" w:cs="Arial"/>
          <w:sz w:val="21"/>
          <w:lang w:val="sr-Cyrl-RS"/>
        </w:rPr>
        <w:t xml:space="preserve"> </w:t>
      </w:r>
      <w:r w:rsidRPr="0018245D">
        <w:rPr>
          <w:rFonts w:ascii="Arial" w:hAnsi="Arial" w:cs="Arial"/>
          <w:sz w:val="21"/>
          <w:lang w:val="sr-Cyrl-RS"/>
        </w:rPr>
        <w:t xml:space="preserve">трендове расподеле који су били присутни и у </w:t>
      </w:r>
      <w:hyperlink r:id="rId7" w:history="1">
        <w:r w:rsidRPr="003D715A">
          <w:rPr>
            <w:rStyle w:val="Hyperlink"/>
            <w:rFonts w:ascii="Arial" w:hAnsi="Arial" w:cs="Arial"/>
            <w:sz w:val="21"/>
            <w:lang w:val="sr-Cyrl-RS"/>
          </w:rPr>
          <w:t>претходном периоду</w:t>
        </w:r>
      </w:hyperlink>
      <w:r w:rsidR="003D715A">
        <w:rPr>
          <w:rFonts w:ascii="Arial" w:hAnsi="Arial" w:cs="Arial"/>
          <w:sz w:val="21"/>
          <w:lang w:val="sr-Cyrl-RS"/>
        </w:rPr>
        <w:t xml:space="preserve">, </w:t>
      </w:r>
      <w:r w:rsidR="00AD56F5" w:rsidRPr="0018245D">
        <w:rPr>
          <w:rFonts w:ascii="Arial" w:hAnsi="Arial" w:cs="Arial"/>
          <w:sz w:val="21"/>
          <w:lang w:val="sr-Cyrl-RS"/>
        </w:rPr>
        <w:t xml:space="preserve">али и указује на </w:t>
      </w:r>
      <w:r w:rsidR="00E30F2F" w:rsidRPr="0018245D">
        <w:rPr>
          <w:rFonts w:ascii="Arial" w:hAnsi="Arial" w:cs="Arial"/>
          <w:sz w:val="21"/>
          <w:lang w:val="sr-Cyrl-RS"/>
        </w:rPr>
        <w:t>погоршање положаја сиромашнијег дела становништва у односу на претходну годину</w:t>
      </w:r>
      <w:r w:rsidR="0048214E" w:rsidRPr="0018245D">
        <w:rPr>
          <w:rFonts w:ascii="Arial" w:hAnsi="Arial" w:cs="Arial"/>
          <w:sz w:val="21"/>
          <w:lang w:val="sr-Cyrl-RS"/>
        </w:rPr>
        <w:t xml:space="preserve"> према више посматраних показатеља</w:t>
      </w:r>
      <w:r w:rsidR="00E30F2F" w:rsidRPr="0018245D">
        <w:rPr>
          <w:rFonts w:ascii="Arial" w:hAnsi="Arial" w:cs="Arial"/>
          <w:sz w:val="21"/>
          <w:lang w:val="sr-Cyrl-RS"/>
        </w:rPr>
        <w:t xml:space="preserve">. </w:t>
      </w:r>
    </w:p>
    <w:p w14:paraId="689AC63B" w14:textId="7AAFC838" w:rsidR="00742FCC" w:rsidRPr="0018245D" w:rsidRDefault="00CC7346" w:rsidP="00CC7346">
      <w:pPr>
        <w:spacing w:before="480" w:after="240"/>
        <w:jc w:val="both"/>
        <w:rPr>
          <w:rFonts w:ascii="Arial" w:hAnsi="Arial" w:cs="Arial"/>
          <w:b/>
          <w:sz w:val="26"/>
          <w:szCs w:val="26"/>
          <w:lang w:val="sr-Cyrl-RS"/>
        </w:rPr>
      </w:pPr>
      <w:r w:rsidRPr="0018245D">
        <w:rPr>
          <w:rFonts w:ascii="Arial" w:hAnsi="Arial" w:cs="Arial"/>
          <w:b/>
          <w:sz w:val="26"/>
          <w:szCs w:val="26"/>
          <w:lang w:val="sr-Cyrl-RS"/>
        </w:rPr>
        <w:t>П</w:t>
      </w:r>
      <w:r w:rsidR="0048214E" w:rsidRPr="0018245D">
        <w:rPr>
          <w:rFonts w:ascii="Arial" w:hAnsi="Arial" w:cs="Arial"/>
          <w:b/>
          <w:sz w:val="26"/>
          <w:szCs w:val="26"/>
          <w:lang w:val="sr-Cyrl-RS"/>
        </w:rPr>
        <w:t>росечна</w:t>
      </w:r>
      <w:r w:rsidRPr="0018245D">
        <w:rPr>
          <w:rFonts w:ascii="Arial" w:hAnsi="Arial" w:cs="Arial"/>
          <w:b/>
          <w:sz w:val="26"/>
          <w:szCs w:val="26"/>
          <w:lang w:val="sr-Cyrl-RS"/>
        </w:rPr>
        <w:t xml:space="preserve"> децилна</w:t>
      </w:r>
      <w:r w:rsidR="0048214E" w:rsidRPr="0018245D">
        <w:rPr>
          <w:rFonts w:ascii="Arial" w:hAnsi="Arial" w:cs="Arial"/>
          <w:b/>
          <w:sz w:val="26"/>
          <w:szCs w:val="26"/>
          <w:lang w:val="sr-Cyrl-RS"/>
        </w:rPr>
        <w:t xml:space="preserve"> потрошња - </w:t>
      </w:r>
      <w:r w:rsidR="0048214E" w:rsidRPr="0018245D">
        <w:rPr>
          <w:rFonts w:ascii="Arial" w:hAnsi="Arial" w:cs="Arial"/>
          <w:sz w:val="21"/>
          <w:lang w:val="sr-Cyrl-RS"/>
        </w:rPr>
        <w:t xml:space="preserve">У 2018. години, се по први пут од када се ова врста мерења спроводи, бележи </w:t>
      </w:r>
      <w:r w:rsidR="002F6E93" w:rsidRPr="0018245D">
        <w:rPr>
          <w:rFonts w:ascii="Arial" w:hAnsi="Arial" w:cs="Arial"/>
          <w:sz w:val="21"/>
          <w:lang w:val="sr-Cyrl-RS"/>
        </w:rPr>
        <w:t>номиналн</w:t>
      </w:r>
      <w:r w:rsidR="0048214E" w:rsidRPr="0018245D">
        <w:rPr>
          <w:rFonts w:ascii="Arial" w:hAnsi="Arial" w:cs="Arial"/>
          <w:sz w:val="21"/>
          <w:lang w:val="sr-Cyrl-RS"/>
        </w:rPr>
        <w:t xml:space="preserve">и </w:t>
      </w:r>
      <w:r w:rsidR="002F6E93" w:rsidRPr="0018245D">
        <w:rPr>
          <w:rFonts w:ascii="Arial" w:hAnsi="Arial" w:cs="Arial"/>
          <w:sz w:val="21"/>
          <w:lang w:val="sr-Cyrl-RS"/>
        </w:rPr>
        <w:t xml:space="preserve">пад </w:t>
      </w:r>
      <w:r w:rsidR="0048214E" w:rsidRPr="0018245D">
        <w:rPr>
          <w:rFonts w:ascii="Arial" w:hAnsi="Arial" w:cs="Arial"/>
          <w:sz w:val="21"/>
          <w:lang w:val="sr-Cyrl-RS"/>
        </w:rPr>
        <w:t xml:space="preserve">просечне </w:t>
      </w:r>
      <w:r w:rsidR="002F6E93" w:rsidRPr="0018245D">
        <w:rPr>
          <w:rFonts w:ascii="Arial" w:hAnsi="Arial" w:cs="Arial"/>
          <w:sz w:val="21"/>
          <w:lang w:val="sr-Cyrl-RS"/>
        </w:rPr>
        <w:t>потрошње првог децила.</w:t>
      </w:r>
      <w:r w:rsidR="0048214E" w:rsidRPr="0018245D">
        <w:rPr>
          <w:rFonts w:ascii="Arial" w:hAnsi="Arial" w:cs="Arial"/>
          <w:sz w:val="21"/>
          <w:lang w:val="sr-Cyrl-RS"/>
        </w:rPr>
        <w:t xml:space="preserve"> Осим првог децила, номинални пад просечне потрошње остварују првих пет децила.</w:t>
      </w:r>
    </w:p>
    <w:p w14:paraId="721690A8" w14:textId="51A7BC6C" w:rsidR="00742FCC" w:rsidRPr="0018245D" w:rsidRDefault="00742FCC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  <w:r w:rsidRP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Просечна </w:t>
      </w:r>
      <w:r w:rsid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месечна </w:t>
      </w:r>
      <w:r w:rsidRP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потрошња првог децила у 2018. години износила је 10.988 динара по потрошачкој јединици, док је просечна потрошња десетог децила била чак шест и по пута већа, односно 71.413 динара по потрошачкој јединици.</w:t>
      </w:r>
      <w:r w:rsidRPr="0018245D">
        <w:rPr>
          <w:rFonts w:ascii="Arial" w:hAnsi="Arial" w:cs="Arial"/>
          <w:sz w:val="21"/>
          <w:lang w:val="sr-Cyrl-RS"/>
        </w:rPr>
        <w:t xml:space="preserve"> </w:t>
      </w:r>
      <w:r w:rsidR="002F6E93" w:rsidRPr="0018245D">
        <w:rPr>
          <w:rFonts w:ascii="Arial" w:hAnsi="Arial" w:cs="Arial"/>
          <w:sz w:val="21"/>
          <w:lang w:val="sr-Cyrl-RS"/>
        </w:rPr>
        <w:t xml:space="preserve">Овим се однос просечне потрошње најнижег и највишег децила </w:t>
      </w:r>
      <w:r w:rsidRPr="0018245D">
        <w:rPr>
          <w:rFonts w:ascii="Arial" w:hAnsi="Arial" w:cs="Arial"/>
          <w:sz w:val="21"/>
          <w:lang w:val="sr-Cyrl-RS"/>
        </w:rPr>
        <w:t>значајно</w:t>
      </w:r>
      <w:r w:rsidR="002F6E93" w:rsidRPr="0018245D">
        <w:rPr>
          <w:rFonts w:ascii="Arial" w:hAnsi="Arial" w:cs="Arial"/>
          <w:sz w:val="21"/>
          <w:lang w:val="sr-Cyrl-RS"/>
        </w:rPr>
        <w:t xml:space="preserve"> изменио на штету најсиромашнијег децила</w:t>
      </w:r>
      <w:r w:rsidRPr="0018245D">
        <w:rPr>
          <w:rFonts w:ascii="Arial" w:hAnsi="Arial" w:cs="Arial"/>
          <w:sz w:val="21"/>
          <w:lang w:val="sr-Cyrl-RS"/>
        </w:rPr>
        <w:t xml:space="preserve">, а </w:t>
      </w:r>
      <w:r w:rsidR="0018245D">
        <w:rPr>
          <w:rFonts w:ascii="Arial" w:hAnsi="Arial" w:cs="Arial"/>
          <w:sz w:val="21"/>
          <w:lang w:val="sr-Cyrl-RS"/>
        </w:rPr>
        <w:t>неповољнији</w:t>
      </w:r>
      <w:r w:rsidRPr="0018245D">
        <w:rPr>
          <w:rFonts w:ascii="Arial" w:hAnsi="Arial" w:cs="Arial"/>
          <w:sz w:val="21"/>
          <w:lang w:val="sr-Cyrl-RS"/>
        </w:rPr>
        <w:t xml:space="preserve"> однос забележен је тек 2006. године.</w:t>
      </w:r>
      <w:r w:rsidR="00072F33" w:rsidRPr="0018245D">
        <w:rPr>
          <w:rFonts w:ascii="Arial" w:hAnsi="Arial" w:cs="Arial"/>
          <w:sz w:val="21"/>
          <w:lang w:val="sr-Cyrl-RS"/>
        </w:rPr>
        <w:t xml:space="preserve"> </w:t>
      </w:r>
    </w:p>
    <w:p w14:paraId="063ADAEC" w14:textId="74A70758" w:rsidR="007C2F5C" w:rsidRDefault="00620341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  <w:r w:rsidRPr="0018245D">
        <w:rPr>
          <w:rFonts w:ascii="Arial" w:hAnsi="Arial" w:cs="Arial"/>
          <w:sz w:val="21"/>
          <w:lang w:val="sr-Cyrl-RS"/>
        </w:rPr>
        <w:t xml:space="preserve">Горња тачка пресека најсиромашнијег децила </w:t>
      </w:r>
      <w:r w:rsidR="00D978E0" w:rsidRPr="0018245D">
        <w:rPr>
          <w:rFonts w:ascii="Arial" w:hAnsi="Arial" w:cs="Arial"/>
          <w:sz w:val="21"/>
          <w:lang w:val="sr-Cyrl-RS"/>
        </w:rPr>
        <w:t xml:space="preserve">потрошње </w:t>
      </w:r>
      <w:r w:rsidRPr="0018245D">
        <w:rPr>
          <w:rFonts w:ascii="Arial" w:hAnsi="Arial" w:cs="Arial"/>
          <w:sz w:val="21"/>
          <w:lang w:val="sr-Cyrl-RS"/>
        </w:rPr>
        <w:t>која показује највиш</w:t>
      </w:r>
      <w:r w:rsidR="00742FCC" w:rsidRPr="0018245D">
        <w:rPr>
          <w:rFonts w:ascii="Arial" w:hAnsi="Arial" w:cs="Arial"/>
          <w:sz w:val="21"/>
          <w:lang w:val="sr-Cyrl-RS"/>
        </w:rPr>
        <w:t>у</w:t>
      </w:r>
      <w:r w:rsidRPr="0018245D">
        <w:rPr>
          <w:rFonts w:ascii="Arial" w:hAnsi="Arial" w:cs="Arial"/>
          <w:sz w:val="21"/>
          <w:lang w:val="sr-Cyrl-RS"/>
        </w:rPr>
        <w:t xml:space="preserve"> еквивалентн</w:t>
      </w:r>
      <w:r w:rsidR="00742FCC" w:rsidRPr="0018245D">
        <w:rPr>
          <w:rFonts w:ascii="Arial" w:hAnsi="Arial" w:cs="Arial"/>
          <w:sz w:val="21"/>
          <w:lang w:val="sr-Cyrl-RS"/>
        </w:rPr>
        <w:t>у потрошњу</w:t>
      </w:r>
      <w:r w:rsidRPr="0018245D">
        <w:rPr>
          <w:rFonts w:ascii="Arial" w:hAnsi="Arial" w:cs="Arial"/>
          <w:sz w:val="21"/>
          <w:lang w:val="sr-Cyrl-RS"/>
        </w:rPr>
        <w:t xml:space="preserve"> у овом сегменту популације износи свега </w:t>
      </w:r>
      <w:r w:rsidR="00742FCC" w:rsidRPr="0018245D">
        <w:rPr>
          <w:rFonts w:ascii="Arial" w:hAnsi="Arial" w:cs="Arial"/>
          <w:sz w:val="21"/>
          <w:lang w:val="sr-Cyrl-RS"/>
        </w:rPr>
        <w:t>13</w:t>
      </w:r>
      <w:r w:rsidRPr="0018245D">
        <w:rPr>
          <w:rFonts w:ascii="Arial" w:hAnsi="Arial" w:cs="Arial"/>
          <w:sz w:val="21"/>
          <w:lang w:val="sr-Cyrl-RS"/>
        </w:rPr>
        <w:t>.8</w:t>
      </w:r>
      <w:r w:rsidR="00742FCC" w:rsidRPr="0018245D">
        <w:rPr>
          <w:rFonts w:ascii="Arial" w:hAnsi="Arial" w:cs="Arial"/>
          <w:sz w:val="21"/>
          <w:lang w:val="sr-Cyrl-RS"/>
        </w:rPr>
        <w:t>94</w:t>
      </w:r>
      <w:r w:rsidRPr="0018245D">
        <w:rPr>
          <w:rFonts w:ascii="Arial" w:hAnsi="Arial" w:cs="Arial"/>
          <w:sz w:val="21"/>
          <w:lang w:val="sr-Cyrl-RS"/>
        </w:rPr>
        <w:t xml:space="preserve"> динара месечно</w:t>
      </w:r>
      <w:r w:rsidR="00742FCC" w:rsidRPr="0018245D">
        <w:rPr>
          <w:rFonts w:ascii="Arial" w:hAnsi="Arial" w:cs="Arial"/>
          <w:sz w:val="21"/>
          <w:lang w:val="sr-Cyrl-RS"/>
        </w:rPr>
        <w:t>.</w:t>
      </w:r>
    </w:p>
    <w:p w14:paraId="46D1BE8B" w14:textId="77777777" w:rsidR="007C2F5C" w:rsidRPr="007C2F5C" w:rsidRDefault="007C2F5C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13"/>
          <w:szCs w:val="15"/>
          <w:lang w:val="sr-Cyrl-RS"/>
        </w:rPr>
      </w:pPr>
    </w:p>
    <w:p w14:paraId="4C4A166D" w14:textId="58F77F15" w:rsidR="00CE2A42" w:rsidRPr="0018245D" w:rsidRDefault="00CE2A42" w:rsidP="00812C52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18"/>
          <w:szCs w:val="20"/>
          <w:lang w:val="sr-Cyrl-RS"/>
        </w:rPr>
      </w:pPr>
      <w:r w:rsidRPr="0018245D">
        <w:rPr>
          <w:rFonts w:ascii="Arial" w:hAnsi="Arial" w:cs="Arial"/>
          <w:b/>
          <w:bCs/>
          <w:sz w:val="18"/>
          <w:szCs w:val="20"/>
          <w:lang w:val="sr-Cyrl-RS"/>
        </w:rPr>
        <w:t>Графикон 1. Просечна месечна потрошња по потрошачкој јединици, по децилима, РСД</w:t>
      </w:r>
    </w:p>
    <w:p w14:paraId="570EFE9F" w14:textId="78B97E68" w:rsidR="00620341" w:rsidRPr="0018245D" w:rsidRDefault="00CE2A42" w:rsidP="00812C5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1"/>
          <w:lang w:val="sr-Cyrl-RS"/>
        </w:rPr>
      </w:pPr>
      <w:r w:rsidRPr="0018245D">
        <w:rPr>
          <w:noProof/>
          <w:lang w:val="en-US" w:eastAsia="en-US" w:bidi="ar-SA"/>
        </w:rPr>
        <w:drawing>
          <wp:inline distT="0" distB="0" distL="0" distR="0" wp14:anchorId="362D27AE" wp14:editId="4D374A02">
            <wp:extent cx="5382126" cy="2269958"/>
            <wp:effectExtent l="0" t="0" r="15875" b="1651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3CFE85F-3043-8142-ABA6-22362E6855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599125C" w14:textId="77777777" w:rsidR="004554C3" w:rsidRDefault="00BB5E07" w:rsidP="00812C52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 xml:space="preserve">Извор: Анкета о потрошњи домаћинстава, Републички завод за статистику, 2018. </w:t>
      </w:r>
    </w:p>
    <w:p w14:paraId="6E73FA47" w14:textId="477A9AFF" w:rsidR="00BB5E07" w:rsidRPr="0018245D" w:rsidRDefault="00BB5E07" w:rsidP="00812C52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Посебна обрада за потребе Тима за социјално укључивање и смањење сиромаштва Владе Републике Србије</w:t>
      </w:r>
    </w:p>
    <w:p w14:paraId="4810DED2" w14:textId="77777777" w:rsidR="00812C52" w:rsidRPr="007C2F5C" w:rsidRDefault="00812C52" w:rsidP="0018245D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18"/>
          <w:szCs w:val="18"/>
          <w:lang w:val="sr-Cyrl-RS"/>
        </w:rPr>
      </w:pPr>
    </w:p>
    <w:p w14:paraId="2773F391" w14:textId="77777777" w:rsidR="007C2F5C" w:rsidRDefault="00CC7346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  <w:r w:rsidRPr="0018245D">
        <w:rPr>
          <w:rFonts w:ascii="Arial" w:hAnsi="Arial" w:cs="Arial"/>
          <w:b/>
          <w:sz w:val="26"/>
          <w:szCs w:val="26"/>
          <w:lang w:val="sr-Cyrl-RS"/>
        </w:rPr>
        <w:t>Просечни децилни приход -</w:t>
      </w:r>
      <w:r w:rsidRPr="0018245D">
        <w:rPr>
          <w:rFonts w:ascii="Arial" w:hAnsi="Arial" w:cs="Arial"/>
          <w:sz w:val="21"/>
          <w:lang w:val="sr-Cyrl-RS"/>
        </w:rPr>
        <w:t xml:space="preserve"> </w:t>
      </w:r>
      <w:r w:rsidR="00FF5B2A" w:rsidRPr="0018245D">
        <w:rPr>
          <w:rFonts w:ascii="Arial" w:hAnsi="Arial" w:cs="Arial"/>
          <w:sz w:val="21"/>
          <w:lang w:val="sr-Cyrl-RS"/>
        </w:rPr>
        <w:t>И однос просечног прихода првог и десетог децила у 2018. години креће се на штету најсиромашнијег децила, те је са 7,7 колико је износио 2017. годин</w:t>
      </w:r>
      <w:r w:rsidR="00D978E0" w:rsidRPr="0018245D">
        <w:rPr>
          <w:rFonts w:ascii="Arial" w:hAnsi="Arial" w:cs="Arial"/>
          <w:sz w:val="21"/>
          <w:lang w:val="sr-Cyrl-RS"/>
        </w:rPr>
        <w:t>и</w:t>
      </w:r>
      <w:r w:rsidR="00FF5B2A" w:rsidRPr="0018245D">
        <w:rPr>
          <w:rFonts w:ascii="Arial" w:hAnsi="Arial" w:cs="Arial"/>
          <w:sz w:val="21"/>
          <w:lang w:val="sr-Cyrl-RS"/>
        </w:rPr>
        <w:t>, повећан на девет у 2018.</w:t>
      </w:r>
      <w:r w:rsidR="0018245D">
        <w:rPr>
          <w:rFonts w:ascii="Arial" w:hAnsi="Arial" w:cs="Arial"/>
          <w:sz w:val="21"/>
          <w:lang w:val="sr-Cyrl-RS"/>
        </w:rPr>
        <w:t xml:space="preserve"> години.</w:t>
      </w:r>
      <w:r w:rsidR="00FF5B2A" w:rsidRPr="0018245D">
        <w:rPr>
          <w:rFonts w:ascii="Arial" w:hAnsi="Arial" w:cs="Arial"/>
          <w:sz w:val="21"/>
          <w:lang w:val="sr-Cyrl-RS"/>
        </w:rPr>
        <w:t xml:space="preserve"> Наиме, просеч</w:t>
      </w:r>
      <w:r w:rsidR="0018245D">
        <w:rPr>
          <w:rFonts w:ascii="Arial" w:hAnsi="Arial" w:cs="Arial"/>
          <w:sz w:val="21"/>
          <w:lang w:val="sr-Cyrl-RS"/>
        </w:rPr>
        <w:t>ан месечни</w:t>
      </w:r>
      <w:r w:rsidR="00FF5B2A" w:rsidRPr="0018245D">
        <w:rPr>
          <w:rFonts w:ascii="Arial" w:hAnsi="Arial" w:cs="Arial"/>
          <w:sz w:val="21"/>
          <w:lang w:val="sr-Cyrl-RS"/>
        </w:rPr>
        <w:t xml:space="preserve"> приход првог децила у 2018. години износи 9.453 динара по потрошачкој јединици, док просечан</w:t>
      </w:r>
      <w:r w:rsidR="0018245D">
        <w:rPr>
          <w:rFonts w:ascii="Arial" w:hAnsi="Arial" w:cs="Arial"/>
          <w:sz w:val="21"/>
          <w:lang w:val="sr-Cyrl-RS"/>
        </w:rPr>
        <w:t xml:space="preserve"> месечни</w:t>
      </w:r>
      <w:r w:rsidR="00FF5B2A" w:rsidRPr="0018245D">
        <w:rPr>
          <w:rFonts w:ascii="Arial" w:hAnsi="Arial" w:cs="Arial"/>
          <w:sz w:val="21"/>
          <w:lang w:val="sr-Cyrl-RS"/>
        </w:rPr>
        <w:t xml:space="preserve"> приход десетог децила износи</w:t>
      </w:r>
      <w:r w:rsidR="0048214E" w:rsidRPr="0018245D">
        <w:rPr>
          <w:rFonts w:ascii="Arial" w:hAnsi="Arial" w:cs="Arial"/>
          <w:sz w:val="21"/>
          <w:lang w:val="sr-Cyrl-RS"/>
        </w:rPr>
        <w:t xml:space="preserve"> </w:t>
      </w:r>
      <w:r w:rsidR="00FF5B2A" w:rsidRPr="0018245D">
        <w:rPr>
          <w:rFonts w:ascii="Arial" w:hAnsi="Arial" w:cs="Arial"/>
          <w:sz w:val="21"/>
          <w:lang w:val="sr-Cyrl-RS"/>
        </w:rPr>
        <w:t xml:space="preserve">85.186 динара по потрошачкој јединици. </w:t>
      </w:r>
    </w:p>
    <w:p w14:paraId="2E0B30CA" w14:textId="24C15203" w:rsidR="00D978E0" w:rsidRPr="0018245D" w:rsidRDefault="00D978E0" w:rsidP="00CC7346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  <w:r w:rsidRPr="0018245D">
        <w:rPr>
          <w:rFonts w:ascii="Arial" w:hAnsi="Arial" w:cs="Arial"/>
          <w:sz w:val="21"/>
          <w:lang w:val="sr-Cyrl-RS"/>
        </w:rPr>
        <w:t>Горња тачка пресека најсиромашнијег децила прихода која показује највиши еквивалентни приход у овом сегменту популације износи свега 14.440 динара месечно.</w:t>
      </w:r>
    </w:p>
    <w:p w14:paraId="2660D876" w14:textId="74D37738" w:rsidR="00D978E0" w:rsidRPr="0018245D" w:rsidRDefault="00BB5E07" w:rsidP="00CC7346">
      <w:pPr>
        <w:spacing w:before="120" w:after="24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18245D">
        <w:rPr>
          <w:rFonts w:ascii="Arial" w:hAnsi="Arial" w:cs="Arial"/>
          <w:b/>
          <w:color w:val="000000" w:themeColor="text1"/>
          <w:sz w:val="26"/>
          <w:szCs w:val="26"/>
          <w:lang w:val="sr-Cyrl-RS"/>
        </w:rPr>
        <w:lastRenderedPageBreak/>
        <w:t xml:space="preserve">Структура издатака за личну потрошњу - </w:t>
      </w:r>
      <w:r w:rsidR="00D978E0" w:rsidRPr="0018245D">
        <w:rPr>
          <w:rFonts w:ascii="Arial" w:hAnsi="Arial" w:cs="Arial"/>
          <w:sz w:val="21"/>
          <w:lang w:val="sr-Cyrl-RS"/>
        </w:rPr>
        <w:t>У</w:t>
      </w:r>
      <w:r w:rsidR="002B7FC8" w:rsidRPr="0018245D">
        <w:rPr>
          <w:rFonts w:ascii="Arial" w:hAnsi="Arial" w:cs="Arial"/>
          <w:sz w:val="21"/>
          <w:lang w:val="sr-Cyrl-RS"/>
        </w:rPr>
        <w:t xml:space="preserve"> 2018. години у</w:t>
      </w:r>
      <w:r w:rsidR="00D978E0" w:rsidRPr="0018245D">
        <w:rPr>
          <w:rFonts w:ascii="Arial" w:hAnsi="Arial" w:cs="Arial"/>
          <w:sz w:val="21"/>
          <w:lang w:val="sr-Cyrl-RS"/>
        </w:rPr>
        <w:t xml:space="preserve"> структури издатака за личну потрошњу код најсиромашнијег децила, повећава се удео потрошње за храну и безалкохолна пића у односу на </w:t>
      </w:r>
      <w:r w:rsidR="0018245D">
        <w:rPr>
          <w:rFonts w:ascii="Arial" w:hAnsi="Arial" w:cs="Arial"/>
          <w:sz w:val="21"/>
          <w:lang w:val="sr-Cyrl-RS"/>
        </w:rPr>
        <w:t xml:space="preserve">годину пре </w:t>
      </w:r>
      <w:r w:rsidR="00D978E0" w:rsidRPr="0018245D">
        <w:rPr>
          <w:rFonts w:ascii="Arial" w:hAnsi="Arial" w:cs="Arial"/>
          <w:sz w:val="21"/>
          <w:lang w:val="sr-Cyrl-RS"/>
        </w:rPr>
        <w:t xml:space="preserve">и </w:t>
      </w:r>
      <w:r w:rsidR="00D978E0" w:rsidRP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чини преко половине расхода првог децила. </w:t>
      </w:r>
      <w:r w:rsidR="002B7FC8" w:rsidRP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У односу на најбогатији децил, </w:t>
      </w:r>
      <w:r w:rsid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осим у овој ставци потрошње, </w:t>
      </w:r>
      <w:r w:rsidR="002B7FC8" w:rsidRP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остају значај</w:t>
      </w:r>
      <w:r w:rsid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не</w:t>
      </w:r>
      <w:r w:rsidR="002B7FC8" w:rsidRPr="0018245D"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разлике у уделу потрошње који се усмерава ка образовању, рекреацији и култури, транспорту, ресторанима и хотелима. </w:t>
      </w:r>
    </w:p>
    <w:p w14:paraId="48B39DBE" w14:textId="77E7428C" w:rsidR="002B7FC8" w:rsidRPr="0018245D" w:rsidRDefault="002B7FC8" w:rsidP="00CC7346">
      <w:pPr>
        <w:spacing w:after="0" w:line="216" w:lineRule="auto"/>
        <w:jc w:val="both"/>
        <w:rPr>
          <w:rFonts w:ascii="Arial" w:hAnsi="Arial" w:cs="Arial"/>
          <w:b/>
          <w:color w:val="000000" w:themeColor="text1"/>
          <w:sz w:val="18"/>
          <w:lang w:val="sr-Cyrl-RS"/>
        </w:rPr>
      </w:pPr>
      <w:r w:rsidRPr="0018245D">
        <w:rPr>
          <w:rFonts w:ascii="Arial" w:hAnsi="Arial" w:cs="Arial"/>
          <w:b/>
          <w:color w:val="000000" w:themeColor="text1"/>
          <w:sz w:val="18"/>
          <w:lang w:val="sr-Cyrl-RS"/>
        </w:rPr>
        <w:t xml:space="preserve">Графикон </w:t>
      </w:r>
      <w:r w:rsidR="00CC7346" w:rsidRPr="0018245D">
        <w:rPr>
          <w:rFonts w:ascii="Arial" w:hAnsi="Arial" w:cs="Arial"/>
          <w:b/>
          <w:color w:val="000000" w:themeColor="text1"/>
          <w:sz w:val="18"/>
          <w:lang w:val="sr-Cyrl-RS"/>
        </w:rPr>
        <w:t>2</w:t>
      </w:r>
      <w:r w:rsidRPr="0018245D">
        <w:rPr>
          <w:rFonts w:ascii="Arial" w:hAnsi="Arial" w:cs="Arial"/>
          <w:b/>
          <w:color w:val="000000" w:themeColor="text1"/>
          <w:sz w:val="18"/>
          <w:lang w:val="sr-Cyrl-RS"/>
        </w:rPr>
        <w:t xml:space="preserve">. Структура издатака за личну потрошњу првог и десетог децила, 2018. године </w:t>
      </w:r>
    </w:p>
    <w:p w14:paraId="6DEA435A" w14:textId="7C7169CF" w:rsidR="002B7FC8" w:rsidRPr="0018245D" w:rsidRDefault="002B7FC8" w:rsidP="003D715A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sr-Cyrl-RS"/>
        </w:rPr>
      </w:pPr>
      <w:r w:rsidRPr="0018245D">
        <w:rPr>
          <w:noProof/>
          <w:lang w:val="en-US" w:eastAsia="en-US"/>
        </w:rPr>
        <w:drawing>
          <wp:inline distT="0" distB="0" distL="0" distR="0" wp14:anchorId="4C217190" wp14:editId="39EAD1A9">
            <wp:extent cx="2799347" cy="2566737"/>
            <wp:effectExtent l="0" t="0" r="7620" b="1143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8FF8A7D-E992-DF4C-9DEE-01B1B4119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18245D">
        <w:rPr>
          <w:lang w:val="sr-Cyrl-RS"/>
        </w:rPr>
        <w:t xml:space="preserve"> </w:t>
      </w:r>
      <w:r w:rsidRPr="0018245D">
        <w:rPr>
          <w:noProof/>
          <w:lang w:val="en-US" w:eastAsia="en-US"/>
        </w:rPr>
        <w:drawing>
          <wp:inline distT="0" distB="0" distL="0" distR="0" wp14:anchorId="5AA600DA" wp14:editId="0F07D108">
            <wp:extent cx="2775284" cy="2564899"/>
            <wp:effectExtent l="0" t="0" r="6350" b="1333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1ED0AF5A-7EA2-EB49-8D97-DBAB175821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253758" w14:textId="77777777" w:rsidR="004554C3" w:rsidRDefault="00BB5E07" w:rsidP="003D715A">
      <w:pPr>
        <w:spacing w:after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 xml:space="preserve">Извор: Анкета о потрошњи домаћинстава, Републички завод за статистику, 2018. </w:t>
      </w:r>
    </w:p>
    <w:p w14:paraId="25F52BD4" w14:textId="755E8E00" w:rsidR="00BB5E07" w:rsidRPr="0018245D" w:rsidRDefault="00BB5E07" w:rsidP="003D715A">
      <w:pPr>
        <w:spacing w:after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Посебна обрада за потребе</w:t>
      </w:r>
      <w:r w:rsidR="004554C3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 xml:space="preserve"> </w:t>
      </w: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Тима за социјално укључивање и смањење сиромаштва Владе Републике Србиј</w:t>
      </w:r>
      <w:r w:rsidR="00CC7346"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е</w:t>
      </w:r>
    </w:p>
    <w:p w14:paraId="20B570AD" w14:textId="76E79BFF" w:rsidR="005E495C" w:rsidRPr="00126BD6" w:rsidRDefault="00BB5E07" w:rsidP="00126BD6">
      <w:pPr>
        <w:spacing w:before="480" w:after="24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18245D">
        <w:rPr>
          <w:rFonts w:ascii="Arial" w:hAnsi="Arial" w:cs="Arial"/>
          <w:b/>
          <w:color w:val="000000" w:themeColor="text1"/>
          <w:sz w:val="26"/>
          <w:szCs w:val="26"/>
          <w:lang w:val="sr-Cyrl-RS"/>
        </w:rPr>
        <w:t>Структура извора прихода</w:t>
      </w:r>
      <w:r w:rsidR="00CC7346" w:rsidRPr="0018245D">
        <w:rPr>
          <w:rFonts w:ascii="Arial" w:hAnsi="Arial" w:cs="Arial"/>
          <w:color w:val="000000" w:themeColor="text1"/>
          <w:sz w:val="26"/>
          <w:szCs w:val="26"/>
          <w:lang w:val="sr-Cyrl-RS"/>
        </w:rPr>
        <w:t xml:space="preserve"> </w:t>
      </w:r>
      <w:r w:rsidR="00E2365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додатно се погоршала у најсиромашнијем децилу у 2018. години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у односу на годину пре</w:t>
      </w:r>
      <w:r w:rsidR="00E2365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Наиме, приход од зараде 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је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главни извор прихода за</w:t>
      </w:r>
      <w:r w:rsidR="00E2365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драматично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мањи удео лица првог децила</w:t>
      </w:r>
      <w:r w:rsidR="00E2365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.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У 2017. години, код скоро трећине лица 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(32,4%)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приход од зараде је био примарни извор прихода, да би се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у 2018. години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овај 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удео смањио на једну четвртину (25,1%). Пензије остају примарни извор прихода овог децила са учешћем од 45%, а социјални трансфери са уделом од 15,3% чине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трећи по реду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део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извор 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прихода најсиромашниј</w:t>
      </w:r>
      <w:r w:rsidR="0045409E">
        <w:rPr>
          <w:rFonts w:ascii="Arial" w:hAnsi="Arial" w:cs="Arial"/>
          <w:color w:val="000000" w:themeColor="text1"/>
          <w:sz w:val="21"/>
          <w:szCs w:val="21"/>
          <w:lang w:val="sr-Cyrl-RS"/>
        </w:rPr>
        <w:t>и децил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С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оцијални трансфер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и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су примарни извор прихода за мање од пет 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5%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лица другог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децила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и за мање од 1%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лица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четврто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г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децил</w:t>
      </w:r>
      <w:r w:rsidR="00B004E5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а</w:t>
      </w:r>
      <w:r w:rsidR="005E495C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</w:p>
    <w:p w14:paraId="5E1655FC" w14:textId="08041C11" w:rsidR="00BB5E07" w:rsidRPr="0018245D" w:rsidRDefault="00BB5E07" w:rsidP="00CC7346">
      <w:pPr>
        <w:spacing w:after="0" w:line="240" w:lineRule="auto"/>
        <w:jc w:val="both"/>
        <w:rPr>
          <w:rFonts w:ascii="Arial" w:hAnsi="Arial" w:cs="Arial"/>
          <w:b/>
          <w:sz w:val="18"/>
          <w:lang w:val="sr-Cyrl-RS"/>
        </w:rPr>
      </w:pPr>
      <w:r w:rsidRPr="0018245D">
        <w:rPr>
          <w:rFonts w:ascii="Arial" w:hAnsi="Arial" w:cs="Arial"/>
          <w:b/>
          <w:sz w:val="18"/>
          <w:lang w:val="sr-Cyrl-RS"/>
        </w:rPr>
        <w:t xml:space="preserve">Табела </w:t>
      </w:r>
      <w:r w:rsidR="005E495C" w:rsidRPr="0018245D">
        <w:rPr>
          <w:rFonts w:ascii="Arial" w:hAnsi="Arial" w:cs="Arial"/>
          <w:b/>
          <w:sz w:val="18"/>
          <w:lang w:val="sr-Cyrl-RS"/>
        </w:rPr>
        <w:t>1</w:t>
      </w:r>
      <w:r w:rsidRPr="0018245D">
        <w:rPr>
          <w:rFonts w:ascii="Arial" w:hAnsi="Arial" w:cs="Arial"/>
          <w:b/>
          <w:sz w:val="18"/>
          <w:lang w:val="sr-Cyrl-RS"/>
        </w:rPr>
        <w:t>: Главни извори прихода по децилима, 2018. година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1"/>
        <w:gridCol w:w="745"/>
        <w:gridCol w:w="567"/>
        <w:gridCol w:w="567"/>
        <w:gridCol w:w="567"/>
        <w:gridCol w:w="604"/>
        <w:gridCol w:w="671"/>
        <w:gridCol w:w="590"/>
        <w:gridCol w:w="561"/>
        <w:gridCol w:w="561"/>
        <w:gridCol w:w="561"/>
        <w:gridCol w:w="505"/>
      </w:tblGrid>
      <w:tr w:rsidR="00BB5E07" w:rsidRPr="008E40DA" w14:paraId="643FF67B" w14:textId="77777777" w:rsidTr="008E40DA">
        <w:trPr>
          <w:trHeight w:val="305"/>
          <w:jc w:val="center"/>
        </w:trPr>
        <w:tc>
          <w:tcPr>
            <w:tcW w:w="2511" w:type="dxa"/>
            <w:vMerge w:val="restart"/>
            <w:shd w:val="clear" w:color="auto" w:fill="8EAADB" w:themeFill="accent1" w:themeFillTint="99"/>
            <w:noWrap/>
            <w:hideMark/>
          </w:tcPr>
          <w:p w14:paraId="19ED826F" w14:textId="77777777" w:rsidR="00BB5E07" w:rsidRPr="008E40DA" w:rsidRDefault="00BB5E07" w:rsidP="00CC7346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13"/>
                <w:szCs w:val="13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 </w:t>
            </w:r>
          </w:p>
        </w:tc>
        <w:tc>
          <w:tcPr>
            <w:tcW w:w="745" w:type="dxa"/>
            <w:vMerge w:val="restart"/>
            <w:shd w:val="clear" w:color="auto" w:fill="D9E2F3" w:themeFill="accent1" w:themeFillTint="33"/>
            <w:noWrap/>
            <w:vAlign w:val="center"/>
            <w:hideMark/>
          </w:tcPr>
          <w:p w14:paraId="47B1A6A7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iCs/>
                <w:color w:val="000000" w:themeColor="text1"/>
                <w:sz w:val="13"/>
                <w:szCs w:val="13"/>
                <w:lang w:val="sr-Cyrl-RS"/>
              </w:rPr>
              <w:t>Укупно</w:t>
            </w:r>
          </w:p>
        </w:tc>
        <w:tc>
          <w:tcPr>
            <w:tcW w:w="5754" w:type="dxa"/>
            <w:gridSpan w:val="10"/>
            <w:shd w:val="clear" w:color="auto" w:fill="D9E2F3" w:themeFill="accent1" w:themeFillTint="33"/>
            <w:vAlign w:val="center"/>
          </w:tcPr>
          <w:p w14:paraId="055335B4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color w:val="000000" w:themeColor="text1"/>
                <w:sz w:val="13"/>
                <w:szCs w:val="13"/>
                <w:lang w:val="sr-Cyrl-RS"/>
              </w:rPr>
              <w:t>Децили</w:t>
            </w:r>
          </w:p>
        </w:tc>
      </w:tr>
      <w:tr w:rsidR="00FC4258" w:rsidRPr="008E40DA" w14:paraId="1DDF951C" w14:textId="77777777" w:rsidTr="008E40DA">
        <w:trPr>
          <w:trHeight w:val="242"/>
          <w:jc w:val="center"/>
        </w:trPr>
        <w:tc>
          <w:tcPr>
            <w:tcW w:w="2511" w:type="dxa"/>
            <w:vMerge/>
            <w:shd w:val="clear" w:color="auto" w:fill="8EAADB" w:themeFill="accent1" w:themeFillTint="99"/>
            <w:noWrap/>
          </w:tcPr>
          <w:p w14:paraId="04DFC074" w14:textId="77777777" w:rsidR="00BB5E07" w:rsidRPr="008E40DA" w:rsidRDefault="00BB5E07" w:rsidP="00CC7346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</w:p>
        </w:tc>
        <w:tc>
          <w:tcPr>
            <w:tcW w:w="745" w:type="dxa"/>
            <w:vMerge/>
            <w:shd w:val="clear" w:color="auto" w:fill="D9E2F3" w:themeFill="accent1" w:themeFillTint="33"/>
            <w:noWrap/>
            <w:vAlign w:val="center"/>
          </w:tcPr>
          <w:p w14:paraId="16E6C79C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3"/>
                <w:szCs w:val="13"/>
                <w:lang w:val="sr-Cyrl-RS"/>
              </w:rPr>
            </w:pP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E845841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1.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63A9260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2.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00E41C5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3.</w:t>
            </w:r>
          </w:p>
        </w:tc>
        <w:tc>
          <w:tcPr>
            <w:tcW w:w="604" w:type="dxa"/>
            <w:shd w:val="clear" w:color="auto" w:fill="D9E2F3" w:themeFill="accent1" w:themeFillTint="33"/>
            <w:vAlign w:val="center"/>
          </w:tcPr>
          <w:p w14:paraId="2DFDF4B0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4.</w:t>
            </w:r>
          </w:p>
        </w:tc>
        <w:tc>
          <w:tcPr>
            <w:tcW w:w="671" w:type="dxa"/>
            <w:shd w:val="clear" w:color="auto" w:fill="D9E2F3" w:themeFill="accent1" w:themeFillTint="33"/>
            <w:vAlign w:val="center"/>
          </w:tcPr>
          <w:p w14:paraId="02A0E0C7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5.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70DBE7CA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6.</w:t>
            </w:r>
          </w:p>
        </w:tc>
        <w:tc>
          <w:tcPr>
            <w:tcW w:w="561" w:type="dxa"/>
            <w:shd w:val="clear" w:color="auto" w:fill="D9E2F3" w:themeFill="accent1" w:themeFillTint="33"/>
            <w:vAlign w:val="center"/>
          </w:tcPr>
          <w:p w14:paraId="3F5824C0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7.</w:t>
            </w:r>
          </w:p>
        </w:tc>
        <w:tc>
          <w:tcPr>
            <w:tcW w:w="561" w:type="dxa"/>
            <w:shd w:val="clear" w:color="auto" w:fill="D9E2F3" w:themeFill="accent1" w:themeFillTint="33"/>
            <w:vAlign w:val="center"/>
          </w:tcPr>
          <w:p w14:paraId="3386A79A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8.</w:t>
            </w:r>
          </w:p>
        </w:tc>
        <w:tc>
          <w:tcPr>
            <w:tcW w:w="561" w:type="dxa"/>
            <w:shd w:val="clear" w:color="auto" w:fill="D9E2F3" w:themeFill="accent1" w:themeFillTint="33"/>
            <w:vAlign w:val="center"/>
          </w:tcPr>
          <w:p w14:paraId="4FD88E38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9.</w:t>
            </w:r>
          </w:p>
        </w:tc>
        <w:tc>
          <w:tcPr>
            <w:tcW w:w="505" w:type="dxa"/>
            <w:shd w:val="clear" w:color="auto" w:fill="D9E2F3" w:themeFill="accent1" w:themeFillTint="33"/>
            <w:vAlign w:val="center"/>
          </w:tcPr>
          <w:p w14:paraId="41D4DAED" w14:textId="77777777" w:rsidR="00BB5E07" w:rsidRPr="008E40DA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b/>
                <w:bCs/>
                <w:color w:val="000000" w:themeColor="text1"/>
                <w:sz w:val="13"/>
                <w:szCs w:val="13"/>
                <w:lang w:val="sr-Cyrl-RS"/>
              </w:rPr>
              <w:t>10.</w:t>
            </w:r>
          </w:p>
        </w:tc>
      </w:tr>
      <w:tr w:rsidR="00FC4258" w:rsidRPr="008E40DA" w14:paraId="708E7D19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256812F0" w14:textId="18235A2A" w:rsidR="00E23655" w:rsidRPr="008E40DA" w:rsidRDefault="00E23655" w:rsidP="0045409E">
            <w:pPr>
              <w:spacing w:after="0" w:line="360" w:lineRule="auto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Приход од зараде</w:t>
            </w:r>
          </w:p>
        </w:tc>
        <w:tc>
          <w:tcPr>
            <w:tcW w:w="745" w:type="dxa"/>
            <w:noWrap/>
            <w:vAlign w:val="center"/>
            <w:hideMark/>
          </w:tcPr>
          <w:p w14:paraId="24AB4AC5" w14:textId="3DF402F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54,9</w:t>
            </w:r>
          </w:p>
        </w:tc>
        <w:tc>
          <w:tcPr>
            <w:tcW w:w="567" w:type="dxa"/>
            <w:noWrap/>
            <w:vAlign w:val="center"/>
            <w:hideMark/>
          </w:tcPr>
          <w:p w14:paraId="5A602947" w14:textId="1A20716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25,1</w:t>
            </w:r>
          </w:p>
        </w:tc>
        <w:tc>
          <w:tcPr>
            <w:tcW w:w="567" w:type="dxa"/>
            <w:noWrap/>
            <w:vAlign w:val="center"/>
            <w:hideMark/>
          </w:tcPr>
          <w:p w14:paraId="361C6E19" w14:textId="4D943EAA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41,1</w:t>
            </w:r>
          </w:p>
        </w:tc>
        <w:tc>
          <w:tcPr>
            <w:tcW w:w="567" w:type="dxa"/>
            <w:noWrap/>
            <w:vAlign w:val="center"/>
            <w:hideMark/>
          </w:tcPr>
          <w:p w14:paraId="7BB87EBC" w14:textId="488C11B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45,3</w:t>
            </w:r>
          </w:p>
        </w:tc>
        <w:tc>
          <w:tcPr>
            <w:tcW w:w="604" w:type="dxa"/>
            <w:noWrap/>
            <w:vAlign w:val="center"/>
            <w:hideMark/>
          </w:tcPr>
          <w:p w14:paraId="6FE2E157" w14:textId="0DE7A9BB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53,1</w:t>
            </w:r>
          </w:p>
        </w:tc>
        <w:tc>
          <w:tcPr>
            <w:tcW w:w="671" w:type="dxa"/>
            <w:noWrap/>
            <w:vAlign w:val="center"/>
            <w:hideMark/>
          </w:tcPr>
          <w:p w14:paraId="6DEBA7EF" w14:textId="0EBB8BAC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53,3</w:t>
            </w:r>
          </w:p>
        </w:tc>
        <w:tc>
          <w:tcPr>
            <w:tcW w:w="590" w:type="dxa"/>
            <w:noWrap/>
            <w:vAlign w:val="center"/>
            <w:hideMark/>
          </w:tcPr>
          <w:p w14:paraId="04967A3B" w14:textId="6B45986C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60,9</w:t>
            </w:r>
          </w:p>
        </w:tc>
        <w:tc>
          <w:tcPr>
            <w:tcW w:w="561" w:type="dxa"/>
            <w:noWrap/>
            <w:vAlign w:val="center"/>
            <w:hideMark/>
          </w:tcPr>
          <w:p w14:paraId="1BDBED65" w14:textId="4BB0AF78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62,7</w:t>
            </w:r>
          </w:p>
        </w:tc>
        <w:tc>
          <w:tcPr>
            <w:tcW w:w="561" w:type="dxa"/>
            <w:noWrap/>
            <w:vAlign w:val="center"/>
            <w:hideMark/>
          </w:tcPr>
          <w:p w14:paraId="5F2F0BDD" w14:textId="76B074F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64,0</w:t>
            </w:r>
          </w:p>
        </w:tc>
        <w:tc>
          <w:tcPr>
            <w:tcW w:w="561" w:type="dxa"/>
            <w:noWrap/>
            <w:vAlign w:val="center"/>
            <w:hideMark/>
          </w:tcPr>
          <w:p w14:paraId="2AE704C3" w14:textId="582286A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69,5</w:t>
            </w:r>
          </w:p>
        </w:tc>
        <w:tc>
          <w:tcPr>
            <w:tcW w:w="505" w:type="dxa"/>
            <w:noWrap/>
            <w:vAlign w:val="center"/>
            <w:hideMark/>
          </w:tcPr>
          <w:p w14:paraId="7BAE80C2" w14:textId="266FB6D3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72,7</w:t>
            </w:r>
          </w:p>
        </w:tc>
      </w:tr>
      <w:tr w:rsidR="00FC4258" w:rsidRPr="008E40DA" w14:paraId="3CDB30E3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25621435" w14:textId="7974E5BF" w:rsidR="00E23655" w:rsidRPr="008E40DA" w:rsidRDefault="00E23655" w:rsidP="0045409E">
            <w:pPr>
              <w:spacing w:after="0" w:line="360" w:lineRule="auto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Приход од самозапослености</w:t>
            </w:r>
          </w:p>
        </w:tc>
        <w:tc>
          <w:tcPr>
            <w:tcW w:w="745" w:type="dxa"/>
            <w:noWrap/>
            <w:vAlign w:val="center"/>
            <w:hideMark/>
          </w:tcPr>
          <w:p w14:paraId="3EADECED" w14:textId="51CB131F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8,8</w:t>
            </w:r>
          </w:p>
        </w:tc>
        <w:tc>
          <w:tcPr>
            <w:tcW w:w="567" w:type="dxa"/>
            <w:noWrap/>
            <w:vAlign w:val="center"/>
            <w:hideMark/>
          </w:tcPr>
          <w:p w14:paraId="3167185D" w14:textId="5B4EAA2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9,5</w:t>
            </w:r>
          </w:p>
        </w:tc>
        <w:tc>
          <w:tcPr>
            <w:tcW w:w="567" w:type="dxa"/>
            <w:noWrap/>
            <w:vAlign w:val="center"/>
            <w:hideMark/>
          </w:tcPr>
          <w:p w14:paraId="5B1E8093" w14:textId="5E11321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8,2</w:t>
            </w:r>
          </w:p>
        </w:tc>
        <w:tc>
          <w:tcPr>
            <w:tcW w:w="567" w:type="dxa"/>
            <w:noWrap/>
            <w:vAlign w:val="center"/>
            <w:hideMark/>
          </w:tcPr>
          <w:p w14:paraId="3C376A9C" w14:textId="1A9471AC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11,7</w:t>
            </w:r>
          </w:p>
        </w:tc>
        <w:tc>
          <w:tcPr>
            <w:tcW w:w="604" w:type="dxa"/>
            <w:noWrap/>
            <w:vAlign w:val="center"/>
            <w:hideMark/>
          </w:tcPr>
          <w:p w14:paraId="3501A908" w14:textId="72F31ED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10,1</w:t>
            </w:r>
          </w:p>
        </w:tc>
        <w:tc>
          <w:tcPr>
            <w:tcW w:w="671" w:type="dxa"/>
            <w:noWrap/>
            <w:vAlign w:val="center"/>
            <w:hideMark/>
          </w:tcPr>
          <w:p w14:paraId="1BBE60E4" w14:textId="5972ABA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8,2</w:t>
            </w:r>
          </w:p>
        </w:tc>
        <w:tc>
          <w:tcPr>
            <w:tcW w:w="590" w:type="dxa"/>
            <w:noWrap/>
            <w:vAlign w:val="center"/>
            <w:hideMark/>
          </w:tcPr>
          <w:p w14:paraId="7197BB27" w14:textId="7EC02FD1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10,2</w:t>
            </w:r>
          </w:p>
        </w:tc>
        <w:tc>
          <w:tcPr>
            <w:tcW w:w="561" w:type="dxa"/>
            <w:noWrap/>
            <w:vAlign w:val="center"/>
            <w:hideMark/>
          </w:tcPr>
          <w:p w14:paraId="64F3CD70" w14:textId="037FDC50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9,0</w:t>
            </w:r>
          </w:p>
        </w:tc>
        <w:tc>
          <w:tcPr>
            <w:tcW w:w="561" w:type="dxa"/>
            <w:noWrap/>
            <w:vAlign w:val="center"/>
            <w:hideMark/>
          </w:tcPr>
          <w:p w14:paraId="781D2EB4" w14:textId="66458916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7,8</w:t>
            </w:r>
          </w:p>
        </w:tc>
        <w:tc>
          <w:tcPr>
            <w:tcW w:w="561" w:type="dxa"/>
            <w:noWrap/>
            <w:vAlign w:val="center"/>
            <w:hideMark/>
          </w:tcPr>
          <w:p w14:paraId="1295BA9C" w14:textId="337BAE8E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5,5</w:t>
            </w:r>
          </w:p>
        </w:tc>
        <w:tc>
          <w:tcPr>
            <w:tcW w:w="505" w:type="dxa"/>
            <w:noWrap/>
            <w:vAlign w:val="center"/>
            <w:hideMark/>
          </w:tcPr>
          <w:p w14:paraId="1524B908" w14:textId="1348B5CD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8,2</w:t>
            </w:r>
          </w:p>
        </w:tc>
      </w:tr>
      <w:tr w:rsidR="00FC4258" w:rsidRPr="008E40DA" w14:paraId="3B0645EE" w14:textId="77777777" w:rsidTr="008E40DA">
        <w:trPr>
          <w:trHeight w:val="161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3FEF4B28" w14:textId="294AFE56" w:rsidR="00E23655" w:rsidRPr="008E40DA" w:rsidRDefault="00E23655" w:rsidP="0045409E">
            <w:pPr>
              <w:spacing w:after="0" w:line="360" w:lineRule="auto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Приход од имовине</w:t>
            </w:r>
          </w:p>
        </w:tc>
        <w:tc>
          <w:tcPr>
            <w:tcW w:w="745" w:type="dxa"/>
            <w:noWrap/>
            <w:vAlign w:val="center"/>
            <w:hideMark/>
          </w:tcPr>
          <w:p w14:paraId="5A231D70" w14:textId="27B97A0B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0,2</w:t>
            </w:r>
          </w:p>
        </w:tc>
        <w:tc>
          <w:tcPr>
            <w:tcW w:w="567" w:type="dxa"/>
            <w:noWrap/>
            <w:vAlign w:val="center"/>
            <w:hideMark/>
          </w:tcPr>
          <w:p w14:paraId="102D3EB6" w14:textId="3AE9DCD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0,1</w:t>
            </w:r>
          </w:p>
        </w:tc>
        <w:tc>
          <w:tcPr>
            <w:tcW w:w="567" w:type="dxa"/>
            <w:noWrap/>
            <w:vAlign w:val="center"/>
            <w:hideMark/>
          </w:tcPr>
          <w:p w14:paraId="32CB8A9C" w14:textId="289B7151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0,4</w:t>
            </w:r>
          </w:p>
        </w:tc>
        <w:tc>
          <w:tcPr>
            <w:tcW w:w="567" w:type="dxa"/>
            <w:noWrap/>
            <w:vAlign w:val="center"/>
            <w:hideMark/>
          </w:tcPr>
          <w:p w14:paraId="459148E1" w14:textId="1901491B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0,4</w:t>
            </w:r>
          </w:p>
        </w:tc>
        <w:tc>
          <w:tcPr>
            <w:tcW w:w="604" w:type="dxa"/>
            <w:noWrap/>
            <w:vAlign w:val="center"/>
            <w:hideMark/>
          </w:tcPr>
          <w:p w14:paraId="71A5C124" w14:textId="7B4E5515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0,2</w:t>
            </w:r>
          </w:p>
        </w:tc>
        <w:tc>
          <w:tcPr>
            <w:tcW w:w="671" w:type="dxa"/>
            <w:noWrap/>
            <w:vAlign w:val="center"/>
            <w:hideMark/>
          </w:tcPr>
          <w:p w14:paraId="7EEF875F" w14:textId="62D8CD0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  <w:tc>
          <w:tcPr>
            <w:tcW w:w="590" w:type="dxa"/>
            <w:noWrap/>
            <w:vAlign w:val="center"/>
            <w:hideMark/>
          </w:tcPr>
          <w:p w14:paraId="46294D1C" w14:textId="02EE1A88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  <w:tc>
          <w:tcPr>
            <w:tcW w:w="561" w:type="dxa"/>
            <w:noWrap/>
            <w:vAlign w:val="center"/>
            <w:hideMark/>
          </w:tcPr>
          <w:p w14:paraId="397FFFEB" w14:textId="598C121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0,4</w:t>
            </w:r>
          </w:p>
        </w:tc>
        <w:tc>
          <w:tcPr>
            <w:tcW w:w="561" w:type="dxa"/>
            <w:noWrap/>
            <w:vAlign w:val="center"/>
            <w:hideMark/>
          </w:tcPr>
          <w:p w14:paraId="7E899E8D" w14:textId="72E75A76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0,4</w:t>
            </w:r>
          </w:p>
        </w:tc>
        <w:tc>
          <w:tcPr>
            <w:tcW w:w="561" w:type="dxa"/>
            <w:noWrap/>
            <w:vAlign w:val="center"/>
            <w:hideMark/>
          </w:tcPr>
          <w:p w14:paraId="009492AB" w14:textId="2E5DC041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0,1</w:t>
            </w:r>
          </w:p>
        </w:tc>
        <w:tc>
          <w:tcPr>
            <w:tcW w:w="505" w:type="dxa"/>
            <w:noWrap/>
            <w:vAlign w:val="center"/>
            <w:hideMark/>
          </w:tcPr>
          <w:p w14:paraId="5ECB5EF2" w14:textId="27221C77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0,2</w:t>
            </w:r>
          </w:p>
        </w:tc>
      </w:tr>
      <w:tr w:rsidR="00FC4258" w:rsidRPr="008E40DA" w14:paraId="03ECD37A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7AB57C7F" w14:textId="0B9AEAF5" w:rsidR="00E23655" w:rsidRPr="008E40DA" w:rsidRDefault="00E23655" w:rsidP="0045409E">
            <w:pPr>
              <w:spacing w:after="0" w:line="360" w:lineRule="auto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Пензије</w:t>
            </w:r>
          </w:p>
        </w:tc>
        <w:tc>
          <w:tcPr>
            <w:tcW w:w="745" w:type="dxa"/>
            <w:noWrap/>
            <w:vAlign w:val="center"/>
            <w:hideMark/>
          </w:tcPr>
          <w:p w14:paraId="1F760774" w14:textId="0B7CD96D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32,0</w:t>
            </w:r>
          </w:p>
        </w:tc>
        <w:tc>
          <w:tcPr>
            <w:tcW w:w="567" w:type="dxa"/>
            <w:noWrap/>
            <w:vAlign w:val="center"/>
            <w:hideMark/>
          </w:tcPr>
          <w:p w14:paraId="0E08B59A" w14:textId="5BE293EF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45,0</w:t>
            </w:r>
          </w:p>
        </w:tc>
        <w:tc>
          <w:tcPr>
            <w:tcW w:w="567" w:type="dxa"/>
            <w:noWrap/>
            <w:vAlign w:val="center"/>
            <w:hideMark/>
          </w:tcPr>
          <w:p w14:paraId="7F2B7ADB" w14:textId="51FA44B3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44,0</w:t>
            </w:r>
          </w:p>
        </w:tc>
        <w:tc>
          <w:tcPr>
            <w:tcW w:w="567" w:type="dxa"/>
            <w:noWrap/>
            <w:vAlign w:val="center"/>
            <w:hideMark/>
          </w:tcPr>
          <w:p w14:paraId="42152050" w14:textId="39EFB507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38,5</w:t>
            </w:r>
          </w:p>
        </w:tc>
        <w:tc>
          <w:tcPr>
            <w:tcW w:w="604" w:type="dxa"/>
            <w:noWrap/>
            <w:vAlign w:val="center"/>
            <w:hideMark/>
          </w:tcPr>
          <w:p w14:paraId="3F858789" w14:textId="7FA3B1F6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34,5</w:t>
            </w:r>
          </w:p>
        </w:tc>
        <w:tc>
          <w:tcPr>
            <w:tcW w:w="671" w:type="dxa"/>
            <w:noWrap/>
            <w:vAlign w:val="center"/>
            <w:hideMark/>
          </w:tcPr>
          <w:p w14:paraId="00AD70E2" w14:textId="019D47AC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35,4</w:t>
            </w:r>
          </w:p>
        </w:tc>
        <w:tc>
          <w:tcPr>
            <w:tcW w:w="590" w:type="dxa"/>
            <w:noWrap/>
            <w:vAlign w:val="center"/>
            <w:hideMark/>
          </w:tcPr>
          <w:p w14:paraId="18D046FA" w14:textId="0831CCBE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27,0</w:t>
            </w:r>
          </w:p>
        </w:tc>
        <w:tc>
          <w:tcPr>
            <w:tcW w:w="561" w:type="dxa"/>
            <w:noWrap/>
            <w:vAlign w:val="center"/>
            <w:hideMark/>
          </w:tcPr>
          <w:p w14:paraId="093F9321" w14:textId="7E4D8158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26,9</w:t>
            </w:r>
          </w:p>
        </w:tc>
        <w:tc>
          <w:tcPr>
            <w:tcW w:w="561" w:type="dxa"/>
            <w:noWrap/>
            <w:vAlign w:val="center"/>
            <w:hideMark/>
          </w:tcPr>
          <w:p w14:paraId="66FC21B4" w14:textId="761C41C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26,3</w:t>
            </w:r>
          </w:p>
        </w:tc>
        <w:tc>
          <w:tcPr>
            <w:tcW w:w="561" w:type="dxa"/>
            <w:noWrap/>
            <w:vAlign w:val="center"/>
            <w:hideMark/>
          </w:tcPr>
          <w:p w14:paraId="71A5EE3C" w14:textId="5A81F6A1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23,9</w:t>
            </w:r>
          </w:p>
        </w:tc>
        <w:tc>
          <w:tcPr>
            <w:tcW w:w="505" w:type="dxa"/>
            <w:noWrap/>
            <w:vAlign w:val="center"/>
            <w:hideMark/>
          </w:tcPr>
          <w:p w14:paraId="05B17547" w14:textId="05994EA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17,9</w:t>
            </w:r>
          </w:p>
        </w:tc>
      </w:tr>
      <w:tr w:rsidR="00FC4258" w:rsidRPr="008E40DA" w14:paraId="1BFC3B0F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2F79A904" w14:textId="6551C3E9" w:rsidR="00E23655" w:rsidRPr="008E40DA" w:rsidRDefault="00E23655" w:rsidP="0045409E">
            <w:pPr>
              <w:spacing w:after="0" w:line="360" w:lineRule="auto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Накнада за незапосленост</w:t>
            </w:r>
          </w:p>
        </w:tc>
        <w:tc>
          <w:tcPr>
            <w:tcW w:w="745" w:type="dxa"/>
            <w:noWrap/>
            <w:vAlign w:val="center"/>
            <w:hideMark/>
          </w:tcPr>
          <w:p w14:paraId="6955D30C" w14:textId="2D1483F0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0,1</w:t>
            </w:r>
          </w:p>
        </w:tc>
        <w:tc>
          <w:tcPr>
            <w:tcW w:w="567" w:type="dxa"/>
            <w:noWrap/>
            <w:vAlign w:val="center"/>
            <w:hideMark/>
          </w:tcPr>
          <w:p w14:paraId="1C8E4FF9" w14:textId="00F80DD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0,3</w:t>
            </w:r>
          </w:p>
        </w:tc>
        <w:tc>
          <w:tcPr>
            <w:tcW w:w="567" w:type="dxa"/>
            <w:noWrap/>
            <w:vAlign w:val="center"/>
            <w:hideMark/>
          </w:tcPr>
          <w:p w14:paraId="1A9ECA6B" w14:textId="4A113FC6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0,1</w:t>
            </w:r>
          </w:p>
        </w:tc>
        <w:tc>
          <w:tcPr>
            <w:tcW w:w="567" w:type="dxa"/>
            <w:noWrap/>
            <w:vAlign w:val="center"/>
            <w:hideMark/>
          </w:tcPr>
          <w:p w14:paraId="58C81EDF" w14:textId="2F67C838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0,2</w:t>
            </w:r>
          </w:p>
        </w:tc>
        <w:tc>
          <w:tcPr>
            <w:tcW w:w="604" w:type="dxa"/>
            <w:noWrap/>
            <w:vAlign w:val="center"/>
            <w:hideMark/>
          </w:tcPr>
          <w:p w14:paraId="10552D1A" w14:textId="275FF38B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0,2</w:t>
            </w:r>
          </w:p>
        </w:tc>
        <w:tc>
          <w:tcPr>
            <w:tcW w:w="671" w:type="dxa"/>
            <w:noWrap/>
            <w:vAlign w:val="center"/>
            <w:hideMark/>
          </w:tcPr>
          <w:p w14:paraId="2EAFFAFD" w14:textId="7FD624BA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0,4</w:t>
            </w:r>
          </w:p>
        </w:tc>
        <w:tc>
          <w:tcPr>
            <w:tcW w:w="590" w:type="dxa"/>
            <w:noWrap/>
            <w:vAlign w:val="center"/>
            <w:hideMark/>
          </w:tcPr>
          <w:p w14:paraId="303C8CC2" w14:textId="5D1BCCF4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0,3</w:t>
            </w:r>
          </w:p>
        </w:tc>
        <w:tc>
          <w:tcPr>
            <w:tcW w:w="561" w:type="dxa"/>
            <w:noWrap/>
            <w:vAlign w:val="center"/>
            <w:hideMark/>
          </w:tcPr>
          <w:p w14:paraId="1DF0C7F1" w14:textId="26800B6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  <w:tc>
          <w:tcPr>
            <w:tcW w:w="561" w:type="dxa"/>
            <w:noWrap/>
            <w:vAlign w:val="center"/>
            <w:hideMark/>
          </w:tcPr>
          <w:p w14:paraId="39333DBF" w14:textId="7F5628AA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0,1</w:t>
            </w:r>
          </w:p>
        </w:tc>
        <w:tc>
          <w:tcPr>
            <w:tcW w:w="561" w:type="dxa"/>
            <w:noWrap/>
            <w:vAlign w:val="center"/>
            <w:hideMark/>
          </w:tcPr>
          <w:p w14:paraId="7DD49004" w14:textId="198ECBE0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  <w:tc>
          <w:tcPr>
            <w:tcW w:w="505" w:type="dxa"/>
            <w:noWrap/>
            <w:vAlign w:val="center"/>
            <w:hideMark/>
          </w:tcPr>
          <w:p w14:paraId="5EA5DC2B" w14:textId="4EEA878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</w:tr>
      <w:tr w:rsidR="00FC4258" w:rsidRPr="008E40DA" w14:paraId="644B26A3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</w:tcPr>
          <w:p w14:paraId="46B79999" w14:textId="7079DF88" w:rsidR="00E23655" w:rsidRPr="008E40DA" w:rsidRDefault="00E23655" w:rsidP="0019542D">
            <w:pPr>
              <w:spacing w:after="0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Социјалн</w:t>
            </w:r>
            <w:r w:rsidR="005E495C"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 xml:space="preserve">и трансфери </w:t>
            </w: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(новчана социјална помоћ, дечији додатак</w:t>
            </w:r>
            <w:r w:rsidR="008E40DA">
              <w:rPr>
                <w:rFonts w:ascii="Arial" w:hAnsi="Arial" w:cs="Arial"/>
                <w:color w:val="000000"/>
                <w:sz w:val="13"/>
                <w:szCs w:val="13"/>
                <w:lang w:val="sr-Latn-RS"/>
              </w:rPr>
              <w:t>,</w:t>
            </w: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 xml:space="preserve"> сл.)</w:t>
            </w:r>
          </w:p>
        </w:tc>
        <w:tc>
          <w:tcPr>
            <w:tcW w:w="745" w:type="dxa"/>
            <w:noWrap/>
            <w:vAlign w:val="center"/>
          </w:tcPr>
          <w:p w14:paraId="0C8C4CD7" w14:textId="180D146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2,4</w:t>
            </w:r>
          </w:p>
        </w:tc>
        <w:tc>
          <w:tcPr>
            <w:tcW w:w="567" w:type="dxa"/>
            <w:noWrap/>
            <w:vAlign w:val="center"/>
          </w:tcPr>
          <w:p w14:paraId="7D6C87CD" w14:textId="48D4B93D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15,3</w:t>
            </w:r>
          </w:p>
        </w:tc>
        <w:tc>
          <w:tcPr>
            <w:tcW w:w="567" w:type="dxa"/>
            <w:noWrap/>
            <w:vAlign w:val="center"/>
          </w:tcPr>
          <w:p w14:paraId="47A2D06A" w14:textId="23D342BC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4,5</w:t>
            </w:r>
          </w:p>
        </w:tc>
        <w:tc>
          <w:tcPr>
            <w:tcW w:w="567" w:type="dxa"/>
            <w:noWrap/>
            <w:vAlign w:val="center"/>
          </w:tcPr>
          <w:p w14:paraId="4C223F9C" w14:textId="7AB3FD83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2,5</w:t>
            </w:r>
          </w:p>
        </w:tc>
        <w:tc>
          <w:tcPr>
            <w:tcW w:w="604" w:type="dxa"/>
            <w:noWrap/>
            <w:vAlign w:val="center"/>
          </w:tcPr>
          <w:p w14:paraId="58EF19FD" w14:textId="661174E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0,5</w:t>
            </w:r>
          </w:p>
        </w:tc>
        <w:tc>
          <w:tcPr>
            <w:tcW w:w="671" w:type="dxa"/>
            <w:noWrap/>
            <w:vAlign w:val="center"/>
          </w:tcPr>
          <w:p w14:paraId="67C4E257" w14:textId="46BF054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0,3</w:t>
            </w:r>
          </w:p>
        </w:tc>
        <w:tc>
          <w:tcPr>
            <w:tcW w:w="590" w:type="dxa"/>
            <w:noWrap/>
            <w:vAlign w:val="center"/>
          </w:tcPr>
          <w:p w14:paraId="072BFEDF" w14:textId="29397D0F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0,4</w:t>
            </w:r>
          </w:p>
        </w:tc>
        <w:tc>
          <w:tcPr>
            <w:tcW w:w="561" w:type="dxa"/>
            <w:noWrap/>
            <w:vAlign w:val="center"/>
          </w:tcPr>
          <w:p w14:paraId="3DDD6DA1" w14:textId="1D7F7840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0,2</w:t>
            </w:r>
          </w:p>
        </w:tc>
        <w:tc>
          <w:tcPr>
            <w:tcW w:w="561" w:type="dxa"/>
            <w:noWrap/>
            <w:vAlign w:val="center"/>
          </w:tcPr>
          <w:p w14:paraId="72C3914D" w14:textId="3E34F3E2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  <w:t>-</w:t>
            </w:r>
          </w:p>
        </w:tc>
        <w:tc>
          <w:tcPr>
            <w:tcW w:w="561" w:type="dxa"/>
            <w:noWrap/>
            <w:vAlign w:val="center"/>
          </w:tcPr>
          <w:p w14:paraId="53AA32AE" w14:textId="107D0DA1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  <w:tc>
          <w:tcPr>
            <w:tcW w:w="505" w:type="dxa"/>
            <w:noWrap/>
            <w:vAlign w:val="center"/>
          </w:tcPr>
          <w:p w14:paraId="436712DB" w14:textId="28809BE0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-</w:t>
            </w:r>
          </w:p>
        </w:tc>
      </w:tr>
      <w:tr w:rsidR="00FC4258" w:rsidRPr="008E40DA" w14:paraId="3727B13F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36727555" w14:textId="09DFA043" w:rsidR="00E23655" w:rsidRPr="008E40DA" w:rsidRDefault="00E23655" w:rsidP="0045409E">
            <w:pPr>
              <w:spacing w:after="0" w:line="360" w:lineRule="auto"/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Остала примања</w:t>
            </w:r>
          </w:p>
        </w:tc>
        <w:tc>
          <w:tcPr>
            <w:tcW w:w="745" w:type="dxa"/>
            <w:noWrap/>
            <w:vAlign w:val="center"/>
            <w:hideMark/>
          </w:tcPr>
          <w:p w14:paraId="600C1146" w14:textId="53662FC8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1,6</w:t>
            </w:r>
          </w:p>
        </w:tc>
        <w:tc>
          <w:tcPr>
            <w:tcW w:w="567" w:type="dxa"/>
            <w:noWrap/>
            <w:vAlign w:val="center"/>
            <w:hideMark/>
          </w:tcPr>
          <w:p w14:paraId="49FF8AA3" w14:textId="505DDB1A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4,7</w:t>
            </w:r>
          </w:p>
        </w:tc>
        <w:tc>
          <w:tcPr>
            <w:tcW w:w="567" w:type="dxa"/>
            <w:noWrap/>
            <w:vAlign w:val="center"/>
            <w:hideMark/>
          </w:tcPr>
          <w:p w14:paraId="6B7671BE" w14:textId="38E97588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1,7</w:t>
            </w:r>
          </w:p>
        </w:tc>
        <w:tc>
          <w:tcPr>
            <w:tcW w:w="567" w:type="dxa"/>
            <w:noWrap/>
            <w:vAlign w:val="center"/>
            <w:hideMark/>
          </w:tcPr>
          <w:p w14:paraId="39F680C2" w14:textId="3BBDC15E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1,4</w:t>
            </w:r>
          </w:p>
        </w:tc>
        <w:tc>
          <w:tcPr>
            <w:tcW w:w="604" w:type="dxa"/>
            <w:noWrap/>
            <w:vAlign w:val="center"/>
            <w:hideMark/>
          </w:tcPr>
          <w:p w14:paraId="40B65A55" w14:textId="721D1583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1,4</w:t>
            </w:r>
          </w:p>
        </w:tc>
        <w:tc>
          <w:tcPr>
            <w:tcW w:w="671" w:type="dxa"/>
            <w:noWrap/>
            <w:vAlign w:val="center"/>
            <w:hideMark/>
          </w:tcPr>
          <w:p w14:paraId="2EB45023" w14:textId="0614E79B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2,4</w:t>
            </w:r>
          </w:p>
        </w:tc>
        <w:tc>
          <w:tcPr>
            <w:tcW w:w="590" w:type="dxa"/>
            <w:noWrap/>
            <w:vAlign w:val="center"/>
            <w:hideMark/>
          </w:tcPr>
          <w:p w14:paraId="56731FB6" w14:textId="5B1B0006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1,2</w:t>
            </w:r>
          </w:p>
        </w:tc>
        <w:tc>
          <w:tcPr>
            <w:tcW w:w="561" w:type="dxa"/>
            <w:noWrap/>
            <w:vAlign w:val="center"/>
            <w:hideMark/>
          </w:tcPr>
          <w:p w14:paraId="19947085" w14:textId="754E5CFB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0,8</w:t>
            </w:r>
          </w:p>
        </w:tc>
        <w:tc>
          <w:tcPr>
            <w:tcW w:w="561" w:type="dxa"/>
            <w:noWrap/>
            <w:vAlign w:val="center"/>
            <w:hideMark/>
          </w:tcPr>
          <w:p w14:paraId="6EAD6B44" w14:textId="14A71619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1,4</w:t>
            </w:r>
          </w:p>
        </w:tc>
        <w:tc>
          <w:tcPr>
            <w:tcW w:w="561" w:type="dxa"/>
            <w:noWrap/>
            <w:vAlign w:val="center"/>
            <w:hideMark/>
          </w:tcPr>
          <w:p w14:paraId="0DF8FE73" w14:textId="6097EB8A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1,0</w:t>
            </w:r>
          </w:p>
        </w:tc>
        <w:tc>
          <w:tcPr>
            <w:tcW w:w="505" w:type="dxa"/>
            <w:noWrap/>
            <w:vAlign w:val="center"/>
            <w:hideMark/>
          </w:tcPr>
          <w:p w14:paraId="2446473D" w14:textId="454A8EF7" w:rsidR="00E23655" w:rsidRPr="008E40DA" w:rsidRDefault="00E23655" w:rsidP="0045409E">
            <w:pPr>
              <w:spacing w:after="0" w:line="360" w:lineRule="auto"/>
              <w:jc w:val="right"/>
              <w:rPr>
                <w:rFonts w:ascii="Arial" w:hAnsi="Arial" w:cs="Arial"/>
                <w:color w:val="000000" w:themeColor="text1"/>
                <w:sz w:val="13"/>
                <w:szCs w:val="13"/>
                <w:lang w:val="sr-Cyrl-RS"/>
              </w:rPr>
            </w:pPr>
            <w:r w:rsidRPr="008E40DA">
              <w:rPr>
                <w:rFonts w:ascii="Arial" w:hAnsi="Arial" w:cs="Arial"/>
                <w:color w:val="000000"/>
                <w:sz w:val="13"/>
                <w:szCs w:val="13"/>
                <w:lang w:val="sr-Cyrl-RS"/>
              </w:rPr>
              <w:t>1,0</w:t>
            </w:r>
          </w:p>
        </w:tc>
      </w:tr>
    </w:tbl>
    <w:p w14:paraId="7F21417B" w14:textId="77777777" w:rsidR="004554C3" w:rsidRDefault="00BB5E07" w:rsidP="00CC7346">
      <w:pPr>
        <w:spacing w:after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 xml:space="preserve">Извор: Анкета о потрошњи домаћинстава, Републички завод за статистику, 2018. </w:t>
      </w:r>
    </w:p>
    <w:p w14:paraId="08C79FAC" w14:textId="1C623894" w:rsidR="00BB5E07" w:rsidRPr="0018245D" w:rsidRDefault="00BB5E07" w:rsidP="00CC7346">
      <w:pPr>
        <w:spacing w:after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Посебна обрада за потребе Тима за социјално укључивање и смањење сиромаштва Владе Републике Србије</w:t>
      </w:r>
    </w:p>
    <w:p w14:paraId="3ED67DED" w14:textId="77777777" w:rsidR="00B004E5" w:rsidRPr="0018245D" w:rsidRDefault="00B004E5" w:rsidP="00CC7346">
      <w:pPr>
        <w:spacing w:after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</w:p>
    <w:p w14:paraId="56961125" w14:textId="77777777" w:rsidR="00FC4258" w:rsidRDefault="00FC4258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2526D7A9" w14:textId="77777777" w:rsidR="00FC4258" w:rsidRDefault="00FC4258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61C82F64" w14:textId="01B18C5C" w:rsidR="00FC4258" w:rsidRDefault="00FC4258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136264AA" w14:textId="77777777" w:rsidR="0019542D" w:rsidRDefault="0019542D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135CB940" w14:textId="77777777" w:rsidR="008E40DA" w:rsidRDefault="008E40DA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3CC78F43" w14:textId="77777777" w:rsidR="00FC4258" w:rsidRDefault="00FC4258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15017F87" w14:textId="57CF0A36" w:rsidR="00B004E5" w:rsidRPr="0018245D" w:rsidRDefault="00B004E5" w:rsidP="003D715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  <w:r w:rsidRPr="0018245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lastRenderedPageBreak/>
        <w:t xml:space="preserve">Графикон </w:t>
      </w:r>
      <w:r w:rsidR="00CC7346" w:rsidRPr="0018245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>3</w:t>
      </w:r>
      <w:r w:rsidRPr="0018245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>. Главни извори прихода првог и десетог децила, 2018.</w:t>
      </w:r>
    </w:p>
    <w:p w14:paraId="2F5502EA" w14:textId="77777777" w:rsidR="00CC7346" w:rsidRPr="0018245D" w:rsidRDefault="00E23655" w:rsidP="003D71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noProof/>
          <w:lang w:val="en-US" w:eastAsia="en-US"/>
        </w:rPr>
        <w:drawing>
          <wp:inline distT="0" distB="0" distL="0" distR="0" wp14:anchorId="2891489D" wp14:editId="65970D89">
            <wp:extent cx="2342147" cy="2523490"/>
            <wp:effectExtent l="0" t="0" r="7620" b="1651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455125CA-E494-C14E-88DC-23F2557F5D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18245D">
        <w:rPr>
          <w:noProof/>
          <w:lang w:val="en-US" w:eastAsia="en-US"/>
        </w:rPr>
        <w:drawing>
          <wp:inline distT="0" distB="0" distL="0" distR="0" wp14:anchorId="2D893CF8" wp14:editId="78E979A8">
            <wp:extent cx="2341880" cy="2532480"/>
            <wp:effectExtent l="0" t="0" r="7620" b="762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C0ED5E8-65FF-2C45-80B0-2F08D28222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B0C486" w14:textId="77777777" w:rsidR="004554C3" w:rsidRDefault="00CC7346" w:rsidP="003D71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 xml:space="preserve">Извор: Анкета о потрошњи домаћинстава, Републички завод за статистику, 2018. </w:t>
      </w:r>
    </w:p>
    <w:p w14:paraId="7703640C" w14:textId="3A71ECD3" w:rsidR="00B004E5" w:rsidRDefault="00CC7346" w:rsidP="001954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Посебна обрада</w:t>
      </w:r>
      <w:r w:rsidR="004554C3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 xml:space="preserve"> </w:t>
      </w:r>
      <w:r w:rsidRPr="0018245D"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  <w:t>за потребе Тима за социјално укључивање и смањење сиромаштва Владе Републике Србије</w:t>
      </w:r>
    </w:p>
    <w:p w14:paraId="3F9738FD" w14:textId="77777777" w:rsidR="0019542D" w:rsidRPr="0019542D" w:rsidRDefault="0019542D" w:rsidP="001954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 w:themeColor="text1"/>
          <w:sz w:val="15"/>
          <w:szCs w:val="16"/>
          <w:lang w:val="sr-Cyrl-RS"/>
        </w:rPr>
      </w:pPr>
    </w:p>
    <w:p w14:paraId="62155682" w14:textId="77777777" w:rsidR="006704BB" w:rsidRDefault="00B004E5" w:rsidP="00CC7346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6A5D9E">
        <w:rPr>
          <w:rFonts w:ascii="Arial" w:eastAsia="Times New Roman" w:hAnsi="Arial" w:cs="Arial"/>
          <w:b/>
          <w:bCs/>
          <w:sz w:val="26"/>
          <w:szCs w:val="26"/>
          <w:lang w:val="sr-Cyrl-RS" w:bidi="ar-SA"/>
        </w:rPr>
        <w:t>Расподела прихода по децилима</w:t>
      </w:r>
      <w:r w:rsidR="00CC7346" w:rsidRPr="0018245D">
        <w:rPr>
          <w:rFonts w:ascii="Arial" w:eastAsia="Times New Roman" w:hAnsi="Arial" w:cs="Arial"/>
          <w:b/>
          <w:bCs/>
          <w:sz w:val="21"/>
          <w:szCs w:val="21"/>
          <w:lang w:val="sr-Cyrl-RS" w:bidi="ar-SA"/>
        </w:rPr>
        <w:t xml:space="preserve"> -</w:t>
      </w:r>
      <w:r w:rsidRPr="0018245D">
        <w:rPr>
          <w:rFonts w:ascii="Arial" w:hAnsi="Arial" w:cs="Arial"/>
          <w:b/>
          <w:color w:val="000000" w:themeColor="text1"/>
          <w:sz w:val="26"/>
          <w:szCs w:val="26"/>
          <w:lang w:val="sr-Cyrl-RS"/>
        </w:rPr>
        <w:t xml:space="preserve"> </w:t>
      </w:r>
      <w:r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У Републици Србији је 10% најсиромашнијег становништва</w:t>
      </w:r>
      <w:r w:rsidR="0048214E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додатно је</w:t>
      </w:r>
      <w:r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смањило свој удео у укупним оствареним приходима у 2018. години</w:t>
      </w:r>
      <w:r w:rsidR="0048214E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и износи 2,6%</w:t>
      </w:r>
      <w:r w:rsidR="0045409E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(наспрам 3,1% у 2017.)</w:t>
      </w:r>
      <w:r w:rsidR="0048214E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. С друге стране</w:t>
      </w:r>
      <w:r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10% најбогатијег становништва </w:t>
      </w:r>
      <w:r w:rsidR="0048214E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увећало је свој удео у укупно оствареним приходима у земљи,  </w:t>
      </w:r>
      <w:r w:rsid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и </w:t>
      </w:r>
      <w:r w:rsidR="0048214E"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износи 23,8% </w:t>
      </w:r>
      <w:r w:rsid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(наспрам 20,0% у 2017.) </w:t>
      </w:r>
      <w:r w:rsidRPr="0018245D">
        <w:rPr>
          <w:rFonts w:ascii="Arial" w:hAnsi="Arial" w:cs="Arial"/>
          <w:color w:val="000000" w:themeColor="text1"/>
          <w:sz w:val="21"/>
          <w:szCs w:val="21"/>
          <w:lang w:val="sr-Cyrl-RS"/>
        </w:rPr>
        <w:t>укупно оствареног прихода.</w:t>
      </w:r>
    </w:p>
    <w:p w14:paraId="469EA6CA" w14:textId="77777777" w:rsidR="006704BB" w:rsidRPr="0019542D" w:rsidRDefault="006704BB" w:rsidP="006704BB">
      <w:pPr>
        <w:spacing w:before="120" w:after="120"/>
        <w:jc w:val="both"/>
        <w:rPr>
          <w:rFonts w:ascii="Arial" w:hAnsi="Arial" w:cs="Arial"/>
          <w:i/>
          <w:iCs/>
          <w:color w:val="000000" w:themeColor="text1"/>
          <w:sz w:val="15"/>
          <w:szCs w:val="15"/>
        </w:rPr>
      </w:pPr>
    </w:p>
    <w:p w14:paraId="4669B8DE" w14:textId="576DFE9E" w:rsidR="00B004E5" w:rsidRPr="006704BB" w:rsidRDefault="006704BB" w:rsidP="006704BB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  <w:r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 xml:space="preserve">Графикон </w:t>
      </w:r>
      <w:r w:rsidRPr="006704BB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 xml:space="preserve">4. </w:t>
      </w:r>
      <w:r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 xml:space="preserve">Учешће појединих децила у расподели укупног прихода, % 2017. године </w:t>
      </w:r>
    </w:p>
    <w:p w14:paraId="2CDC500E" w14:textId="33DC5CBE" w:rsidR="006704BB" w:rsidRDefault="001E2405" w:rsidP="00365A57">
      <w:pPr>
        <w:spacing w:before="120" w:after="120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365A57">
        <w:rPr>
          <w:rFonts w:ascii="Arial" w:hAnsi="Arial" w:cs="Arial"/>
          <w:noProof/>
          <w:color w:val="000000" w:themeColor="text1"/>
          <w:sz w:val="21"/>
          <w:szCs w:val="21"/>
          <w:lang w:val="en-US" w:eastAsia="en-US" w:bidi="ar-SA"/>
        </w:rPr>
        <w:drawing>
          <wp:inline distT="0" distB="0" distL="0" distR="0" wp14:anchorId="5D6BD2C3" wp14:editId="23E03D67">
            <wp:extent cx="2958860" cy="2800748"/>
            <wp:effectExtent l="0" t="0" r="0" b="0"/>
            <wp:docPr id="9" name="Picture 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8860" cy="28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390F" w14:textId="5639F12C" w:rsidR="0019542D" w:rsidRDefault="001E2405" w:rsidP="00126BD6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6B201" wp14:editId="07E61B73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3289935" cy="47752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F7353" w14:textId="70DEE644" w:rsidR="006704BB" w:rsidRPr="006704BB" w:rsidRDefault="006704BB" w:rsidP="006704B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5"/>
                                <w:szCs w:val="16"/>
                                <w:lang w:val="sr-Cyrl-RS"/>
                              </w:rPr>
                            </w:pPr>
                            <w:r w:rsidRPr="0018245D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5"/>
                                <w:szCs w:val="16"/>
                                <w:lang w:val="sr-Cyrl-RS"/>
                              </w:rPr>
                              <w:t>Извор: Анкета о потрошњи домаћинстава, Републички завод за статистику, 2018. Посебна обрада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5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 w:rsidRPr="0018245D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5"/>
                                <w:szCs w:val="16"/>
                                <w:lang w:val="sr-Cyrl-RS"/>
                              </w:rPr>
                              <w:t>за потребе Тима за социјално укључивање и смањење сиромаштва Владе Републике Србије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6B20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.1pt;width:259.05pt;height:37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" filled="f" stroked="f" strokeweight=".5pt">
                <v:textbox>
                  <w:txbxContent>
                    <w:p w14:paraId="69DF7353" w14:textId="70DEE644" w:rsidR="006704BB" w:rsidRPr="006704BB" w:rsidRDefault="006704BB" w:rsidP="006704B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5"/>
                          <w:szCs w:val="16"/>
                          <w:lang w:val="sr-Cyrl-RS"/>
                        </w:rPr>
                      </w:pPr>
                      <w:r w:rsidRPr="0018245D">
                        <w:rPr>
                          <w:rFonts w:ascii="Arial" w:hAnsi="Arial" w:cs="Arial"/>
                          <w:i/>
                          <w:color w:val="000000" w:themeColor="text1"/>
                          <w:sz w:val="15"/>
                          <w:szCs w:val="16"/>
                          <w:lang w:val="sr-Cyrl-RS"/>
                        </w:rPr>
                        <w:t>Извор: Анкета о потрошњи домаћинстава, Републички завод за статистику, 2018. Посебна обрада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  <w:sz w:val="15"/>
                          <w:szCs w:val="16"/>
                          <w:lang w:val="sr-Cyrl-RS"/>
                        </w:rPr>
                        <w:t xml:space="preserve"> </w:t>
                      </w:r>
                      <w:r w:rsidRPr="0018245D">
                        <w:rPr>
                          <w:rFonts w:ascii="Arial" w:hAnsi="Arial" w:cs="Arial"/>
                          <w:i/>
                          <w:color w:val="000000" w:themeColor="text1"/>
                          <w:sz w:val="15"/>
                          <w:szCs w:val="16"/>
                          <w:lang w:val="sr-Cyrl-RS"/>
                        </w:rPr>
                        <w:t>за потребе Тима за социјално укључивање и смањење сиромаштва Владе Републике Србије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C0716" w14:textId="3C9C6F81" w:rsidR="0019542D" w:rsidRDefault="0019542D" w:rsidP="00126BD6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0D7B24EA" w14:textId="6FE2E70D" w:rsidR="001E2405" w:rsidRDefault="001E2405">
      <w:pPr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bookmarkStart w:id="0" w:name="_GoBack"/>
      <w:bookmarkEnd w:id="0"/>
    </w:p>
    <w:p w14:paraId="340F3466" w14:textId="09952557" w:rsidR="006A5D9E" w:rsidRDefault="004554C3" w:rsidP="006A5D9E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>
        <w:rPr>
          <w:rFonts w:ascii="Arial" w:hAnsi="Arial" w:cs="Arial"/>
          <w:color w:val="000000" w:themeColor="text1"/>
          <w:sz w:val="21"/>
          <w:szCs w:val="21"/>
          <w:lang w:val="sr-Cyrl-RS"/>
        </w:rPr>
        <w:t>П</w:t>
      </w:r>
      <w:r w:rsidR="00ED15E2" w:rsidRP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одатке о </w:t>
      </w:r>
      <w:r w:rsidR="00ED15E2" w:rsidRPr="00126BD6">
        <w:rPr>
          <w:rFonts w:ascii="Arial" w:eastAsia="Times New Roman" w:hAnsi="Arial" w:cs="Arial"/>
          <w:b/>
          <w:bCs/>
          <w:sz w:val="21"/>
          <w:szCs w:val="21"/>
          <w:lang w:val="sr-Cyrl-RS" w:bidi="ar-SA"/>
        </w:rPr>
        <w:t>медијалној потрошњи/приходу</w:t>
      </w:r>
      <w:r w:rsidR="00ED15E2" w:rsidRP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>, као потрошњи/приходу коју има средишњи (медијални) становник који дели расподелу потрошње на два дела</w:t>
      </w:r>
      <w:r>
        <w:rPr>
          <w:rStyle w:val="FootnoteReference"/>
          <w:rFonts w:ascii="Arial" w:hAnsi="Arial" w:cs="Arial"/>
          <w:color w:val="000000" w:themeColor="text1"/>
          <w:sz w:val="21"/>
          <w:szCs w:val="21"/>
          <w:lang w:val="sr-Cyrl-RS"/>
        </w:rPr>
        <w:footnoteReference w:id="1"/>
      </w:r>
      <w:r w:rsidR="00ED15E2" w:rsidRP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могуће је наћи </w:t>
      </w:r>
      <w:hyperlink r:id="rId14" w:history="1">
        <w:r w:rsidR="00ED15E2" w:rsidRPr="006A5D9E">
          <w:rPr>
            <w:rStyle w:val="Hyperlink"/>
            <w:rFonts w:ascii="Arial" w:hAnsi="Arial" w:cs="Arial"/>
            <w:sz w:val="21"/>
            <w:szCs w:val="21"/>
            <w:lang w:val="sr-Cyrl-RS"/>
          </w:rPr>
          <w:t xml:space="preserve">у </w:t>
        </w:r>
        <w:r w:rsidR="00ED15E2" w:rsidRPr="006A5D9E">
          <w:rPr>
            <w:rStyle w:val="Hyperlink"/>
            <w:rFonts w:ascii="Arial" w:hAnsi="Arial" w:cs="Arial"/>
            <w:sz w:val="21"/>
            <w:szCs w:val="21"/>
            <w:lang w:val="sr-Cyrl-RS"/>
          </w:rPr>
          <w:lastRenderedPageBreak/>
          <w:t>пратећим подацима</w:t>
        </w:r>
      </w:hyperlink>
      <w:r w:rsidR="00ED15E2" w:rsidRP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који чине саставни део ове публикације. </w:t>
      </w:r>
      <w:hyperlink r:id="rId15" w:history="1">
        <w:r w:rsidR="00ED15E2" w:rsidRPr="006A5D9E">
          <w:rPr>
            <w:rStyle w:val="Hyperlink"/>
            <w:rFonts w:ascii="Arial" w:hAnsi="Arial" w:cs="Arial"/>
            <w:sz w:val="21"/>
            <w:szCs w:val="21"/>
            <w:lang w:val="sr-Cyrl-RS"/>
          </w:rPr>
          <w:t>У пратећим фајловима</w:t>
        </w:r>
      </w:hyperlink>
      <w:r w:rsidR="00ED15E2" w:rsidRP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налазе се и </w:t>
      </w:r>
      <w:r w:rsidR="00ED15E2" w:rsidRPr="00126BD6">
        <w:rPr>
          <w:rFonts w:ascii="Arial" w:eastAsia="Times New Roman" w:hAnsi="Arial" w:cs="Arial"/>
          <w:b/>
          <w:bCs/>
          <w:sz w:val="21"/>
          <w:szCs w:val="21"/>
          <w:lang w:val="sr-Cyrl-RS" w:bidi="ar-SA"/>
        </w:rPr>
        <w:t>стопе раста</w:t>
      </w:r>
      <w:r w:rsidR="00ED15E2" w:rsidRPr="00126BD6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просечне и медијалне потрошње и прихода, као и информација о просечном броју чланова домаћинстава и просечан број потрошачких јединица по децилима. </w:t>
      </w:r>
    </w:p>
    <w:p w14:paraId="02830203" w14:textId="77777777" w:rsidR="006A5D9E" w:rsidRPr="006A5D9E" w:rsidRDefault="006A5D9E" w:rsidP="006A5D9E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0630A0C2" w14:textId="5E87EA6E" w:rsidR="00620341" w:rsidRPr="006A5D9E" w:rsidRDefault="00620341" w:rsidP="00CC7346">
      <w:pPr>
        <w:pStyle w:val="NormalWeb"/>
        <w:shd w:val="clear" w:color="auto" w:fill="FFFFFF"/>
        <w:jc w:val="both"/>
        <w:rPr>
          <w:rFonts w:ascii="Arial" w:hAnsi="Arial" w:cs="Arial"/>
          <w:b/>
          <w:bCs/>
          <w:lang w:val="sr-Cyrl-RS"/>
        </w:rPr>
      </w:pPr>
      <w:r w:rsidRPr="006A5D9E">
        <w:rPr>
          <w:rFonts w:ascii="Arial" w:hAnsi="Arial" w:cs="Arial"/>
          <w:b/>
          <w:bCs/>
          <w:lang w:val="sr-Cyrl-RS"/>
        </w:rPr>
        <w:t>Методолошке напомене</w:t>
      </w:r>
    </w:p>
    <w:p w14:paraId="1293F3F8" w14:textId="77777777" w:rsidR="00620341" w:rsidRPr="0018245D" w:rsidRDefault="00620341" w:rsidP="004554C3">
      <w:pPr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  <w:r w:rsidRPr="0018245D">
        <w:rPr>
          <w:rFonts w:ascii="Arial" w:hAnsi="Arial" w:cs="Arial"/>
          <w:sz w:val="21"/>
          <w:szCs w:val="21"/>
          <w:lang w:val="sr-Cyrl-RS"/>
        </w:rPr>
        <w:t xml:space="preserve">Децилна анализа је поступак којим се еквивалентна потрошња/приход свих домаћинстава или појединаца рангира од најниже ка највишој. Тако рангирана домаћинства/појединци деле се у десет </w:t>
      </w:r>
      <w:r w:rsidRPr="004554C3">
        <w:rPr>
          <w:rFonts w:ascii="Arial" w:hAnsi="Arial" w:cs="Arial"/>
          <w:color w:val="000000" w:themeColor="text1"/>
          <w:sz w:val="21"/>
          <w:szCs w:val="21"/>
          <w:lang w:val="sr-Cyrl-RS"/>
        </w:rPr>
        <w:t>једнаких</w:t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 група. У првом децилу налазе се домаћинства/појединци чија је еквивалентна потрошња/приход најнижа (најсиромашнија домаћинства), а у десетом децилу су домаћинства/појединци чија је еквивалентна потрошња/приход највиши (најбогатија домаћинства). </w:t>
      </w:r>
    </w:p>
    <w:p w14:paraId="51031B21" w14:textId="48EB282A" w:rsidR="00620341" w:rsidRPr="0018245D" w:rsidRDefault="00620341" w:rsidP="004554C3">
      <w:pPr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  <w:r w:rsidRPr="0018245D">
        <w:rPr>
          <w:rFonts w:ascii="Arial" w:hAnsi="Arial" w:cs="Arial"/>
          <w:sz w:val="21"/>
          <w:szCs w:val="21"/>
          <w:lang w:val="sr-Cyrl-RS"/>
        </w:rPr>
        <w:t>Приликом израде ове публикације децили су формирани тако да деле укупну популацију</w:t>
      </w:r>
      <w:r w:rsidRPr="0018245D">
        <w:rPr>
          <w:rStyle w:val="FootnoteReference"/>
          <w:rFonts w:ascii="Arial" w:hAnsi="Arial" w:cs="Arial"/>
          <w:sz w:val="21"/>
          <w:szCs w:val="21"/>
          <w:lang w:val="sr-Cyrl-RS"/>
        </w:rPr>
        <w:footnoteReference w:id="2"/>
      </w:r>
      <w:r w:rsidRPr="0018245D">
        <w:rPr>
          <w:rStyle w:val="FootnoteReference"/>
          <w:rFonts w:ascii="Arial" w:hAnsi="Arial" w:cs="Arial"/>
          <w:sz w:val="21"/>
          <w:szCs w:val="21"/>
          <w:lang w:val="sr-Cyrl-RS"/>
        </w:rPr>
        <w:t xml:space="preserve"> </w:t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на десет једнаких делова, док је у зависности од тога да ли се посматра еквивалентна потрошња или приход, коришћена адекватна скала еквиваленције. Примена скале еквиваленције (потрошачке јединице) омогућава поређење потрошње/прихода лица која живе у домаћинствима различитим по величини (броју чланова) преко заједничког </w:t>
      </w:r>
      <w:r w:rsidRPr="004554C3">
        <w:rPr>
          <w:rFonts w:ascii="Arial" w:hAnsi="Arial" w:cs="Arial"/>
          <w:color w:val="000000" w:themeColor="text1"/>
          <w:sz w:val="21"/>
          <w:szCs w:val="21"/>
          <w:lang w:val="sr-Cyrl-RS"/>
        </w:rPr>
        <w:t>именитеља</w:t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 – потрошачке јединице. </w:t>
      </w:r>
    </w:p>
    <w:p w14:paraId="7F349701" w14:textId="77777777" w:rsidR="00620341" w:rsidRPr="0018245D" w:rsidRDefault="00620341" w:rsidP="004554C3">
      <w:pPr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  <w:r w:rsidRPr="0018245D">
        <w:rPr>
          <w:rFonts w:ascii="Arial" w:hAnsi="Arial" w:cs="Arial"/>
          <w:sz w:val="21"/>
          <w:szCs w:val="21"/>
          <w:lang w:val="sr-Cyrl-RS"/>
        </w:rPr>
        <w:t xml:space="preserve">Приликом обрачуна еквивалентне потрошње примењује се скала еквиваленције ОЕЦД-а, према којој носилац домаћинства добија пондер 1, сваки одрасли члан домаћинства (старости 14 и више година) пондер 0,7, а деца (испод 14 година старости) пондер 0,5. Приликом обрачуна еквивалентног прихода примењује се модификована скала </w:t>
      </w:r>
      <w:r w:rsidRPr="004554C3">
        <w:rPr>
          <w:rFonts w:ascii="Arial" w:hAnsi="Arial" w:cs="Arial"/>
          <w:color w:val="000000" w:themeColor="text1"/>
          <w:sz w:val="21"/>
          <w:szCs w:val="21"/>
          <w:lang w:val="sr-Cyrl-RS"/>
        </w:rPr>
        <w:t>еквиваленције</w:t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 ОЕЦД-а, према којој носилац домаћинства добија пондер 1, сваки одрасли члан домаћинства (старости 14 и више година) пондер 0,5, а деца (испод 14 година старости) пондер 0,3. </w:t>
      </w:r>
    </w:p>
    <w:p w14:paraId="1F91EF49" w14:textId="77777777" w:rsidR="00620341" w:rsidRPr="0018245D" w:rsidRDefault="00620341" w:rsidP="004554C3">
      <w:pPr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  <w:r w:rsidRPr="0018245D">
        <w:rPr>
          <w:rFonts w:ascii="Arial" w:hAnsi="Arial" w:cs="Arial"/>
          <w:sz w:val="21"/>
          <w:szCs w:val="21"/>
          <w:lang w:val="sr-Cyrl-RS"/>
        </w:rPr>
        <w:t xml:space="preserve">У Анкети о потрошњи домаћинстава приходи домаћинстава у новцу и у натури обухватају само текућа примања свих чланова домаћинства (не обухватају се подигнути готовински, потрошачки и инвестициони </w:t>
      </w:r>
      <w:r w:rsidRPr="004554C3">
        <w:rPr>
          <w:rFonts w:ascii="Arial" w:hAnsi="Arial" w:cs="Arial"/>
          <w:color w:val="000000" w:themeColor="text1"/>
          <w:sz w:val="21"/>
          <w:szCs w:val="21"/>
          <w:lang w:val="sr-Cyrl-RS"/>
        </w:rPr>
        <w:t>кредити</w:t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, приходи од продаје покретне и непокретне имовине и сл.). Лична потрошња, такође, обухвата текућу, уобичајену потрошњу свих чланова домаћинства, што значи да се не прати инвестициона потрошња, отплата кредита, плаћени порези и сл. Према методологији Анкете, свака куповина евидентира се у пуном износу, без обзира да ли је роба/услуга купљена на кредит или плаћена у готовини. </w:t>
      </w:r>
    </w:p>
    <w:p w14:paraId="54DE2BCD" w14:textId="0F462D85" w:rsidR="00620341" w:rsidRPr="006704BB" w:rsidRDefault="00620341" w:rsidP="006704BB">
      <w:pPr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  <w:r w:rsidRPr="0018245D">
        <w:rPr>
          <w:rFonts w:ascii="Arial" w:hAnsi="Arial" w:cs="Arial"/>
          <w:sz w:val="21"/>
          <w:szCs w:val="21"/>
          <w:lang w:val="sr-Cyrl-RS"/>
        </w:rPr>
        <w:t xml:space="preserve">Значајна карактеристика ове анкете је да се не примењује билансирање (изједначавање) прихода и </w:t>
      </w:r>
      <w:r w:rsidRPr="004554C3">
        <w:rPr>
          <w:rFonts w:ascii="Arial" w:hAnsi="Arial" w:cs="Arial"/>
          <w:color w:val="000000" w:themeColor="text1"/>
          <w:sz w:val="21"/>
          <w:szCs w:val="21"/>
          <w:lang w:val="sr-Cyrl-RS"/>
        </w:rPr>
        <w:t>потрошње</w:t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 домаћинстава</w:t>
      </w:r>
      <w:r w:rsidRPr="0018245D">
        <w:rPr>
          <w:rStyle w:val="FootnoteReference"/>
          <w:rFonts w:ascii="Arial" w:hAnsi="Arial" w:cs="Arial"/>
          <w:sz w:val="21"/>
          <w:szCs w:val="21"/>
          <w:lang w:val="sr-Cyrl-RS"/>
        </w:rPr>
        <w:footnoteReference w:id="3"/>
      </w:r>
      <w:r w:rsidRPr="0018245D">
        <w:rPr>
          <w:rFonts w:ascii="Arial" w:hAnsi="Arial" w:cs="Arial"/>
          <w:sz w:val="21"/>
          <w:szCs w:val="21"/>
          <w:lang w:val="sr-Cyrl-RS"/>
        </w:rPr>
        <w:t xml:space="preserve">. </w:t>
      </w:r>
    </w:p>
    <w:p w14:paraId="745071E9" w14:textId="77777777" w:rsidR="00620341" w:rsidRPr="0018245D" w:rsidRDefault="00620341" w:rsidP="00CC7346">
      <w:pPr>
        <w:jc w:val="both"/>
        <w:rPr>
          <w:lang w:val="sr-Cyrl-RS"/>
        </w:rPr>
      </w:pPr>
    </w:p>
    <w:sectPr w:rsidR="00620341" w:rsidRPr="0018245D" w:rsidSect="0019542D">
      <w:pgSz w:w="11900" w:h="16840"/>
      <w:pgMar w:top="1216" w:right="1440" w:bottom="153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B2FA5" w14:textId="77777777" w:rsidR="00DF7CCF" w:rsidRDefault="00DF7CCF" w:rsidP="00620341">
      <w:pPr>
        <w:spacing w:after="0" w:line="240" w:lineRule="auto"/>
      </w:pPr>
      <w:r>
        <w:separator/>
      </w:r>
    </w:p>
  </w:endnote>
  <w:endnote w:type="continuationSeparator" w:id="0">
    <w:p w14:paraId="79C45032" w14:textId="77777777" w:rsidR="00DF7CCF" w:rsidRDefault="00DF7CCF" w:rsidP="0062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ouschka Pro Thin">
    <w:altName w:val="Arial"/>
    <w:charset w:val="00"/>
    <w:family w:val="modern"/>
    <w:pitch w:val="variable"/>
    <w:sig w:usb0="800002AF" w:usb1="50002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686A6" w14:textId="77777777" w:rsidR="00DF7CCF" w:rsidRDefault="00DF7CCF" w:rsidP="00620341">
      <w:pPr>
        <w:spacing w:after="0" w:line="240" w:lineRule="auto"/>
      </w:pPr>
      <w:r>
        <w:separator/>
      </w:r>
    </w:p>
  </w:footnote>
  <w:footnote w:type="continuationSeparator" w:id="0">
    <w:p w14:paraId="18AA7A2E" w14:textId="77777777" w:rsidR="00DF7CCF" w:rsidRDefault="00DF7CCF" w:rsidP="00620341">
      <w:pPr>
        <w:spacing w:after="0" w:line="240" w:lineRule="auto"/>
      </w:pPr>
      <w:r>
        <w:continuationSeparator/>
      </w:r>
    </w:p>
  </w:footnote>
  <w:footnote w:id="1">
    <w:p w14:paraId="26700AE2" w14:textId="31657811" w:rsidR="004554C3" w:rsidRPr="006A5D9E" w:rsidRDefault="004554C3">
      <w:pPr>
        <w:pStyle w:val="FootnoteText"/>
        <w:rPr>
          <w:rFonts w:ascii="Arial" w:hAnsi="Arial" w:cs="Arial"/>
          <w:sz w:val="15"/>
          <w:szCs w:val="15"/>
          <w:lang w:val="sr-Latn-RS"/>
        </w:rPr>
      </w:pPr>
      <w:r w:rsidRPr="006A5D9E">
        <w:rPr>
          <w:rStyle w:val="FootnoteReference"/>
          <w:rFonts w:ascii="Arial" w:hAnsi="Arial" w:cs="Arial"/>
          <w:szCs w:val="15"/>
        </w:rPr>
        <w:footnoteRef/>
      </w:r>
      <w:r w:rsidRPr="004554C3">
        <w:rPr>
          <w:rFonts w:ascii="Arial" w:hAnsi="Arial" w:cs="Arial"/>
          <w:sz w:val="15"/>
          <w:szCs w:val="15"/>
        </w:rPr>
        <w:t xml:space="preserve"> </w:t>
      </w:r>
      <w:r w:rsidRPr="006A5D9E">
        <w:rPr>
          <w:rFonts w:ascii="Arial" w:hAnsi="Arial" w:cs="Arial"/>
          <w:color w:val="000000" w:themeColor="text1"/>
          <w:sz w:val="16"/>
          <w:szCs w:val="15"/>
          <w:lang w:val="sr-Cyrl-RS"/>
        </w:rPr>
        <w:t>Са приближно једнаким бројем појединаца</w:t>
      </w:r>
      <w:r w:rsidR="006A5D9E" w:rsidRPr="006A5D9E">
        <w:rPr>
          <w:rFonts w:ascii="Arial" w:hAnsi="Arial" w:cs="Arial"/>
          <w:color w:val="000000" w:themeColor="text1"/>
          <w:sz w:val="16"/>
          <w:szCs w:val="15"/>
          <w:lang w:val="sr-Latn-RS"/>
        </w:rPr>
        <w:t>.</w:t>
      </w:r>
    </w:p>
  </w:footnote>
  <w:footnote w:id="2">
    <w:p w14:paraId="1DE98787" w14:textId="77777777" w:rsidR="00620341" w:rsidRPr="003D715A" w:rsidRDefault="00620341" w:rsidP="00620341">
      <w:pPr>
        <w:pStyle w:val="FootnoteText"/>
        <w:rPr>
          <w:sz w:val="16"/>
          <w:szCs w:val="16"/>
          <w:lang w:val="sr-Cyrl-RS"/>
        </w:rPr>
      </w:pPr>
      <w:r w:rsidRPr="006A5D9E">
        <w:rPr>
          <w:rStyle w:val="FootnoteReference"/>
          <w:szCs w:val="16"/>
        </w:rPr>
        <w:footnoteRef/>
      </w:r>
      <w:r w:rsidRPr="006A5D9E">
        <w:rPr>
          <w:szCs w:val="16"/>
        </w:rPr>
        <w:t xml:space="preserve"> </w:t>
      </w:r>
      <w:r w:rsidRPr="006A5D9E">
        <w:rPr>
          <w:rFonts w:ascii="Arial" w:hAnsi="Arial" w:cs="Arial"/>
          <w:sz w:val="16"/>
          <w:szCs w:val="15"/>
          <w:lang w:val="sr-Cyrl-RS"/>
        </w:rPr>
        <w:t>У зависности од одлуке, могуће је формирање децила тако да деле укупан број домаћинстава на десет једнаких делова. Овај приступ је коришћен приликом израде Билтена Анкете о потрошњи домаћинстава Републичког завода за статистику.</w:t>
      </w:r>
    </w:p>
  </w:footnote>
  <w:footnote w:id="3">
    <w:p w14:paraId="3BFB0A6A" w14:textId="1CBBE9DD" w:rsidR="00620341" w:rsidRPr="006A5D9E" w:rsidRDefault="00620341" w:rsidP="00620341">
      <w:pPr>
        <w:pStyle w:val="FootnoteText"/>
        <w:rPr>
          <w:sz w:val="22"/>
          <w:lang w:val="sr-Cyrl-RS"/>
        </w:rPr>
      </w:pPr>
      <w:r w:rsidRPr="006A5D9E">
        <w:rPr>
          <w:rStyle w:val="FootnoteReference"/>
          <w:szCs w:val="16"/>
        </w:rPr>
        <w:footnoteRef/>
      </w:r>
      <w:r w:rsidRPr="006A5D9E">
        <w:rPr>
          <w:szCs w:val="16"/>
        </w:rPr>
        <w:t xml:space="preserve"> </w:t>
      </w:r>
      <w:r w:rsidRPr="006A5D9E">
        <w:rPr>
          <w:rFonts w:ascii="Arial" w:hAnsi="Arial" w:cs="Arial"/>
          <w:sz w:val="16"/>
          <w:szCs w:val="15"/>
          <w:lang w:val="sr-Cyrl-RS"/>
        </w:rPr>
        <w:t>Више о методологији Анкете о потрошњи домаћинстава на</w:t>
      </w:r>
      <w:r w:rsidR="006A5D9E" w:rsidRPr="006A5D9E">
        <w:rPr>
          <w:rFonts w:ascii="Arial" w:hAnsi="Arial" w:cs="Arial"/>
          <w:sz w:val="16"/>
          <w:szCs w:val="15"/>
          <w:lang w:val="sr-Latn-RS"/>
        </w:rPr>
        <w:t>:</w:t>
      </w:r>
      <w:r w:rsidRPr="006A5D9E">
        <w:rPr>
          <w:rFonts w:ascii="Arial" w:hAnsi="Arial" w:cs="Arial"/>
          <w:sz w:val="16"/>
          <w:szCs w:val="15"/>
          <w:lang w:val="sr-Cyrl-RS"/>
        </w:rPr>
        <w:t xml:space="preserve"> </w:t>
      </w:r>
      <w:hyperlink r:id="rId1" w:history="1">
        <w:r w:rsidRPr="006A5D9E">
          <w:rPr>
            <w:rStyle w:val="Hyperlink"/>
            <w:rFonts w:ascii="Arial" w:hAnsi="Arial" w:cs="Arial"/>
            <w:sz w:val="16"/>
            <w:szCs w:val="15"/>
            <w:lang w:val="sr-Cyrl-RS"/>
          </w:rPr>
          <w:t>http://www.stat.gov.rs/sr-latn/istrazivanja/methodology-and-documents/?a=01&amp;s=0101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41"/>
    <w:rsid w:val="00072F33"/>
    <w:rsid w:val="000C2503"/>
    <w:rsid w:val="001108F6"/>
    <w:rsid w:val="00126BD6"/>
    <w:rsid w:val="0018245D"/>
    <w:rsid w:val="0019542D"/>
    <w:rsid w:val="001E2405"/>
    <w:rsid w:val="002062A5"/>
    <w:rsid w:val="002B7FC8"/>
    <w:rsid w:val="002F6E93"/>
    <w:rsid w:val="00303489"/>
    <w:rsid w:val="00340BD8"/>
    <w:rsid w:val="00365A57"/>
    <w:rsid w:val="003D715A"/>
    <w:rsid w:val="0045409E"/>
    <w:rsid w:val="004554C3"/>
    <w:rsid w:val="0045673A"/>
    <w:rsid w:val="00460E47"/>
    <w:rsid w:val="0048214E"/>
    <w:rsid w:val="004D31A7"/>
    <w:rsid w:val="005E495C"/>
    <w:rsid w:val="00620341"/>
    <w:rsid w:val="00623CA4"/>
    <w:rsid w:val="006704BB"/>
    <w:rsid w:val="006A5D9E"/>
    <w:rsid w:val="006B439B"/>
    <w:rsid w:val="00742FCC"/>
    <w:rsid w:val="007C2F5C"/>
    <w:rsid w:val="00812C52"/>
    <w:rsid w:val="008A2AAE"/>
    <w:rsid w:val="008E40DA"/>
    <w:rsid w:val="00A67FA9"/>
    <w:rsid w:val="00AB2C0D"/>
    <w:rsid w:val="00AD56F5"/>
    <w:rsid w:val="00B004E5"/>
    <w:rsid w:val="00B26045"/>
    <w:rsid w:val="00BA1D3F"/>
    <w:rsid w:val="00BB5E07"/>
    <w:rsid w:val="00CC7346"/>
    <w:rsid w:val="00CE2A42"/>
    <w:rsid w:val="00D76220"/>
    <w:rsid w:val="00D978E0"/>
    <w:rsid w:val="00DE1A9F"/>
    <w:rsid w:val="00DF7CCF"/>
    <w:rsid w:val="00E042C0"/>
    <w:rsid w:val="00E23655"/>
    <w:rsid w:val="00E30F2F"/>
    <w:rsid w:val="00ED15E2"/>
    <w:rsid w:val="00F56BE7"/>
    <w:rsid w:val="00F61D51"/>
    <w:rsid w:val="00F85EDC"/>
    <w:rsid w:val="00FC4258"/>
    <w:rsid w:val="00FC7898"/>
    <w:rsid w:val="00F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0E210"/>
  <w15:chartTrackingRefBased/>
  <w15:docId w15:val="{CA3BB62E-D4AF-1042-BF18-1AE18B79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341"/>
    <w:pPr>
      <w:spacing w:after="200" w:line="276" w:lineRule="auto"/>
    </w:pPr>
    <w:rPr>
      <w:sz w:val="22"/>
      <w:szCs w:val="22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0341"/>
    <w:pPr>
      <w:widowControl w:val="0"/>
      <w:autoSpaceDE w:val="0"/>
      <w:autoSpaceDN w:val="0"/>
      <w:adjustRightInd w:val="0"/>
      <w:spacing w:before="120" w:after="120" w:line="240" w:lineRule="auto"/>
      <w:jc w:val="both"/>
    </w:pPr>
    <w:rPr>
      <w:rFonts w:ascii="Houschka Pro Thin" w:eastAsia="MS Mincho" w:hAnsi="Houschka Pro Thin" w:cs="Times New Roman"/>
      <w:color w:val="365F91"/>
      <w:sz w:val="72"/>
      <w:szCs w:val="72"/>
      <w:shd w:val="clear" w:color="auto" w:fill="FFFFFF"/>
      <w:lang w:val="sr-Latn-CS" w:eastAsia="x-none" w:bidi="ar-SA"/>
    </w:rPr>
  </w:style>
  <w:style w:type="character" w:customStyle="1" w:styleId="TitleChar">
    <w:name w:val="Title Char"/>
    <w:basedOn w:val="DefaultParagraphFont"/>
    <w:link w:val="Title"/>
    <w:uiPriority w:val="10"/>
    <w:rsid w:val="00620341"/>
    <w:rPr>
      <w:rFonts w:ascii="Houschka Pro Thin" w:eastAsia="MS Mincho" w:hAnsi="Houschka Pro Thin" w:cs="Times New Roman"/>
      <w:color w:val="365F91"/>
      <w:sz w:val="72"/>
      <w:szCs w:val="72"/>
      <w:lang w:val="sr-Latn-CS" w:eastAsia="x-none"/>
    </w:rPr>
  </w:style>
  <w:style w:type="paragraph" w:styleId="NormalWeb">
    <w:name w:val="Normal (Web)"/>
    <w:basedOn w:val="Normal"/>
    <w:uiPriority w:val="99"/>
    <w:unhideWhenUsed/>
    <w:rsid w:val="00620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03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0341"/>
    <w:rPr>
      <w:sz w:val="20"/>
      <w:szCs w:val="20"/>
      <w:lang w:val="en-GB" w:eastAsia="en-GB" w:bidi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2034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0341"/>
    <w:rPr>
      <w:color w:val="0000FF"/>
      <w:u w:val="single"/>
    </w:rPr>
  </w:style>
  <w:style w:type="table" w:styleId="TableGrid">
    <w:name w:val="Table Grid"/>
    <w:basedOn w:val="TableNormal"/>
    <w:uiPriority w:val="39"/>
    <w:rsid w:val="00BB5E07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45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45D"/>
    <w:rPr>
      <w:rFonts w:ascii="Times New Roman" w:hAnsi="Times New Roman" w:cs="Times New Roman"/>
      <w:sz w:val="18"/>
      <w:szCs w:val="18"/>
      <w:lang w:val="en-GB" w:eastAsia="en-GB" w:bidi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71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0E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5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://socijalnoukljucivanje.gov.rs/wp-content/uploads/2019/06/Decilna_analiza_potrosnje_i_prihoda_u_Republici_Srbiji_lat.pdf" TargetMode="Externa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hyperlink" Target="http://socijalnoukljucivanje.gov.rs/wp-content/uploads/2020/07/Decilna_analiza-2006-2018-SIPRU_lat_web.xlsx" TargetMode="Externa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socijalnoukljucivanje.gov.rs/wp-content/uploads/2020/07/Decilna_analiza-2006-2018-SIPRU_lat_web.xlsx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t.gov.rs/sr-latn/istrazivanja/methodology-and-documents/?a=01&amp;s=010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biljanamladenovic\Library\Application%20Support\Microsoft\Decilna_analiza-objedinjeni_podaci-SIPRU_lat%20web(AutoRecovered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43040329468475"/>
          <c:y val="3.7181201406427972E-2"/>
          <c:w val="0.76763151634277516"/>
          <c:h val="0.7056632904238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Sheet1!$H$3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Sheet1!$I$2:$S$2</c:f>
              <c:strCache>
                <c:ptCount val="11"/>
                <c:pt idx="0">
                  <c:v>Укупно</c:v>
                </c:pt>
                <c:pt idx="1">
                  <c:v>1. 
децил</c:v>
                </c:pt>
                <c:pt idx="2">
                  <c:v>2.
децил</c:v>
                </c:pt>
                <c:pt idx="3">
                  <c:v>3. 
децил</c:v>
                </c:pt>
                <c:pt idx="4">
                  <c:v>4. 
децил</c:v>
                </c:pt>
                <c:pt idx="5">
                  <c:v>5. 
децил</c:v>
                </c:pt>
                <c:pt idx="6">
                  <c:v>6. 
децил</c:v>
                </c:pt>
                <c:pt idx="7">
                  <c:v>7. 
децил</c:v>
                </c:pt>
                <c:pt idx="8">
                  <c:v>8. 
децил</c:v>
                </c:pt>
                <c:pt idx="9">
                  <c:v>9. 
децил</c:v>
                </c:pt>
                <c:pt idx="10">
                  <c:v>10. 
децил</c:v>
                </c:pt>
              </c:strCache>
            </c:strRef>
          </c:cat>
          <c:val>
            <c:numRef>
              <c:f>Sheet1!$I$3:$S$3</c:f>
              <c:numCache>
                <c:formatCode>0</c:formatCode>
                <c:ptCount val="11"/>
                <c:pt idx="0">
                  <c:v>29056</c:v>
                </c:pt>
                <c:pt idx="1">
                  <c:v>11161</c:v>
                </c:pt>
                <c:pt idx="2">
                  <c:v>15894</c:v>
                </c:pt>
                <c:pt idx="3">
                  <c:v>19162</c:v>
                </c:pt>
                <c:pt idx="4">
                  <c:v>21857</c:v>
                </c:pt>
                <c:pt idx="5">
                  <c:v>24687</c:v>
                </c:pt>
                <c:pt idx="6">
                  <c:v>27722</c:v>
                </c:pt>
                <c:pt idx="7">
                  <c:v>30839</c:v>
                </c:pt>
                <c:pt idx="8">
                  <c:v>34928</c:v>
                </c:pt>
                <c:pt idx="9">
                  <c:v>41517</c:v>
                </c:pt>
                <c:pt idx="10">
                  <c:v>62800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8E-B248-899A-53165C039C65}"/>
            </c:ext>
          </c:extLst>
        </c:ser>
        <c:ser>
          <c:idx val="1"/>
          <c:order val="1"/>
          <c:tx>
            <c:strRef>
              <c:f>Sheet1!$H$4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10"/>
              <c:tx>
                <c:rich>
                  <a:bodyPr/>
                  <a:lstStyle/>
                  <a:p>
                    <a:fld id="{C7530CBE-96EB-744D-8ACB-14FDACA5C4CD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0B0-5B40-93B9-2D1F66C189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Sheet1!$I$2:$S$2</c:f>
              <c:strCache>
                <c:ptCount val="11"/>
                <c:pt idx="0">
                  <c:v>Укупно</c:v>
                </c:pt>
                <c:pt idx="1">
                  <c:v>1. 
децил</c:v>
                </c:pt>
                <c:pt idx="2">
                  <c:v>2.
децил</c:v>
                </c:pt>
                <c:pt idx="3">
                  <c:v>3. 
децил</c:v>
                </c:pt>
                <c:pt idx="4">
                  <c:v>4. 
децил</c:v>
                </c:pt>
                <c:pt idx="5">
                  <c:v>5. 
децил</c:v>
                </c:pt>
                <c:pt idx="6">
                  <c:v>6. 
децил</c:v>
                </c:pt>
                <c:pt idx="7">
                  <c:v>7. 
децил</c:v>
                </c:pt>
                <c:pt idx="8">
                  <c:v>8. 
децил</c:v>
                </c:pt>
                <c:pt idx="9">
                  <c:v>9. 
децил</c:v>
                </c:pt>
                <c:pt idx="10">
                  <c:v>10. 
децил</c:v>
                </c:pt>
              </c:strCache>
            </c:strRef>
          </c:cat>
          <c:val>
            <c:numRef>
              <c:f>Sheet1!$I$4:$S$4</c:f>
              <c:numCache>
                <c:formatCode>0</c:formatCode>
                <c:ptCount val="11"/>
                <c:pt idx="0">
                  <c:v>30474</c:v>
                </c:pt>
                <c:pt idx="1">
                  <c:v>10988</c:v>
                </c:pt>
                <c:pt idx="2">
                  <c:v>15687</c:v>
                </c:pt>
                <c:pt idx="3">
                  <c:v>18790</c:v>
                </c:pt>
                <c:pt idx="4">
                  <c:v>21596</c:v>
                </c:pt>
                <c:pt idx="5">
                  <c:v>24645</c:v>
                </c:pt>
                <c:pt idx="6">
                  <c:v>27865</c:v>
                </c:pt>
                <c:pt idx="7">
                  <c:v>31825</c:v>
                </c:pt>
                <c:pt idx="8">
                  <c:v>36982</c:v>
                </c:pt>
                <c:pt idx="9">
                  <c:v>44947</c:v>
                </c:pt>
                <c:pt idx="10">
                  <c:v>71413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8E-B248-899A-53165C039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8"/>
        <c:axId val="-1712767872"/>
        <c:axId val="-1712767328"/>
      </c:barChart>
      <c:catAx>
        <c:axId val="-17127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>
                <a:solidFill>
                  <a:schemeClr val="tx1"/>
                </a:solidFill>
              </a:defRPr>
            </a:pPr>
            <a:endParaRPr lang="en-US"/>
          </a:p>
        </c:txPr>
        <c:crossAx val="-1712767328"/>
        <c:crosses val="autoZero"/>
        <c:auto val="1"/>
        <c:lblAlgn val="ctr"/>
        <c:lblOffset val="100"/>
        <c:noMultiLvlLbl val="0"/>
      </c:catAx>
      <c:valAx>
        <c:axId val="-171276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20000"/>
                  <a:lumOff val="80000"/>
                </a:schemeClr>
              </a:solidFill>
              <a:round/>
            </a:ln>
            <a:effectLst/>
          </c:spPr>
        </c:majorGridlines>
        <c:numFmt formatCode="#,##0;[Red]#,##0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17127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Cyrl-RS" sz="900" b="1"/>
              <a:t>Први децил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553480338068527"/>
          <c:y val="0.16990458453950061"/>
          <c:w val="0.70410563470854703"/>
          <c:h val="0.76786185991966238"/>
        </c:manualLayout>
      </c:layout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E4-4745-B676-FC61C04B20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E4-4745-B676-FC61C04B20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E4-4745-B676-FC61C04B20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2E4-4745-B676-FC61C04B20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2E4-4745-B676-FC61C04B204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2E4-4745-B676-FC61C04B204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2E4-4745-B676-FC61C04B204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2E4-4745-B676-FC61C04B204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2E4-4745-B676-FC61C04B204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2E4-4745-B676-FC61C04B204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2E4-4745-B676-FC61C04B2045}"/>
              </c:ext>
            </c:extLst>
          </c:dPt>
          <c:dPt>
            <c:idx val="11"/>
            <c:bubble3D val="0"/>
            <c:spPr>
              <a:solidFill>
                <a:schemeClr val="bg2">
                  <a:lumMod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2E4-4745-B676-FC61C04B2045}"/>
              </c:ext>
            </c:extLst>
          </c:dPt>
          <c:dLbls>
            <c:dLbl>
              <c:idx val="1"/>
              <c:layout>
                <c:manualLayout>
                  <c:x val="8.5089029252468668E-2"/>
                  <c:y val="-8.1623270619129063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E4-4745-B676-FC61C04B2045}"/>
                </c:ext>
              </c:extLst>
            </c:dLbl>
            <c:dLbl>
              <c:idx val="4"/>
              <c:layout>
                <c:manualLayout>
                  <c:x val="1.7921960072595281E-3"/>
                  <c:y val="3.70012506477264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E4-4745-B676-FC61C04B2045}"/>
                </c:ext>
              </c:extLst>
            </c:dLbl>
            <c:dLbl>
              <c:idx val="5"/>
              <c:layout>
                <c:manualLayout>
                  <c:x val="5.2398466639038542E-2"/>
                  <c:y val="1.45425785161317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2E4-4745-B676-FC61C04B2045}"/>
                </c:ext>
              </c:extLst>
            </c:dLbl>
            <c:dLbl>
              <c:idx val="6"/>
              <c:layout>
                <c:manualLayout>
                  <c:x val="-4.4734341283564599E-2"/>
                  <c:y val="3.97312471022764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2E4-4745-B676-FC61C04B2045}"/>
                </c:ext>
              </c:extLst>
            </c:dLbl>
            <c:dLbl>
              <c:idx val="7"/>
              <c:layout>
                <c:manualLayout>
                  <c:x val="-9.5487803135315893E-2"/>
                  <c:y val="2.69598351170972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2E4-4745-B676-FC61C04B2045}"/>
                </c:ext>
              </c:extLst>
            </c:dLbl>
            <c:dLbl>
              <c:idx val="11"/>
              <c:layout>
                <c:manualLayout>
                  <c:x val="7.1212326907412429E-2"/>
                  <c:y val="0.164522513607125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2E4-4745-B676-FC61C04B2045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Sheet1!$F$38:$F$49</c:f>
              <c:strCache>
                <c:ptCount val="12"/>
                <c:pt idx="0">
                  <c:v>Храна и безалкохолна пића </c:v>
                </c:pt>
                <c:pt idx="1">
                  <c:v>Алкохолна пића и дуван </c:v>
                </c:pt>
                <c:pt idx="2">
                  <c:v>Одећа и обућа </c:v>
                </c:pt>
                <c:pt idx="3">
                  <c:v>Становање, вода, ел. енергија, гас и остала горива </c:v>
                </c:pt>
                <c:pt idx="4">
                  <c:v>Опрема за стан и текуће одржавање </c:v>
                </c:pt>
                <c:pt idx="5">
                  <c:v>Здравље </c:v>
                </c:pt>
                <c:pt idx="6">
                  <c:v>Транспорт </c:v>
                </c:pt>
                <c:pt idx="7">
                  <c:v>Комуникације </c:v>
                </c:pt>
                <c:pt idx="8">
                  <c:v>Рекреација и култура </c:v>
                </c:pt>
                <c:pt idx="9">
                  <c:v>Образовање </c:v>
                </c:pt>
                <c:pt idx="10">
                  <c:v>Ресторани и хотели </c:v>
                </c:pt>
                <c:pt idx="11">
                  <c:v>Остали лични предмети и остале услуге</c:v>
                </c:pt>
              </c:strCache>
            </c:strRef>
          </c:cat>
          <c:val>
            <c:numRef>
              <c:f>Sheet1!$G$38:$G$49</c:f>
              <c:numCache>
                <c:formatCode>0.0</c:formatCode>
                <c:ptCount val="12"/>
                <c:pt idx="0">
                  <c:v>50.2</c:v>
                </c:pt>
                <c:pt idx="1">
                  <c:v>4.4000000000000004</c:v>
                </c:pt>
                <c:pt idx="2">
                  <c:v>3.7</c:v>
                </c:pt>
                <c:pt idx="3">
                  <c:v>15.2</c:v>
                </c:pt>
                <c:pt idx="4">
                  <c:v>4.2</c:v>
                </c:pt>
                <c:pt idx="5">
                  <c:v>4.9000000000000004</c:v>
                </c:pt>
                <c:pt idx="6">
                  <c:v>3.7</c:v>
                </c:pt>
                <c:pt idx="7">
                  <c:v>5.5</c:v>
                </c:pt>
                <c:pt idx="8">
                  <c:v>1.6</c:v>
                </c:pt>
                <c:pt idx="9">
                  <c:v>0.4</c:v>
                </c:pt>
                <c:pt idx="10">
                  <c:v>1.3</c:v>
                </c:pt>
                <c:pt idx="1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E2E4-4745-B676-FC61C04B204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r>
              <a:rPr lang="sr-Cyrl-RS" sz="900" b="1">
                <a:solidFill>
                  <a:schemeClr val="tx1"/>
                </a:solidFill>
                <a:latin typeface="+mj-lt"/>
              </a:rPr>
              <a:t>Десети</a:t>
            </a:r>
            <a:r>
              <a:rPr lang="sr-Cyrl-RS" sz="900" b="1" baseline="0">
                <a:solidFill>
                  <a:schemeClr val="tx1"/>
                </a:solidFill>
                <a:latin typeface="+mj-lt"/>
              </a:rPr>
              <a:t> децил</a:t>
            </a:r>
            <a:endParaRPr lang="en-GB" sz="900" b="1">
              <a:solidFill>
                <a:schemeClr val="tx1"/>
              </a:solidFill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740932269049894"/>
          <c:y val="0.15864338448161919"/>
          <c:w val="0.70539397106254176"/>
          <c:h val="0.7632016968416210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B8-CD41-B5B1-1A9D5AFF7D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B8-CD41-B5B1-1A9D5AFF7D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B8-CD41-B5B1-1A9D5AFF7DA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B8-CD41-B5B1-1A9D5AFF7D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B8-CD41-B5B1-1A9D5AFF7DA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1B8-CD41-B5B1-1A9D5AFF7DA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1B8-CD41-B5B1-1A9D5AFF7DA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1B8-CD41-B5B1-1A9D5AFF7DA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C1B8-CD41-B5B1-1A9D5AFF7DA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C1B8-CD41-B5B1-1A9D5AFF7DA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C1B8-CD41-B5B1-1A9D5AFF7DAA}"/>
              </c:ext>
            </c:extLst>
          </c:dPt>
          <c:dPt>
            <c:idx val="11"/>
            <c:bubble3D val="0"/>
            <c:spPr>
              <a:solidFill>
                <a:schemeClr val="bg2">
                  <a:lumMod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C1B8-CD41-B5B1-1A9D5AFF7DAA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B8-CD41-B5B1-1A9D5AFF7DAA}"/>
                </c:ext>
              </c:extLst>
            </c:dLbl>
            <c:dLbl>
              <c:idx val="3"/>
              <c:layout>
                <c:manualLayout>
                  <c:x val="4.1414259716391288E-2"/>
                  <c:y val="-3.589802574504967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B8-CD41-B5B1-1A9D5AFF7DAA}"/>
                </c:ext>
              </c:extLst>
            </c:dLbl>
            <c:dLbl>
              <c:idx val="7"/>
              <c:layout>
                <c:manualLayout>
                  <c:x val="2.9748283752860411E-3"/>
                  <c:y val="1.246118065397804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1B8-CD41-B5B1-1A9D5AFF7DAA}"/>
                </c:ext>
              </c:extLst>
            </c:dLbl>
            <c:dLbl>
              <c:idx val="8"/>
              <c:layout>
                <c:manualLayout>
                  <c:x val="6.1933548352222562E-2"/>
                  <c:y val="5.41901499747540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1B8-CD41-B5B1-1A9D5AFF7DAA}"/>
                </c:ext>
              </c:extLst>
            </c:dLbl>
            <c:dLbl>
              <c:idx val="9"/>
              <c:layout>
                <c:manualLayout>
                  <c:x val="-6.9927386079028445E-2"/>
                  <c:y val="9.349004684639722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1B8-CD41-B5B1-1A9D5AFF7DAA}"/>
                </c:ext>
              </c:extLst>
            </c:dLbl>
            <c:dLbl>
              <c:idx val="10"/>
              <c:layout>
                <c:manualLayout>
                  <c:x val="-9.20967945368385E-2"/>
                  <c:y val="-3.54944800010917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1B8-CD41-B5B1-1A9D5AFF7DAA}"/>
                </c:ext>
              </c:extLst>
            </c:dLbl>
            <c:dLbl>
              <c:idx val="11"/>
              <c:layout>
                <c:manualLayout>
                  <c:x val="7.1811023622047207E-2"/>
                  <c:y val="0.134934389700420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1B8-CD41-B5B1-1A9D5AFF7D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Sheet1!$N$38:$N$49</c:f>
              <c:strCache>
                <c:ptCount val="12"/>
                <c:pt idx="0">
                  <c:v>Храна и безалкохолна пића </c:v>
                </c:pt>
                <c:pt idx="1">
                  <c:v>Алкохолна пића и дуван </c:v>
                </c:pt>
                <c:pt idx="2">
                  <c:v>Одећа и обућа </c:v>
                </c:pt>
                <c:pt idx="3">
                  <c:v>Становање, вода, ел. енергија, гас и остала горива </c:v>
                </c:pt>
                <c:pt idx="4">
                  <c:v>Опрема за стан и текуће одржавање </c:v>
                </c:pt>
                <c:pt idx="5">
                  <c:v>Здравље </c:v>
                </c:pt>
                <c:pt idx="6">
                  <c:v>Транспорт </c:v>
                </c:pt>
                <c:pt idx="7">
                  <c:v>Комуникације </c:v>
                </c:pt>
                <c:pt idx="8">
                  <c:v>Рекреација и култура </c:v>
                </c:pt>
                <c:pt idx="9">
                  <c:v>Образовање </c:v>
                </c:pt>
                <c:pt idx="10">
                  <c:v>Ресторани и хотели </c:v>
                </c:pt>
                <c:pt idx="11">
                  <c:v>Остали лични предмети и остале услуге</c:v>
                </c:pt>
              </c:strCache>
            </c:strRef>
          </c:cat>
          <c:val>
            <c:numRef>
              <c:f>Sheet1!$O$38:$O$49</c:f>
              <c:numCache>
                <c:formatCode>0.0</c:formatCode>
                <c:ptCount val="12"/>
                <c:pt idx="0">
                  <c:v>32.9</c:v>
                </c:pt>
                <c:pt idx="1">
                  <c:v>5</c:v>
                </c:pt>
                <c:pt idx="2">
                  <c:v>6.1</c:v>
                </c:pt>
                <c:pt idx="3">
                  <c:v>13.5</c:v>
                </c:pt>
                <c:pt idx="4">
                  <c:v>4.0999999999999996</c:v>
                </c:pt>
                <c:pt idx="5">
                  <c:v>4.4000000000000004</c:v>
                </c:pt>
                <c:pt idx="6">
                  <c:v>11.8</c:v>
                </c:pt>
                <c:pt idx="7">
                  <c:v>3.3</c:v>
                </c:pt>
                <c:pt idx="8">
                  <c:v>7.3</c:v>
                </c:pt>
                <c:pt idx="9">
                  <c:v>2.1</c:v>
                </c:pt>
                <c:pt idx="10">
                  <c:v>3.8</c:v>
                </c:pt>
                <c:pt idx="11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C1B8-CD41-B5B1-1A9D5AFF7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RS" sz="900" b="1"/>
              <a:t>1. децил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1672764205445192E-2"/>
          <c:y val="0.15618409425042304"/>
          <c:w val="0.90661395480904694"/>
          <c:h val="0.82243163238213746"/>
        </c:manualLayout>
      </c:layout>
      <c:pieChart>
        <c:varyColors val="1"/>
        <c:ser>
          <c:idx val="0"/>
          <c:order val="0"/>
          <c:tx>
            <c:strRef>
              <c:f>Sheet1!$B$72</c:f>
              <c:strCache>
                <c:ptCount val="1"/>
                <c:pt idx="0">
                  <c:v>1. 
децил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56-184C-98F4-FA889E1FD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56-184C-98F4-FA889E1FD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56-184C-98F4-FA889E1FD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56-184C-98F4-FA889E1FD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F56-184C-98F4-FA889E1FD4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F56-184C-98F4-FA889E1FD40A}"/>
              </c:ext>
            </c:extLst>
          </c:dPt>
          <c:dPt>
            <c:idx val="6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F56-184C-98F4-FA889E1FD40A}"/>
              </c:ext>
            </c:extLst>
          </c:dPt>
          <c:dLbls>
            <c:dLbl>
              <c:idx val="4"/>
              <c:layout>
                <c:manualLayout>
                  <c:x val="3.5630958751515285E-2"/>
                  <c:y val="-0.224372595096473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F56-184C-98F4-FA889E1FD40A}"/>
                </c:ext>
              </c:extLst>
            </c:dLbl>
            <c:dLbl>
              <c:idx val="6"/>
              <c:layout>
                <c:manualLayout>
                  <c:x val="5.940764685967647E-2"/>
                  <c:y val="6.542546235570578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19437619437617"/>
                      <c:h val="0.120657357972892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F56-184C-98F4-FA889E1FD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Sheet1!$A$73:$A$79</c:f>
              <c:strCache>
                <c:ptCount val="7"/>
                <c:pt idx="0">
                  <c:v>Приход од зараде</c:v>
                </c:pt>
                <c:pt idx="1">
                  <c:v>Приход од самозапослености</c:v>
                </c:pt>
                <c:pt idx="2">
                  <c:v>Приход од имовине</c:v>
                </c:pt>
                <c:pt idx="3">
                  <c:v>Пензије</c:v>
                </c:pt>
                <c:pt idx="4">
                  <c:v>Накнада за незапосленост</c:v>
                </c:pt>
                <c:pt idx="5">
                  <c:v>Социјални трансфери</c:v>
                </c:pt>
                <c:pt idx="6">
                  <c:v>Остала примања</c:v>
                </c:pt>
              </c:strCache>
            </c:strRef>
          </c:cat>
          <c:val>
            <c:numRef>
              <c:f>Sheet1!$B$73:$B$79</c:f>
              <c:numCache>
                <c:formatCode>0.0</c:formatCode>
                <c:ptCount val="7"/>
                <c:pt idx="0">
                  <c:v>25.1</c:v>
                </c:pt>
                <c:pt idx="1">
                  <c:v>9.5</c:v>
                </c:pt>
                <c:pt idx="2">
                  <c:v>0.1</c:v>
                </c:pt>
                <c:pt idx="3">
                  <c:v>45</c:v>
                </c:pt>
                <c:pt idx="4">
                  <c:v>0.3</c:v>
                </c:pt>
                <c:pt idx="5">
                  <c:v>15.3</c:v>
                </c:pt>
                <c:pt idx="6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F56-184C-98F4-FA889E1FD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RS" sz="900" b="1"/>
              <a:t>10. децил</a:t>
            </a:r>
          </a:p>
        </c:rich>
      </c:tx>
      <c:layout>
        <c:manualLayout>
          <c:xMode val="edge"/>
          <c:yMode val="edge"/>
          <c:x val="0.38472039557961984"/>
          <c:y val="2.0382165605095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8636821698806E-2"/>
          <c:y val="0.1590117859471388"/>
          <c:w val="0.87360069687601427"/>
          <c:h val="0.82085079492451984"/>
        </c:manualLayout>
      </c:layout>
      <c:pieChart>
        <c:varyColors val="1"/>
        <c:ser>
          <c:idx val="0"/>
          <c:order val="0"/>
          <c:tx>
            <c:strRef>
              <c:f>Sheet1!$E$72</c:f>
              <c:strCache>
                <c:ptCount val="1"/>
                <c:pt idx="0">
                  <c:v>10. 
децил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3F-8B4A-906D-65F01B690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3F-8B4A-906D-65F01B690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3F-8B4A-906D-65F01B690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3F-8B4A-906D-65F01B690A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B3F-8B4A-906D-65F01B690A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B3F-8B4A-906D-65F01B690A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B3F-8B4A-906D-65F01B690ADE}"/>
              </c:ext>
            </c:extLst>
          </c:dPt>
          <c:dLbls>
            <c:dLbl>
              <c:idx val="1"/>
              <c:layout>
                <c:manualLayout>
                  <c:x val="7.3983081968333128E-2"/>
                  <c:y val="4.40989016500325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3F-8B4A-906D-65F01B690ADE}"/>
                </c:ext>
              </c:extLst>
            </c:dLbl>
            <c:dLbl>
              <c:idx val="2"/>
              <c:layout>
                <c:manualLayout>
                  <c:x val="3.8368746477189268E-3"/>
                  <c:y val="-8.05581022117458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3F-8B4A-906D-65F01B690AD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3F-8B4A-906D-65F01B690A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Sheet1!$D$73:$D$79</c:f>
              <c:strCache>
                <c:ptCount val="7"/>
                <c:pt idx="0">
                  <c:v>Приход од зараде</c:v>
                </c:pt>
                <c:pt idx="1">
                  <c:v>Приход од самозапослености</c:v>
                </c:pt>
                <c:pt idx="2">
                  <c:v>Приход од имовине</c:v>
                </c:pt>
                <c:pt idx="3">
                  <c:v>Пензије</c:v>
                </c:pt>
                <c:pt idx="4">
                  <c:v>Накнада за незапосленост</c:v>
                </c:pt>
                <c:pt idx="5">
                  <c:v>Социјални трансфери</c:v>
                </c:pt>
                <c:pt idx="6">
                  <c:v>Остала примања</c:v>
                </c:pt>
              </c:strCache>
            </c:strRef>
          </c:cat>
          <c:val>
            <c:numRef>
              <c:f>Sheet1!$E$73:$E$79</c:f>
              <c:numCache>
                <c:formatCode>0.0</c:formatCode>
                <c:ptCount val="7"/>
                <c:pt idx="0">
                  <c:v>72.7</c:v>
                </c:pt>
                <c:pt idx="1">
                  <c:v>8.1999999999999993</c:v>
                </c:pt>
                <c:pt idx="2">
                  <c:v>0.2</c:v>
                </c:pt>
                <c:pt idx="3">
                  <c:v>17.899999999999999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B3F-8B4A-906D-65F01B690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3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E952D9-BF04-4ABB-A1F3-4666B874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Mladenovic</dc:creator>
  <cp:keywords/>
  <dc:description/>
  <cp:lastModifiedBy>Jovana Ilic</cp:lastModifiedBy>
  <cp:revision>6</cp:revision>
  <cp:lastPrinted>2020-07-06T13:48:00Z</cp:lastPrinted>
  <dcterms:created xsi:type="dcterms:W3CDTF">2020-07-06T13:43:00Z</dcterms:created>
  <dcterms:modified xsi:type="dcterms:W3CDTF">2020-07-06T13:58:00Z</dcterms:modified>
</cp:coreProperties>
</file>