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650A7" w14:textId="2C91B929" w:rsidR="00620341" w:rsidRPr="008167D4" w:rsidRDefault="00337231" w:rsidP="00460E47">
      <w:pPr>
        <w:pStyle w:val="Title"/>
        <w:jc w:val="center"/>
        <w:rPr>
          <w:rFonts w:ascii="Arial" w:hAnsi="Arial" w:cs="Arial"/>
          <w:noProof/>
          <w:color w:val="2F5496" w:themeColor="accent1" w:themeShade="BF"/>
          <w:lang w:val="sr-Latn-RS"/>
        </w:rPr>
      </w:pPr>
      <w:r w:rsidRPr="008167D4">
        <w:rPr>
          <w:rFonts w:ascii="Arial" w:hAnsi="Arial" w:cs="Arial"/>
          <w:noProof/>
          <w:color w:val="2F5496" w:themeColor="accent1" w:themeShade="BF"/>
          <w:sz w:val="44"/>
          <w:szCs w:val="44"/>
          <w:lang w:val="sr-Latn-RS"/>
        </w:rPr>
        <w:t>DECILNA RASPODELA POTROŠNjE I PRIHODA U REPUBLICI SRBIJI U 2018. GODINI</w:t>
      </w:r>
    </w:p>
    <w:p w14:paraId="08311E97" w14:textId="77777777" w:rsidR="00620341" w:rsidRPr="008167D4" w:rsidRDefault="00620341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</w:p>
    <w:p w14:paraId="4F171C48" w14:textId="1D9289CC" w:rsidR="0048214E" w:rsidRPr="008167D4" w:rsidRDefault="00337231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  <w:r w:rsidRPr="008167D4">
        <w:rPr>
          <w:rFonts w:ascii="Arial" w:hAnsi="Arial" w:cs="Arial"/>
          <w:noProof/>
          <w:sz w:val="21"/>
          <w:lang w:val="sr-Latn-RS"/>
        </w:rPr>
        <w:t xml:space="preserve">Decilna raspodela potrošnje/prihoda u 2018. godini, potvrđuje opšte trendove raspodele koji su bili prisutni i u </w:t>
      </w:r>
      <w:hyperlink r:id="rId7" w:history="1">
        <w:r w:rsidRPr="008167D4">
          <w:rPr>
            <w:rStyle w:val="Hyperlink"/>
            <w:rFonts w:ascii="Arial" w:hAnsi="Arial" w:cs="Arial"/>
            <w:noProof/>
            <w:sz w:val="21"/>
            <w:lang w:val="sr-Latn-RS"/>
          </w:rPr>
          <w:t>prethodnom periodu</w:t>
        </w:r>
      </w:hyperlink>
      <w:r w:rsidRPr="008167D4">
        <w:rPr>
          <w:rFonts w:ascii="Arial" w:hAnsi="Arial" w:cs="Arial"/>
          <w:noProof/>
          <w:sz w:val="21"/>
          <w:lang w:val="sr-Latn-RS"/>
        </w:rPr>
        <w:t>, ali i ukazuje na pogoršanje položaja siromašnijeg dela stanovništva u odnosu na prethodnu godinu prema više posmatranih pokazatelja.</w:t>
      </w:r>
    </w:p>
    <w:p w14:paraId="689AC63B" w14:textId="0E4C9A0F" w:rsidR="00742FCC" w:rsidRPr="008167D4" w:rsidRDefault="00337231" w:rsidP="00CC7346">
      <w:pPr>
        <w:spacing w:before="480" w:after="240"/>
        <w:jc w:val="both"/>
        <w:rPr>
          <w:rFonts w:ascii="Arial" w:hAnsi="Arial" w:cs="Arial"/>
          <w:b/>
          <w:noProof/>
          <w:sz w:val="26"/>
          <w:szCs w:val="26"/>
          <w:lang w:val="sr-Latn-RS"/>
        </w:rPr>
      </w:pPr>
      <w:r w:rsidRPr="008167D4">
        <w:rPr>
          <w:rFonts w:ascii="Arial" w:hAnsi="Arial" w:cs="Arial"/>
          <w:b/>
          <w:noProof/>
          <w:sz w:val="26"/>
          <w:szCs w:val="26"/>
          <w:lang w:val="sr-Latn-RS"/>
        </w:rPr>
        <w:t>Prosečna decilna potrošnja</w:t>
      </w:r>
      <w:r w:rsidR="0048214E" w:rsidRPr="008167D4">
        <w:rPr>
          <w:rFonts w:ascii="Arial" w:hAnsi="Arial" w:cs="Arial"/>
          <w:b/>
          <w:noProof/>
          <w:sz w:val="26"/>
          <w:szCs w:val="26"/>
          <w:lang w:val="sr-Latn-RS"/>
        </w:rPr>
        <w:t xml:space="preserve"> - </w:t>
      </w:r>
      <w:r w:rsidRPr="008167D4">
        <w:rPr>
          <w:rFonts w:ascii="Arial" w:hAnsi="Arial" w:cs="Arial"/>
          <w:noProof/>
          <w:sz w:val="21"/>
          <w:lang w:val="sr-Latn-RS"/>
        </w:rPr>
        <w:t>U 2018. godini, se po prvi put od kada se ova vrsta merenja sprovodi, beleži nominalni pad prosečne potrošnje prvog decila. Osim prvog decila, nominalni pad prosečne potrošnje ostvaruju prvih pet decila.</w:t>
      </w:r>
    </w:p>
    <w:p w14:paraId="721690A8" w14:textId="31D464CF" w:rsidR="00742FCC" w:rsidRPr="008167D4" w:rsidRDefault="00337231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  <w:r w:rsidRPr="008167D4">
        <w:rPr>
          <w:rFonts w:ascii="Arial" w:hAnsi="Arial" w:cs="Arial"/>
          <w:noProof/>
          <w:sz w:val="21"/>
          <w:lang w:val="sr-Latn-RS"/>
        </w:rPr>
        <w:t>Prosečna mesečna potrošnja prvog decila u 2018. godini iznosila je 10.988 dinara po potrošačkoj jedinici, dok je prosečna potrošnja desetog decila bila čak šest i po puta veća, odnosno 71.413 dinara po potrošačkoj jedinici. Ovim se odnos prosečne potrošnje najnižeg i najvišeg decila značajno izmenio na štetu najsiromašnijeg decila, a nepovoljniji odnos zabeležen je tek 2006. godine</w:t>
      </w:r>
      <w:r w:rsidR="00742FCC" w:rsidRPr="008167D4">
        <w:rPr>
          <w:rFonts w:ascii="Arial" w:hAnsi="Arial" w:cs="Arial"/>
          <w:noProof/>
          <w:sz w:val="21"/>
          <w:lang w:val="sr-Latn-RS"/>
        </w:rPr>
        <w:t>.</w:t>
      </w:r>
      <w:r w:rsidR="00072F33" w:rsidRPr="008167D4">
        <w:rPr>
          <w:rFonts w:ascii="Arial" w:hAnsi="Arial" w:cs="Arial"/>
          <w:noProof/>
          <w:sz w:val="21"/>
          <w:lang w:val="sr-Latn-RS"/>
        </w:rPr>
        <w:t xml:space="preserve"> </w:t>
      </w:r>
    </w:p>
    <w:p w14:paraId="4BFD7F71" w14:textId="686688B9" w:rsidR="00620341" w:rsidRDefault="00337231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  <w:r w:rsidRPr="008167D4">
        <w:rPr>
          <w:rFonts w:ascii="Arial" w:hAnsi="Arial" w:cs="Arial"/>
          <w:noProof/>
          <w:sz w:val="21"/>
          <w:lang w:val="sr-Latn-RS"/>
        </w:rPr>
        <w:t>Gornja tačka preseka najsiromašnijeg decila potrošnje koja pokazuje najvišu ekvivalentnu potrošnju u ovom segmentu populacije iznosi svega 13.894 dinara mesečno</w:t>
      </w:r>
      <w:r w:rsidR="00742FCC" w:rsidRPr="008167D4">
        <w:rPr>
          <w:rFonts w:ascii="Arial" w:hAnsi="Arial" w:cs="Arial"/>
          <w:noProof/>
          <w:sz w:val="21"/>
          <w:lang w:val="sr-Latn-RS"/>
        </w:rPr>
        <w:t>.</w:t>
      </w:r>
    </w:p>
    <w:p w14:paraId="4098023D" w14:textId="77777777" w:rsidR="00317F25" w:rsidRPr="00317F25" w:rsidRDefault="00317F25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13"/>
          <w:szCs w:val="15"/>
          <w:lang w:val="sr-Latn-RS"/>
        </w:rPr>
      </w:pPr>
    </w:p>
    <w:p w14:paraId="4C4A166D" w14:textId="7A360C56" w:rsidR="00CE2A42" w:rsidRDefault="00337231" w:rsidP="00812C5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noProof/>
          <w:sz w:val="18"/>
          <w:szCs w:val="20"/>
          <w:lang w:val="sr-Latn-RS"/>
        </w:rPr>
      </w:pPr>
      <w:r w:rsidRPr="008167D4">
        <w:rPr>
          <w:rFonts w:ascii="Arial" w:hAnsi="Arial" w:cs="Arial"/>
          <w:b/>
          <w:bCs/>
          <w:noProof/>
          <w:sz w:val="18"/>
          <w:szCs w:val="20"/>
          <w:lang w:val="sr-Latn-RS"/>
        </w:rPr>
        <w:t>Grafikon 1. Prosečna mesečna potrošnja po potrošačkoj jedinici, po decilima, RSD</w:t>
      </w:r>
    </w:p>
    <w:p w14:paraId="570EFE9F" w14:textId="1D800825" w:rsidR="00620341" w:rsidRPr="00A54246" w:rsidRDefault="008167D4" w:rsidP="00812C5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noProof/>
          <w:sz w:val="18"/>
          <w:szCs w:val="20"/>
          <w:lang w:val="sr-Latn-RS"/>
        </w:rPr>
      </w:pPr>
      <w:r>
        <w:rPr>
          <w:noProof/>
          <w:lang w:val="en-US" w:eastAsia="en-US" w:bidi="ar-SA"/>
        </w:rPr>
        <w:drawing>
          <wp:inline distT="0" distB="0" distL="0" distR="0" wp14:anchorId="053153A4" wp14:editId="53C52232">
            <wp:extent cx="5381625" cy="2269490"/>
            <wp:effectExtent l="0" t="0" r="15875" b="1651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43CFE85F-3043-8142-ABA6-22362E6855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EF384C1" w14:textId="2C5D73D6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 xml:space="preserve">Izvor: Anketa o potrošnji domaćinstava, Republički zavod za statistiku, 2018. </w:t>
      </w:r>
    </w:p>
    <w:p w14:paraId="6E73FA47" w14:textId="1F38A93F" w:rsidR="00BB5E07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>Posebna obrada za potrebe Tima za socijalno uključivanje i smanjenje siromaštva Vlade Republike Srbije</w:t>
      </w:r>
    </w:p>
    <w:p w14:paraId="4810DED2" w14:textId="77777777" w:rsidR="00812C52" w:rsidRPr="008167D4" w:rsidRDefault="00812C52" w:rsidP="0018245D">
      <w:pPr>
        <w:shd w:val="clear" w:color="auto" w:fill="FFFFFF"/>
        <w:spacing w:before="120" w:after="120"/>
        <w:jc w:val="both"/>
        <w:rPr>
          <w:rFonts w:ascii="Arial" w:hAnsi="Arial" w:cs="Arial"/>
          <w:b/>
          <w:noProof/>
          <w:sz w:val="26"/>
          <w:szCs w:val="26"/>
          <w:lang w:val="sr-Latn-RS"/>
        </w:rPr>
      </w:pPr>
    </w:p>
    <w:p w14:paraId="2B8C906C" w14:textId="7EF3D487" w:rsidR="00FF5B2A" w:rsidRPr="008167D4" w:rsidRDefault="00337231" w:rsidP="0018245D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  <w:r w:rsidRPr="008167D4">
        <w:rPr>
          <w:rFonts w:ascii="Arial" w:hAnsi="Arial" w:cs="Arial"/>
          <w:b/>
          <w:noProof/>
          <w:sz w:val="26"/>
          <w:szCs w:val="26"/>
          <w:lang w:val="sr-Latn-RS"/>
        </w:rPr>
        <w:t xml:space="preserve">Prosečni decilni prihod </w:t>
      </w:r>
      <w:r w:rsidR="00CC7346" w:rsidRPr="008167D4">
        <w:rPr>
          <w:rFonts w:ascii="Arial" w:hAnsi="Arial" w:cs="Arial"/>
          <w:b/>
          <w:noProof/>
          <w:sz w:val="26"/>
          <w:szCs w:val="26"/>
          <w:lang w:val="sr-Latn-RS"/>
        </w:rPr>
        <w:t>-</w:t>
      </w:r>
      <w:r w:rsidR="00CC7346" w:rsidRPr="008167D4">
        <w:rPr>
          <w:rFonts w:ascii="Arial" w:hAnsi="Arial" w:cs="Arial"/>
          <w:noProof/>
          <w:sz w:val="21"/>
          <w:lang w:val="sr-Latn-RS"/>
        </w:rPr>
        <w:t xml:space="preserve"> </w:t>
      </w:r>
      <w:r w:rsidRPr="008167D4">
        <w:rPr>
          <w:rFonts w:ascii="Arial" w:hAnsi="Arial" w:cs="Arial"/>
          <w:noProof/>
          <w:sz w:val="21"/>
          <w:lang w:val="sr-Latn-RS"/>
        </w:rPr>
        <w:t>I odnos prosečnog prihoda prvog i desetog decila u 2018. godini kreće se na štetu najsiromašnijeg decila, te je sa 7,7 koliko je iznosio 2017. godini, povećan na devet u 2018. godini. Naime, prosečan mesečni prihod prvog decila u 2018. godini iznosi 9.453 dinara po potrošačkoj jedinici, dok prosečan mesečni prihod desetog decila iznosi 85.186 dinara po potrošačkoj jedinici</w:t>
      </w:r>
      <w:r w:rsidR="00FF5B2A" w:rsidRPr="008167D4">
        <w:rPr>
          <w:rFonts w:ascii="Arial" w:hAnsi="Arial" w:cs="Arial"/>
          <w:noProof/>
          <w:sz w:val="21"/>
          <w:lang w:val="sr-Latn-RS"/>
        </w:rPr>
        <w:t xml:space="preserve">. </w:t>
      </w:r>
    </w:p>
    <w:p w14:paraId="2E0B30CA" w14:textId="6BFCE253" w:rsidR="00D978E0" w:rsidRPr="008167D4" w:rsidRDefault="00337231" w:rsidP="00CC7346">
      <w:pPr>
        <w:shd w:val="clear" w:color="auto" w:fill="FFFFFF"/>
        <w:spacing w:before="120" w:after="120"/>
        <w:jc w:val="both"/>
        <w:rPr>
          <w:rFonts w:ascii="Arial" w:hAnsi="Arial" w:cs="Arial"/>
          <w:noProof/>
          <w:sz w:val="21"/>
          <w:lang w:val="sr-Latn-RS"/>
        </w:rPr>
      </w:pPr>
      <w:r w:rsidRPr="008167D4">
        <w:rPr>
          <w:rFonts w:ascii="Arial" w:hAnsi="Arial" w:cs="Arial"/>
          <w:noProof/>
          <w:sz w:val="21"/>
          <w:lang w:val="sr-Latn-RS"/>
        </w:rPr>
        <w:t>Gornja tačka preseka najsiromašnijeg decila prihoda koja pokazuje najviši ekvivalentni prihod u ovom segmentu populacije iznosi svega 14.440 dinara mesečno</w:t>
      </w:r>
      <w:r w:rsidR="00D978E0" w:rsidRPr="008167D4">
        <w:rPr>
          <w:rFonts w:ascii="Arial" w:hAnsi="Arial" w:cs="Arial"/>
          <w:noProof/>
          <w:sz w:val="21"/>
          <w:lang w:val="sr-Latn-RS"/>
        </w:rPr>
        <w:t>.</w:t>
      </w:r>
    </w:p>
    <w:p w14:paraId="2660D876" w14:textId="58CAC3DD" w:rsidR="00D978E0" w:rsidRPr="008167D4" w:rsidRDefault="00337231" w:rsidP="00CC7346">
      <w:pPr>
        <w:spacing w:before="120" w:after="240"/>
        <w:jc w:val="both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8167D4">
        <w:rPr>
          <w:rFonts w:ascii="Arial" w:hAnsi="Arial" w:cs="Arial"/>
          <w:b/>
          <w:noProof/>
          <w:color w:val="000000" w:themeColor="text1"/>
          <w:sz w:val="26"/>
          <w:szCs w:val="26"/>
          <w:lang w:val="sr-Latn-RS"/>
        </w:rPr>
        <w:lastRenderedPageBreak/>
        <w:t>Struktura izdataka za ličnu potrošnju</w:t>
      </w:r>
      <w:r w:rsidR="00BB5E07" w:rsidRPr="008167D4">
        <w:rPr>
          <w:rFonts w:ascii="Arial" w:hAnsi="Arial" w:cs="Arial"/>
          <w:b/>
          <w:noProof/>
          <w:color w:val="000000" w:themeColor="text1"/>
          <w:sz w:val="26"/>
          <w:szCs w:val="26"/>
          <w:lang w:val="sr-Latn-RS"/>
        </w:rPr>
        <w:t xml:space="preserve"> - </w:t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  <w14:shadow w14:blurRad="50800" w14:dist="50800" w14:dir="5400000" w14:sx="0" w14:sy="0" w14:kx="0" w14:ky="0" w14:algn="ctr">
            <w14:schemeClr w14:val="tx2"/>
          </w14:shadow>
        </w:rPr>
        <w:t>U 2018. godini u strukturi izdataka za ličnu potrošnju kod najsiromašnijeg decila, povećava se udeo potrošnje za hranu i bezalkoholna pića u odnosu na godinu pre i čini preko polovine rashoda prvog decila. U odnosu na najbogatiji decil, osim u ovoj stavci potrošnje, ostaju značajne razlike u udelu potrošnje koji se usmerava ka obrazovanju, rekreaciji i kulturi, transportu, restoranima i hotelima</w:t>
      </w:r>
      <w:r w:rsidR="002B7FC8"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</w:p>
    <w:p w14:paraId="48B39DBE" w14:textId="0DE0CC83" w:rsidR="002B7FC8" w:rsidRPr="008167D4" w:rsidRDefault="00337231" w:rsidP="00CC7346">
      <w:pPr>
        <w:spacing w:after="0" w:line="216" w:lineRule="auto"/>
        <w:jc w:val="both"/>
        <w:rPr>
          <w:rFonts w:ascii="Arial" w:hAnsi="Arial" w:cs="Arial"/>
          <w:b/>
          <w:noProof/>
          <w:color w:val="000000" w:themeColor="text1"/>
          <w:sz w:val="18"/>
          <w:lang w:val="sr-Latn-RS"/>
        </w:rPr>
      </w:pPr>
      <w:r w:rsidRPr="008167D4">
        <w:rPr>
          <w:rFonts w:ascii="Arial" w:hAnsi="Arial" w:cs="Arial"/>
          <w:b/>
          <w:noProof/>
          <w:color w:val="000000" w:themeColor="text1"/>
          <w:sz w:val="18"/>
          <w:lang w:val="sr-Latn-RS"/>
        </w:rPr>
        <w:t>Grafikon 2. Struktura izdataka za ličnu potrošnju prvog i desetog decila, 2018. godine</w:t>
      </w:r>
      <w:r w:rsidR="002B7FC8" w:rsidRPr="008167D4">
        <w:rPr>
          <w:rFonts w:ascii="Arial" w:hAnsi="Arial" w:cs="Arial"/>
          <w:b/>
          <w:noProof/>
          <w:color w:val="000000" w:themeColor="text1"/>
          <w:sz w:val="18"/>
          <w:lang w:val="sr-Latn-RS"/>
        </w:rPr>
        <w:t xml:space="preserve"> </w:t>
      </w:r>
    </w:p>
    <w:p w14:paraId="6DEA435A" w14:textId="7C7169CF" w:rsidR="002B7FC8" w:rsidRPr="008167D4" w:rsidRDefault="002B7FC8" w:rsidP="003D715A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lang w:val="sr-Latn-RS"/>
        </w:rPr>
      </w:pPr>
      <w:r w:rsidRPr="008167D4">
        <w:rPr>
          <w:noProof/>
          <w:lang w:val="en-US" w:eastAsia="en-US"/>
        </w:rPr>
        <w:drawing>
          <wp:inline distT="0" distB="0" distL="0" distR="0" wp14:anchorId="4C217190" wp14:editId="06010A34">
            <wp:extent cx="2799347" cy="2566737"/>
            <wp:effectExtent l="0" t="0" r="7620" b="1143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8FF8A7D-E992-DF4C-9DEE-01B1B4119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8167D4">
        <w:rPr>
          <w:noProof/>
          <w:lang w:val="sr-Latn-RS"/>
        </w:rPr>
        <w:t xml:space="preserve"> </w:t>
      </w:r>
      <w:r w:rsidRPr="008167D4">
        <w:rPr>
          <w:noProof/>
          <w:lang w:val="en-US" w:eastAsia="en-US"/>
        </w:rPr>
        <w:drawing>
          <wp:inline distT="0" distB="0" distL="0" distR="0" wp14:anchorId="5AA600DA" wp14:editId="6BDF60A5">
            <wp:extent cx="2775284" cy="2564899"/>
            <wp:effectExtent l="0" t="0" r="6350" b="1333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ED0AF5A-7EA2-EB49-8D97-DBAB175821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240EA2" w14:textId="77777777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 xml:space="preserve">Izvor: Anketa o potrošnji domaćinstava, Republički zavod za statistiku, 2018. </w:t>
      </w:r>
    </w:p>
    <w:p w14:paraId="16521893" w14:textId="77777777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>Posebna obrada za potrebe Tima za socijalno uključivanje i smanjenje siromaštva Vlade Republike Srbije</w:t>
      </w:r>
    </w:p>
    <w:p w14:paraId="20B570AD" w14:textId="52818228" w:rsidR="005E495C" w:rsidRPr="008167D4" w:rsidRDefault="00337231" w:rsidP="00126BD6">
      <w:pPr>
        <w:spacing w:before="480" w:after="240"/>
        <w:jc w:val="both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8167D4">
        <w:rPr>
          <w:rFonts w:ascii="Arial" w:hAnsi="Arial" w:cs="Arial"/>
          <w:b/>
          <w:noProof/>
          <w:color w:val="000000" w:themeColor="text1"/>
          <w:sz w:val="26"/>
          <w:szCs w:val="26"/>
          <w:lang w:val="sr-Latn-RS"/>
        </w:rPr>
        <w:t>Struktura izvora prihoda</w:t>
      </w:r>
      <w:r w:rsidR="00CC7346" w:rsidRPr="008167D4">
        <w:rPr>
          <w:rFonts w:ascii="Arial" w:hAnsi="Arial" w:cs="Arial"/>
          <w:noProof/>
          <w:color w:val="000000" w:themeColor="text1"/>
          <w:sz w:val="26"/>
          <w:szCs w:val="26"/>
          <w:lang w:val="sr-Latn-RS"/>
        </w:rPr>
        <w:t xml:space="preserve"> </w:t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>dodatno se pogoršala u najsiromašnijem decilu u 2018. godini u odnosu na godinu pre. Naime, prihod od zarade je glavni izvor prihoda za dramatično manji udeo lica prvog decila. U 2017. godini, kod skoro trećine lica (32,4%) prihod od zarade je bio primarni izvor prihoda, da bi se u 2018. godini ovaj udeo smanjio na jednu četvrtinu (25,1%). Penzije ostaju primarni izvor prihoda ovog decila sa učešćem od 45%, a socijalni transferi sa udelom od 15,3% čine treći po redu deo izvor prihoda najsiromašniji decil. Socijalni transferi su primarni izvor prihoda za manje od pet 5% lica drugog decila i za manje od 1% lica četvrtog decila.</w:t>
      </w:r>
      <w:r w:rsidR="005E495C"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 </w:t>
      </w:r>
    </w:p>
    <w:p w14:paraId="5E1655FC" w14:textId="05930B34" w:rsidR="00BB5E07" w:rsidRPr="008167D4" w:rsidRDefault="00337231" w:rsidP="00CC7346">
      <w:pPr>
        <w:spacing w:after="0" w:line="240" w:lineRule="auto"/>
        <w:jc w:val="both"/>
        <w:rPr>
          <w:rFonts w:ascii="Arial" w:hAnsi="Arial" w:cs="Arial"/>
          <w:b/>
          <w:noProof/>
          <w:sz w:val="18"/>
          <w:lang w:val="sr-Latn-RS"/>
        </w:rPr>
      </w:pPr>
      <w:r w:rsidRPr="008167D4">
        <w:rPr>
          <w:rFonts w:ascii="Arial" w:hAnsi="Arial" w:cs="Arial"/>
          <w:b/>
          <w:noProof/>
          <w:sz w:val="18"/>
          <w:lang w:val="sr-Latn-RS"/>
        </w:rPr>
        <w:t>Tabela 1: Glavni izvori prihoda po decilima, 2018. godina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1"/>
        <w:gridCol w:w="745"/>
        <w:gridCol w:w="567"/>
        <w:gridCol w:w="567"/>
        <w:gridCol w:w="567"/>
        <w:gridCol w:w="604"/>
        <w:gridCol w:w="671"/>
        <w:gridCol w:w="590"/>
        <w:gridCol w:w="561"/>
        <w:gridCol w:w="561"/>
        <w:gridCol w:w="561"/>
        <w:gridCol w:w="505"/>
      </w:tblGrid>
      <w:tr w:rsidR="00BB5E07" w:rsidRPr="008167D4" w14:paraId="643FF67B" w14:textId="77777777" w:rsidTr="008E40DA">
        <w:trPr>
          <w:trHeight w:val="305"/>
          <w:jc w:val="center"/>
        </w:trPr>
        <w:tc>
          <w:tcPr>
            <w:tcW w:w="2511" w:type="dxa"/>
            <w:vMerge w:val="restart"/>
            <w:shd w:val="clear" w:color="auto" w:fill="8EAADB" w:themeFill="accent1" w:themeFillTint="99"/>
            <w:noWrap/>
            <w:hideMark/>
          </w:tcPr>
          <w:p w14:paraId="19ED826F" w14:textId="77777777" w:rsidR="00BB5E07" w:rsidRPr="008167D4" w:rsidRDefault="00BB5E07" w:rsidP="00CC7346">
            <w:pPr>
              <w:spacing w:after="0" w:line="360" w:lineRule="auto"/>
              <w:jc w:val="both"/>
              <w:rPr>
                <w:rFonts w:ascii="Arial" w:hAnsi="Arial" w:cs="Arial"/>
                <w:b/>
                <w:noProof/>
                <w:color w:val="000000" w:themeColor="text1"/>
                <w:sz w:val="13"/>
                <w:szCs w:val="13"/>
                <w:lang w:val="sr-Latn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 </w:t>
            </w:r>
          </w:p>
        </w:tc>
        <w:tc>
          <w:tcPr>
            <w:tcW w:w="745" w:type="dxa"/>
            <w:vMerge w:val="restart"/>
            <w:shd w:val="clear" w:color="auto" w:fill="D9E2F3" w:themeFill="accent1" w:themeFillTint="33"/>
            <w:noWrap/>
            <w:vAlign w:val="center"/>
            <w:hideMark/>
          </w:tcPr>
          <w:p w14:paraId="47B1A6A7" w14:textId="3D341F9C" w:rsidR="00BB5E07" w:rsidRPr="008167D4" w:rsidRDefault="0095473A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iCs/>
                <w:noProof/>
                <w:color w:val="000000" w:themeColor="text1"/>
                <w:sz w:val="13"/>
                <w:szCs w:val="13"/>
                <w:lang w:val="sr-Latn-RS"/>
              </w:rPr>
              <w:t>Ukupno</w:t>
            </w:r>
          </w:p>
        </w:tc>
        <w:tc>
          <w:tcPr>
            <w:tcW w:w="5754" w:type="dxa"/>
            <w:gridSpan w:val="10"/>
            <w:shd w:val="clear" w:color="auto" w:fill="D9E2F3" w:themeFill="accent1" w:themeFillTint="33"/>
            <w:vAlign w:val="center"/>
          </w:tcPr>
          <w:p w14:paraId="055335B4" w14:textId="2F786417" w:rsidR="00BB5E07" w:rsidRPr="008167D4" w:rsidRDefault="0095473A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noProof/>
                <w:color w:val="000000" w:themeColor="text1"/>
                <w:sz w:val="13"/>
                <w:szCs w:val="13"/>
                <w:lang w:val="sr-Latn-RS"/>
              </w:rPr>
              <w:t>Decili</w:t>
            </w:r>
          </w:p>
        </w:tc>
      </w:tr>
      <w:tr w:rsidR="00FC4258" w:rsidRPr="008167D4" w14:paraId="1DDF951C" w14:textId="77777777" w:rsidTr="008E40DA">
        <w:trPr>
          <w:trHeight w:val="242"/>
          <w:jc w:val="center"/>
        </w:trPr>
        <w:tc>
          <w:tcPr>
            <w:tcW w:w="2511" w:type="dxa"/>
            <w:vMerge/>
            <w:shd w:val="clear" w:color="auto" w:fill="8EAADB" w:themeFill="accent1" w:themeFillTint="99"/>
            <w:noWrap/>
          </w:tcPr>
          <w:p w14:paraId="04DFC074" w14:textId="77777777" w:rsidR="00BB5E07" w:rsidRPr="008167D4" w:rsidRDefault="00BB5E07" w:rsidP="00CC7346">
            <w:pPr>
              <w:spacing w:after="0" w:line="360" w:lineRule="auto"/>
              <w:jc w:val="both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</w:p>
        </w:tc>
        <w:tc>
          <w:tcPr>
            <w:tcW w:w="745" w:type="dxa"/>
            <w:vMerge/>
            <w:shd w:val="clear" w:color="auto" w:fill="D9E2F3" w:themeFill="accent1" w:themeFillTint="33"/>
            <w:noWrap/>
            <w:vAlign w:val="center"/>
          </w:tcPr>
          <w:p w14:paraId="16E6C79C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color w:val="000000" w:themeColor="text1"/>
                <w:sz w:val="13"/>
                <w:szCs w:val="13"/>
                <w:lang w:val="sr-Latn-RS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E845841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1.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63A9260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2.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00E41C5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3.</w:t>
            </w:r>
          </w:p>
        </w:tc>
        <w:tc>
          <w:tcPr>
            <w:tcW w:w="604" w:type="dxa"/>
            <w:shd w:val="clear" w:color="auto" w:fill="D9E2F3" w:themeFill="accent1" w:themeFillTint="33"/>
            <w:vAlign w:val="center"/>
          </w:tcPr>
          <w:p w14:paraId="2DFDF4B0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4.</w:t>
            </w:r>
          </w:p>
        </w:tc>
        <w:tc>
          <w:tcPr>
            <w:tcW w:w="671" w:type="dxa"/>
            <w:shd w:val="clear" w:color="auto" w:fill="D9E2F3" w:themeFill="accent1" w:themeFillTint="33"/>
            <w:vAlign w:val="center"/>
          </w:tcPr>
          <w:p w14:paraId="02A0E0C7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5.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70DBE7CA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6.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3F5824C0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7.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3386A79A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8.</w:t>
            </w:r>
          </w:p>
        </w:tc>
        <w:tc>
          <w:tcPr>
            <w:tcW w:w="561" w:type="dxa"/>
            <w:shd w:val="clear" w:color="auto" w:fill="D9E2F3" w:themeFill="accent1" w:themeFillTint="33"/>
            <w:vAlign w:val="center"/>
          </w:tcPr>
          <w:p w14:paraId="4FD88E38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9.</w:t>
            </w:r>
          </w:p>
        </w:tc>
        <w:tc>
          <w:tcPr>
            <w:tcW w:w="505" w:type="dxa"/>
            <w:shd w:val="clear" w:color="auto" w:fill="D9E2F3" w:themeFill="accent1" w:themeFillTint="33"/>
            <w:vAlign w:val="center"/>
          </w:tcPr>
          <w:p w14:paraId="41D4DAED" w14:textId="77777777" w:rsidR="00BB5E07" w:rsidRPr="008167D4" w:rsidRDefault="00BB5E07" w:rsidP="0045409E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b/>
                <w:bCs/>
                <w:noProof/>
                <w:color w:val="000000" w:themeColor="text1"/>
                <w:sz w:val="13"/>
                <w:szCs w:val="13"/>
                <w:lang w:val="sr-Latn-RS"/>
              </w:rPr>
              <w:t>10.</w:t>
            </w:r>
          </w:p>
        </w:tc>
      </w:tr>
      <w:tr w:rsidR="00337231" w:rsidRPr="008167D4" w14:paraId="708E7D19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56812F0" w14:textId="22683073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Prihod od zarade</w:t>
            </w:r>
          </w:p>
        </w:tc>
        <w:tc>
          <w:tcPr>
            <w:tcW w:w="745" w:type="dxa"/>
            <w:noWrap/>
            <w:vAlign w:val="center"/>
            <w:hideMark/>
          </w:tcPr>
          <w:p w14:paraId="24AB4AC5" w14:textId="3DF402F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54,9</w:t>
            </w:r>
          </w:p>
        </w:tc>
        <w:tc>
          <w:tcPr>
            <w:tcW w:w="567" w:type="dxa"/>
            <w:noWrap/>
            <w:vAlign w:val="center"/>
            <w:hideMark/>
          </w:tcPr>
          <w:p w14:paraId="5A602947" w14:textId="1A20716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25,1</w:t>
            </w:r>
          </w:p>
        </w:tc>
        <w:tc>
          <w:tcPr>
            <w:tcW w:w="567" w:type="dxa"/>
            <w:noWrap/>
            <w:vAlign w:val="center"/>
            <w:hideMark/>
          </w:tcPr>
          <w:p w14:paraId="361C6E19" w14:textId="4D943EAA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41,1</w:t>
            </w:r>
          </w:p>
        </w:tc>
        <w:tc>
          <w:tcPr>
            <w:tcW w:w="567" w:type="dxa"/>
            <w:noWrap/>
            <w:vAlign w:val="center"/>
            <w:hideMark/>
          </w:tcPr>
          <w:p w14:paraId="7BB87EBC" w14:textId="488C11B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45,3</w:t>
            </w:r>
          </w:p>
        </w:tc>
        <w:tc>
          <w:tcPr>
            <w:tcW w:w="604" w:type="dxa"/>
            <w:noWrap/>
            <w:vAlign w:val="center"/>
            <w:hideMark/>
          </w:tcPr>
          <w:p w14:paraId="6FE2E157" w14:textId="0DE7A9B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53,1</w:t>
            </w:r>
          </w:p>
        </w:tc>
        <w:tc>
          <w:tcPr>
            <w:tcW w:w="671" w:type="dxa"/>
            <w:noWrap/>
            <w:vAlign w:val="center"/>
            <w:hideMark/>
          </w:tcPr>
          <w:p w14:paraId="6DEBA7EF" w14:textId="0EBB8BAC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53,3</w:t>
            </w:r>
          </w:p>
        </w:tc>
        <w:tc>
          <w:tcPr>
            <w:tcW w:w="590" w:type="dxa"/>
            <w:noWrap/>
            <w:vAlign w:val="center"/>
            <w:hideMark/>
          </w:tcPr>
          <w:p w14:paraId="04967A3B" w14:textId="6B45986C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60,9</w:t>
            </w:r>
          </w:p>
        </w:tc>
        <w:tc>
          <w:tcPr>
            <w:tcW w:w="561" w:type="dxa"/>
            <w:noWrap/>
            <w:vAlign w:val="center"/>
            <w:hideMark/>
          </w:tcPr>
          <w:p w14:paraId="1BDBED65" w14:textId="4BB0AF7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62,7</w:t>
            </w:r>
          </w:p>
        </w:tc>
        <w:tc>
          <w:tcPr>
            <w:tcW w:w="561" w:type="dxa"/>
            <w:noWrap/>
            <w:vAlign w:val="center"/>
            <w:hideMark/>
          </w:tcPr>
          <w:p w14:paraId="5F2F0BDD" w14:textId="76B074F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64,0</w:t>
            </w:r>
          </w:p>
        </w:tc>
        <w:tc>
          <w:tcPr>
            <w:tcW w:w="561" w:type="dxa"/>
            <w:noWrap/>
            <w:vAlign w:val="center"/>
            <w:hideMark/>
          </w:tcPr>
          <w:p w14:paraId="2AE704C3" w14:textId="582286A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69,5</w:t>
            </w:r>
          </w:p>
        </w:tc>
        <w:tc>
          <w:tcPr>
            <w:tcW w:w="505" w:type="dxa"/>
            <w:noWrap/>
            <w:vAlign w:val="center"/>
            <w:hideMark/>
          </w:tcPr>
          <w:p w14:paraId="7BAE80C2" w14:textId="266FB6D3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72,7</w:t>
            </w:r>
          </w:p>
        </w:tc>
      </w:tr>
      <w:tr w:rsidR="00337231" w:rsidRPr="008167D4" w14:paraId="3CDB30E3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5621435" w14:textId="29CD02D3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Prihod od samozaposlenosti</w:t>
            </w:r>
          </w:p>
        </w:tc>
        <w:tc>
          <w:tcPr>
            <w:tcW w:w="745" w:type="dxa"/>
            <w:noWrap/>
            <w:vAlign w:val="center"/>
            <w:hideMark/>
          </w:tcPr>
          <w:p w14:paraId="3EADECED" w14:textId="51CB131F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8,8</w:t>
            </w:r>
          </w:p>
        </w:tc>
        <w:tc>
          <w:tcPr>
            <w:tcW w:w="567" w:type="dxa"/>
            <w:noWrap/>
            <w:vAlign w:val="center"/>
            <w:hideMark/>
          </w:tcPr>
          <w:p w14:paraId="3167185D" w14:textId="5B4EAA2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9,5</w:t>
            </w:r>
          </w:p>
        </w:tc>
        <w:tc>
          <w:tcPr>
            <w:tcW w:w="567" w:type="dxa"/>
            <w:noWrap/>
            <w:vAlign w:val="center"/>
            <w:hideMark/>
          </w:tcPr>
          <w:p w14:paraId="5B1E8093" w14:textId="5E11321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8,2</w:t>
            </w:r>
          </w:p>
        </w:tc>
        <w:tc>
          <w:tcPr>
            <w:tcW w:w="567" w:type="dxa"/>
            <w:noWrap/>
            <w:vAlign w:val="center"/>
            <w:hideMark/>
          </w:tcPr>
          <w:p w14:paraId="3C376A9C" w14:textId="1A9471AC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11,7</w:t>
            </w:r>
          </w:p>
        </w:tc>
        <w:tc>
          <w:tcPr>
            <w:tcW w:w="604" w:type="dxa"/>
            <w:noWrap/>
            <w:vAlign w:val="center"/>
            <w:hideMark/>
          </w:tcPr>
          <w:p w14:paraId="3501A908" w14:textId="72F31ED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10,1</w:t>
            </w:r>
          </w:p>
        </w:tc>
        <w:tc>
          <w:tcPr>
            <w:tcW w:w="671" w:type="dxa"/>
            <w:noWrap/>
            <w:vAlign w:val="center"/>
            <w:hideMark/>
          </w:tcPr>
          <w:p w14:paraId="1BBE60E4" w14:textId="5972ABA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8,2</w:t>
            </w:r>
          </w:p>
        </w:tc>
        <w:tc>
          <w:tcPr>
            <w:tcW w:w="590" w:type="dxa"/>
            <w:noWrap/>
            <w:vAlign w:val="center"/>
            <w:hideMark/>
          </w:tcPr>
          <w:p w14:paraId="7197BB27" w14:textId="7EC02FD1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10,2</w:t>
            </w:r>
          </w:p>
        </w:tc>
        <w:tc>
          <w:tcPr>
            <w:tcW w:w="561" w:type="dxa"/>
            <w:noWrap/>
            <w:vAlign w:val="center"/>
            <w:hideMark/>
          </w:tcPr>
          <w:p w14:paraId="64F3CD70" w14:textId="037FDC50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9,0</w:t>
            </w:r>
          </w:p>
        </w:tc>
        <w:tc>
          <w:tcPr>
            <w:tcW w:w="561" w:type="dxa"/>
            <w:noWrap/>
            <w:vAlign w:val="center"/>
            <w:hideMark/>
          </w:tcPr>
          <w:p w14:paraId="781D2EB4" w14:textId="66458916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7,8</w:t>
            </w:r>
          </w:p>
        </w:tc>
        <w:tc>
          <w:tcPr>
            <w:tcW w:w="561" w:type="dxa"/>
            <w:noWrap/>
            <w:vAlign w:val="center"/>
            <w:hideMark/>
          </w:tcPr>
          <w:p w14:paraId="1295BA9C" w14:textId="337BAE8E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5,5</w:t>
            </w:r>
          </w:p>
        </w:tc>
        <w:tc>
          <w:tcPr>
            <w:tcW w:w="505" w:type="dxa"/>
            <w:noWrap/>
            <w:vAlign w:val="center"/>
            <w:hideMark/>
          </w:tcPr>
          <w:p w14:paraId="1524B908" w14:textId="1348B5CD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8,2</w:t>
            </w:r>
          </w:p>
        </w:tc>
      </w:tr>
      <w:tr w:rsidR="00337231" w:rsidRPr="008167D4" w14:paraId="3B0645EE" w14:textId="77777777" w:rsidTr="008E40DA">
        <w:trPr>
          <w:trHeight w:val="161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3FEF4B28" w14:textId="3C06DA49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Prihod od imovine</w:t>
            </w:r>
          </w:p>
        </w:tc>
        <w:tc>
          <w:tcPr>
            <w:tcW w:w="745" w:type="dxa"/>
            <w:noWrap/>
            <w:vAlign w:val="center"/>
            <w:hideMark/>
          </w:tcPr>
          <w:p w14:paraId="5A231D70" w14:textId="27B97A0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0,2</w:t>
            </w:r>
          </w:p>
        </w:tc>
        <w:tc>
          <w:tcPr>
            <w:tcW w:w="567" w:type="dxa"/>
            <w:noWrap/>
            <w:vAlign w:val="center"/>
            <w:hideMark/>
          </w:tcPr>
          <w:p w14:paraId="102D3EB6" w14:textId="3AE9DCD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32CB8A9C" w14:textId="289B7151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567" w:type="dxa"/>
            <w:noWrap/>
            <w:vAlign w:val="center"/>
            <w:hideMark/>
          </w:tcPr>
          <w:p w14:paraId="459148E1" w14:textId="1901491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604" w:type="dxa"/>
            <w:noWrap/>
            <w:vAlign w:val="center"/>
            <w:hideMark/>
          </w:tcPr>
          <w:p w14:paraId="71A5C124" w14:textId="7B4E5515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0,2</w:t>
            </w:r>
          </w:p>
        </w:tc>
        <w:tc>
          <w:tcPr>
            <w:tcW w:w="671" w:type="dxa"/>
            <w:noWrap/>
            <w:vAlign w:val="center"/>
            <w:hideMark/>
          </w:tcPr>
          <w:p w14:paraId="7EEF875F" w14:textId="62D8CD0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90" w:type="dxa"/>
            <w:noWrap/>
            <w:vAlign w:val="center"/>
            <w:hideMark/>
          </w:tcPr>
          <w:p w14:paraId="46294D1C" w14:textId="02EE1A8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61" w:type="dxa"/>
            <w:noWrap/>
            <w:vAlign w:val="center"/>
            <w:hideMark/>
          </w:tcPr>
          <w:p w14:paraId="397FFFEB" w14:textId="598C121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561" w:type="dxa"/>
            <w:noWrap/>
            <w:vAlign w:val="center"/>
            <w:hideMark/>
          </w:tcPr>
          <w:p w14:paraId="7E899E8D" w14:textId="72E75A76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561" w:type="dxa"/>
            <w:noWrap/>
            <w:vAlign w:val="center"/>
            <w:hideMark/>
          </w:tcPr>
          <w:p w14:paraId="009492AB" w14:textId="2E5DC041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0,1</w:t>
            </w:r>
          </w:p>
        </w:tc>
        <w:tc>
          <w:tcPr>
            <w:tcW w:w="505" w:type="dxa"/>
            <w:noWrap/>
            <w:vAlign w:val="center"/>
            <w:hideMark/>
          </w:tcPr>
          <w:p w14:paraId="5ECB5EF2" w14:textId="27221C77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0,2</w:t>
            </w:r>
          </w:p>
        </w:tc>
      </w:tr>
      <w:tr w:rsidR="00337231" w:rsidRPr="008167D4" w14:paraId="03ECD37A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7AB57C7F" w14:textId="50BACAD8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Penzije</w:t>
            </w:r>
          </w:p>
        </w:tc>
        <w:tc>
          <w:tcPr>
            <w:tcW w:w="745" w:type="dxa"/>
            <w:noWrap/>
            <w:vAlign w:val="center"/>
            <w:hideMark/>
          </w:tcPr>
          <w:p w14:paraId="1F760774" w14:textId="0B7CD96D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32,0</w:t>
            </w:r>
          </w:p>
        </w:tc>
        <w:tc>
          <w:tcPr>
            <w:tcW w:w="567" w:type="dxa"/>
            <w:noWrap/>
            <w:vAlign w:val="center"/>
            <w:hideMark/>
          </w:tcPr>
          <w:p w14:paraId="0E08B59A" w14:textId="5BE293EF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45,0</w:t>
            </w:r>
          </w:p>
        </w:tc>
        <w:tc>
          <w:tcPr>
            <w:tcW w:w="567" w:type="dxa"/>
            <w:noWrap/>
            <w:vAlign w:val="center"/>
            <w:hideMark/>
          </w:tcPr>
          <w:p w14:paraId="7F2B7ADB" w14:textId="51FA44B3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44,0</w:t>
            </w:r>
          </w:p>
        </w:tc>
        <w:tc>
          <w:tcPr>
            <w:tcW w:w="567" w:type="dxa"/>
            <w:noWrap/>
            <w:vAlign w:val="center"/>
            <w:hideMark/>
          </w:tcPr>
          <w:p w14:paraId="42152050" w14:textId="39EFB507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38,5</w:t>
            </w:r>
          </w:p>
        </w:tc>
        <w:tc>
          <w:tcPr>
            <w:tcW w:w="604" w:type="dxa"/>
            <w:noWrap/>
            <w:vAlign w:val="center"/>
            <w:hideMark/>
          </w:tcPr>
          <w:p w14:paraId="3F858789" w14:textId="7FA3B1F6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34,5</w:t>
            </w:r>
          </w:p>
        </w:tc>
        <w:tc>
          <w:tcPr>
            <w:tcW w:w="671" w:type="dxa"/>
            <w:noWrap/>
            <w:vAlign w:val="center"/>
            <w:hideMark/>
          </w:tcPr>
          <w:p w14:paraId="00AD70E2" w14:textId="019D47AC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35,4</w:t>
            </w:r>
          </w:p>
        </w:tc>
        <w:tc>
          <w:tcPr>
            <w:tcW w:w="590" w:type="dxa"/>
            <w:noWrap/>
            <w:vAlign w:val="center"/>
            <w:hideMark/>
          </w:tcPr>
          <w:p w14:paraId="18D046FA" w14:textId="0831CCBE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27,0</w:t>
            </w:r>
          </w:p>
        </w:tc>
        <w:tc>
          <w:tcPr>
            <w:tcW w:w="561" w:type="dxa"/>
            <w:noWrap/>
            <w:vAlign w:val="center"/>
            <w:hideMark/>
          </w:tcPr>
          <w:p w14:paraId="093F9321" w14:textId="7E4D815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26,9</w:t>
            </w:r>
          </w:p>
        </w:tc>
        <w:tc>
          <w:tcPr>
            <w:tcW w:w="561" w:type="dxa"/>
            <w:noWrap/>
            <w:vAlign w:val="center"/>
            <w:hideMark/>
          </w:tcPr>
          <w:p w14:paraId="66FC21B4" w14:textId="761C41C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26,3</w:t>
            </w:r>
          </w:p>
        </w:tc>
        <w:tc>
          <w:tcPr>
            <w:tcW w:w="561" w:type="dxa"/>
            <w:noWrap/>
            <w:vAlign w:val="center"/>
            <w:hideMark/>
          </w:tcPr>
          <w:p w14:paraId="71A5EE3C" w14:textId="5A81F6A1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23,9</w:t>
            </w:r>
          </w:p>
        </w:tc>
        <w:tc>
          <w:tcPr>
            <w:tcW w:w="505" w:type="dxa"/>
            <w:noWrap/>
            <w:vAlign w:val="center"/>
            <w:hideMark/>
          </w:tcPr>
          <w:p w14:paraId="05B17547" w14:textId="05994EA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17,9</w:t>
            </w:r>
          </w:p>
        </w:tc>
      </w:tr>
      <w:tr w:rsidR="00337231" w:rsidRPr="008167D4" w14:paraId="1BFC3B0F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2F79A904" w14:textId="313BD364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Naknada za nezaposlenost</w:t>
            </w:r>
          </w:p>
        </w:tc>
        <w:tc>
          <w:tcPr>
            <w:tcW w:w="745" w:type="dxa"/>
            <w:noWrap/>
            <w:vAlign w:val="center"/>
            <w:hideMark/>
          </w:tcPr>
          <w:p w14:paraId="6955D30C" w14:textId="2D1483F0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1C8E4FF9" w14:textId="00F80DD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0,3</w:t>
            </w:r>
          </w:p>
        </w:tc>
        <w:tc>
          <w:tcPr>
            <w:tcW w:w="567" w:type="dxa"/>
            <w:noWrap/>
            <w:vAlign w:val="center"/>
            <w:hideMark/>
          </w:tcPr>
          <w:p w14:paraId="1A9ECA6B" w14:textId="4A113FC6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0,1</w:t>
            </w:r>
          </w:p>
        </w:tc>
        <w:tc>
          <w:tcPr>
            <w:tcW w:w="567" w:type="dxa"/>
            <w:noWrap/>
            <w:vAlign w:val="center"/>
            <w:hideMark/>
          </w:tcPr>
          <w:p w14:paraId="58C81EDF" w14:textId="2F67C83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0,2</w:t>
            </w:r>
          </w:p>
        </w:tc>
        <w:tc>
          <w:tcPr>
            <w:tcW w:w="604" w:type="dxa"/>
            <w:noWrap/>
            <w:vAlign w:val="center"/>
            <w:hideMark/>
          </w:tcPr>
          <w:p w14:paraId="10552D1A" w14:textId="275FF38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0,2</w:t>
            </w:r>
          </w:p>
        </w:tc>
        <w:tc>
          <w:tcPr>
            <w:tcW w:w="671" w:type="dxa"/>
            <w:noWrap/>
            <w:vAlign w:val="center"/>
            <w:hideMark/>
          </w:tcPr>
          <w:p w14:paraId="2EAFFAFD" w14:textId="7FD624BA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590" w:type="dxa"/>
            <w:noWrap/>
            <w:vAlign w:val="center"/>
            <w:hideMark/>
          </w:tcPr>
          <w:p w14:paraId="303C8CC2" w14:textId="5D1BCCF4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0,3</w:t>
            </w:r>
          </w:p>
        </w:tc>
        <w:tc>
          <w:tcPr>
            <w:tcW w:w="561" w:type="dxa"/>
            <w:noWrap/>
            <w:vAlign w:val="center"/>
            <w:hideMark/>
          </w:tcPr>
          <w:p w14:paraId="1DF0C7F1" w14:textId="26800B6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61" w:type="dxa"/>
            <w:noWrap/>
            <w:vAlign w:val="center"/>
            <w:hideMark/>
          </w:tcPr>
          <w:p w14:paraId="39333DBF" w14:textId="7F5628AA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0,1</w:t>
            </w:r>
          </w:p>
        </w:tc>
        <w:tc>
          <w:tcPr>
            <w:tcW w:w="561" w:type="dxa"/>
            <w:noWrap/>
            <w:vAlign w:val="center"/>
            <w:hideMark/>
          </w:tcPr>
          <w:p w14:paraId="7DD49004" w14:textId="198ECBE0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05" w:type="dxa"/>
            <w:noWrap/>
            <w:vAlign w:val="center"/>
            <w:hideMark/>
          </w:tcPr>
          <w:p w14:paraId="5EA5DC2B" w14:textId="4EEA878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</w:tr>
      <w:tr w:rsidR="00337231" w:rsidRPr="008167D4" w14:paraId="644B26A3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</w:tcPr>
          <w:p w14:paraId="46B79999" w14:textId="5107E217" w:rsidR="00337231" w:rsidRPr="008167D4" w:rsidRDefault="00337231" w:rsidP="00E45D48">
            <w:pPr>
              <w:spacing w:after="0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Socijalni transferi (novčana socijalna pomoć, dečiji dodatak, sl.)</w:t>
            </w:r>
          </w:p>
        </w:tc>
        <w:tc>
          <w:tcPr>
            <w:tcW w:w="745" w:type="dxa"/>
            <w:noWrap/>
            <w:vAlign w:val="center"/>
          </w:tcPr>
          <w:p w14:paraId="0C8C4CD7" w14:textId="180D146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2,4</w:t>
            </w:r>
          </w:p>
        </w:tc>
        <w:tc>
          <w:tcPr>
            <w:tcW w:w="567" w:type="dxa"/>
            <w:noWrap/>
            <w:vAlign w:val="center"/>
          </w:tcPr>
          <w:p w14:paraId="7D6C87CD" w14:textId="48D4B93D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15,3</w:t>
            </w:r>
          </w:p>
        </w:tc>
        <w:tc>
          <w:tcPr>
            <w:tcW w:w="567" w:type="dxa"/>
            <w:noWrap/>
            <w:vAlign w:val="center"/>
          </w:tcPr>
          <w:p w14:paraId="47A2D06A" w14:textId="23D342BC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4,5</w:t>
            </w:r>
          </w:p>
        </w:tc>
        <w:tc>
          <w:tcPr>
            <w:tcW w:w="567" w:type="dxa"/>
            <w:noWrap/>
            <w:vAlign w:val="center"/>
          </w:tcPr>
          <w:p w14:paraId="4C223F9C" w14:textId="7AB3FD83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2,5</w:t>
            </w:r>
          </w:p>
        </w:tc>
        <w:tc>
          <w:tcPr>
            <w:tcW w:w="604" w:type="dxa"/>
            <w:noWrap/>
            <w:vAlign w:val="center"/>
          </w:tcPr>
          <w:p w14:paraId="58EF19FD" w14:textId="661174E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0,5</w:t>
            </w:r>
          </w:p>
        </w:tc>
        <w:tc>
          <w:tcPr>
            <w:tcW w:w="671" w:type="dxa"/>
            <w:noWrap/>
            <w:vAlign w:val="center"/>
          </w:tcPr>
          <w:p w14:paraId="67C4E257" w14:textId="46BF054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0,3</w:t>
            </w:r>
          </w:p>
        </w:tc>
        <w:tc>
          <w:tcPr>
            <w:tcW w:w="590" w:type="dxa"/>
            <w:noWrap/>
            <w:vAlign w:val="center"/>
          </w:tcPr>
          <w:p w14:paraId="072BFEDF" w14:textId="29397D0F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0,4</w:t>
            </w:r>
          </w:p>
        </w:tc>
        <w:tc>
          <w:tcPr>
            <w:tcW w:w="561" w:type="dxa"/>
            <w:noWrap/>
            <w:vAlign w:val="center"/>
          </w:tcPr>
          <w:p w14:paraId="3DDD6DA1" w14:textId="1D7F7840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0,2</w:t>
            </w:r>
          </w:p>
        </w:tc>
        <w:tc>
          <w:tcPr>
            <w:tcW w:w="561" w:type="dxa"/>
            <w:noWrap/>
            <w:vAlign w:val="center"/>
          </w:tcPr>
          <w:p w14:paraId="72C3914D" w14:textId="3E34F3E2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61" w:type="dxa"/>
            <w:noWrap/>
            <w:vAlign w:val="center"/>
          </w:tcPr>
          <w:p w14:paraId="53AA32AE" w14:textId="107D0DA1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  <w:tc>
          <w:tcPr>
            <w:tcW w:w="505" w:type="dxa"/>
            <w:noWrap/>
            <w:vAlign w:val="center"/>
          </w:tcPr>
          <w:p w14:paraId="436712DB" w14:textId="28809BE0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-</w:t>
            </w:r>
          </w:p>
        </w:tc>
      </w:tr>
      <w:tr w:rsidR="00337231" w:rsidRPr="008167D4" w14:paraId="3727B13F" w14:textId="77777777" w:rsidTr="008E40DA">
        <w:trPr>
          <w:trHeight w:val="193"/>
          <w:jc w:val="center"/>
        </w:trPr>
        <w:tc>
          <w:tcPr>
            <w:tcW w:w="2511" w:type="dxa"/>
            <w:shd w:val="clear" w:color="auto" w:fill="8EAADB" w:themeFill="accent1" w:themeFillTint="99"/>
            <w:noWrap/>
            <w:hideMark/>
          </w:tcPr>
          <w:p w14:paraId="36727555" w14:textId="6E34F116" w:rsidR="00337231" w:rsidRPr="008167D4" w:rsidRDefault="00337231" w:rsidP="00337231">
            <w:pPr>
              <w:spacing w:after="0" w:line="360" w:lineRule="auto"/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Ostala primanja</w:t>
            </w:r>
          </w:p>
        </w:tc>
        <w:tc>
          <w:tcPr>
            <w:tcW w:w="745" w:type="dxa"/>
            <w:noWrap/>
            <w:vAlign w:val="center"/>
            <w:hideMark/>
          </w:tcPr>
          <w:p w14:paraId="600C1146" w14:textId="53662FC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1,6</w:t>
            </w:r>
          </w:p>
        </w:tc>
        <w:tc>
          <w:tcPr>
            <w:tcW w:w="567" w:type="dxa"/>
            <w:noWrap/>
            <w:vAlign w:val="center"/>
            <w:hideMark/>
          </w:tcPr>
          <w:p w14:paraId="49FF8AA3" w14:textId="505DDB1A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4,7</w:t>
            </w:r>
          </w:p>
        </w:tc>
        <w:tc>
          <w:tcPr>
            <w:tcW w:w="567" w:type="dxa"/>
            <w:noWrap/>
            <w:vAlign w:val="center"/>
            <w:hideMark/>
          </w:tcPr>
          <w:p w14:paraId="6B7671BE" w14:textId="38E97588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1,7</w:t>
            </w:r>
          </w:p>
        </w:tc>
        <w:tc>
          <w:tcPr>
            <w:tcW w:w="567" w:type="dxa"/>
            <w:noWrap/>
            <w:vAlign w:val="center"/>
            <w:hideMark/>
          </w:tcPr>
          <w:p w14:paraId="39F680C2" w14:textId="3BBDC15E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1,4</w:t>
            </w:r>
          </w:p>
        </w:tc>
        <w:tc>
          <w:tcPr>
            <w:tcW w:w="604" w:type="dxa"/>
            <w:noWrap/>
            <w:vAlign w:val="center"/>
            <w:hideMark/>
          </w:tcPr>
          <w:p w14:paraId="40B65A55" w14:textId="721D1583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1,4</w:t>
            </w:r>
          </w:p>
        </w:tc>
        <w:tc>
          <w:tcPr>
            <w:tcW w:w="671" w:type="dxa"/>
            <w:noWrap/>
            <w:vAlign w:val="center"/>
            <w:hideMark/>
          </w:tcPr>
          <w:p w14:paraId="2EB45023" w14:textId="0614E79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2,4</w:t>
            </w:r>
          </w:p>
        </w:tc>
        <w:tc>
          <w:tcPr>
            <w:tcW w:w="590" w:type="dxa"/>
            <w:noWrap/>
            <w:vAlign w:val="center"/>
            <w:hideMark/>
          </w:tcPr>
          <w:p w14:paraId="56731FB6" w14:textId="5B1B0006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1,2</w:t>
            </w:r>
          </w:p>
        </w:tc>
        <w:tc>
          <w:tcPr>
            <w:tcW w:w="561" w:type="dxa"/>
            <w:noWrap/>
            <w:vAlign w:val="center"/>
            <w:hideMark/>
          </w:tcPr>
          <w:p w14:paraId="19947085" w14:textId="754E5CFB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0,8</w:t>
            </w:r>
          </w:p>
        </w:tc>
        <w:tc>
          <w:tcPr>
            <w:tcW w:w="561" w:type="dxa"/>
            <w:noWrap/>
            <w:vAlign w:val="center"/>
            <w:hideMark/>
          </w:tcPr>
          <w:p w14:paraId="6EAD6B44" w14:textId="14A71619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1,4</w:t>
            </w:r>
          </w:p>
        </w:tc>
        <w:tc>
          <w:tcPr>
            <w:tcW w:w="561" w:type="dxa"/>
            <w:noWrap/>
            <w:vAlign w:val="center"/>
            <w:hideMark/>
          </w:tcPr>
          <w:p w14:paraId="0DF8FE73" w14:textId="6097EB8A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1,0</w:t>
            </w:r>
          </w:p>
        </w:tc>
        <w:tc>
          <w:tcPr>
            <w:tcW w:w="505" w:type="dxa"/>
            <w:noWrap/>
            <w:vAlign w:val="center"/>
            <w:hideMark/>
          </w:tcPr>
          <w:p w14:paraId="2446473D" w14:textId="454A8EF7" w:rsidR="00337231" w:rsidRPr="008167D4" w:rsidRDefault="00337231" w:rsidP="00337231">
            <w:pPr>
              <w:spacing w:after="0" w:line="360" w:lineRule="auto"/>
              <w:jc w:val="right"/>
              <w:rPr>
                <w:rFonts w:ascii="Arial" w:hAnsi="Arial" w:cs="Arial"/>
                <w:noProof/>
                <w:color w:val="000000" w:themeColor="text1"/>
                <w:sz w:val="13"/>
                <w:szCs w:val="13"/>
                <w:lang w:val="sr-Latn-RS"/>
              </w:rPr>
            </w:pPr>
            <w:r w:rsidRPr="008167D4">
              <w:rPr>
                <w:rFonts w:ascii="Arial" w:hAnsi="Arial" w:cs="Arial"/>
                <w:noProof/>
                <w:color w:val="000000"/>
                <w:sz w:val="13"/>
                <w:szCs w:val="13"/>
                <w:lang w:val="sr-Latn-RS"/>
              </w:rPr>
              <w:t>1,0</w:t>
            </w:r>
          </w:p>
        </w:tc>
      </w:tr>
    </w:tbl>
    <w:p w14:paraId="668569F6" w14:textId="77777777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 xml:space="preserve">Izvor: Anketa o potrošnji domaćinstava, Republički zavod za statistiku, 2018. </w:t>
      </w:r>
    </w:p>
    <w:p w14:paraId="273EE2CD" w14:textId="77777777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>Posebna obrada za potrebe Tima za socijalno uključivanje i smanjenje siromaštva Vlade Republike Srbije</w:t>
      </w:r>
    </w:p>
    <w:p w14:paraId="3ED67DED" w14:textId="77777777" w:rsidR="00B004E5" w:rsidRPr="008167D4" w:rsidRDefault="00B004E5" w:rsidP="00CC7346">
      <w:pPr>
        <w:spacing w:after="0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</w:p>
    <w:p w14:paraId="56961125" w14:textId="3FCC8D3D" w:rsidR="00FC4258" w:rsidRDefault="00FC4258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255324A5" w14:textId="77777777" w:rsidR="00E45D48" w:rsidRPr="008167D4" w:rsidRDefault="00E45D48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2526D7A9" w14:textId="77777777" w:rsidR="00FC4258" w:rsidRPr="008167D4" w:rsidRDefault="00FC4258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61C82F64" w14:textId="0E8159BF" w:rsidR="00FC4258" w:rsidRPr="008167D4" w:rsidRDefault="00FC4258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135CB940" w14:textId="38A49C73" w:rsidR="008E40DA" w:rsidRPr="008167D4" w:rsidRDefault="008E40DA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1E12B64E" w14:textId="4EE88F99" w:rsidR="0095473A" w:rsidRPr="008167D4" w:rsidRDefault="0095473A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4AD9C270" w14:textId="1F052512" w:rsidR="0095473A" w:rsidRPr="008167D4" w:rsidRDefault="0095473A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236BE9F9" w14:textId="77777777" w:rsidR="0095473A" w:rsidRPr="008167D4" w:rsidRDefault="0095473A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3CC78F43" w14:textId="77777777" w:rsidR="00FC4258" w:rsidRPr="008167D4" w:rsidRDefault="00FC4258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</w:p>
    <w:p w14:paraId="15017F87" w14:textId="795515C9" w:rsidR="00B004E5" w:rsidRPr="008167D4" w:rsidRDefault="008167D4" w:rsidP="003D715A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  <w:r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lastRenderedPageBreak/>
        <w:t>Grafikon 3. Glavni izvori prihoda prvog i desetog decila, 2018.</w:t>
      </w:r>
    </w:p>
    <w:p w14:paraId="2F5502EA" w14:textId="77777777" w:rsidR="00CC7346" w:rsidRPr="008167D4" w:rsidRDefault="00E23655" w:rsidP="003D71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noProof/>
          <w:lang w:val="en-US" w:eastAsia="en-US"/>
        </w:rPr>
        <w:drawing>
          <wp:inline distT="0" distB="0" distL="0" distR="0" wp14:anchorId="2891489D" wp14:editId="6B6FAA9B">
            <wp:extent cx="2342147" cy="2523490"/>
            <wp:effectExtent l="0" t="0" r="7620" b="1651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455125CA-E494-C14E-88DC-23F2557F5D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8167D4">
        <w:rPr>
          <w:noProof/>
          <w:lang w:val="en-US" w:eastAsia="en-US"/>
        </w:rPr>
        <w:drawing>
          <wp:inline distT="0" distB="0" distL="0" distR="0" wp14:anchorId="2D893CF8" wp14:editId="3AF4C4AC">
            <wp:extent cx="2341880" cy="2532480"/>
            <wp:effectExtent l="0" t="0" r="7620" b="762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C0ED5E8-65FF-2C45-80B0-2F08D28222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71BDD6" w14:textId="77777777" w:rsidR="00337231" w:rsidRPr="008167D4" w:rsidRDefault="00337231" w:rsidP="00337231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 xml:space="preserve">Izvor: Anketa o potrošnji domaćinstava, Republički zavod za statistiku, 2018. </w:t>
      </w:r>
    </w:p>
    <w:p w14:paraId="7703640C" w14:textId="252A829F" w:rsidR="00B004E5" w:rsidRPr="00A54246" w:rsidRDefault="00337231" w:rsidP="00A54246">
      <w:pPr>
        <w:spacing w:after="0" w:line="240" w:lineRule="auto"/>
        <w:jc w:val="both"/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</w:pPr>
      <w:r w:rsidRPr="008167D4">
        <w:rPr>
          <w:rFonts w:ascii="Arial" w:hAnsi="Arial" w:cs="Arial"/>
          <w:i/>
          <w:noProof/>
          <w:color w:val="000000" w:themeColor="text1"/>
          <w:sz w:val="15"/>
          <w:szCs w:val="16"/>
          <w:lang w:val="sr-Latn-RS"/>
        </w:rPr>
        <w:t>Posebna obrada za potrebe Tima za socijalno uključivanje i smanjenje siromaštva Vlade Republike Srbije</w:t>
      </w:r>
    </w:p>
    <w:p w14:paraId="469EA6CA" w14:textId="5831721B" w:rsidR="006704BB" w:rsidRPr="00A54246" w:rsidRDefault="008167D4" w:rsidP="00A54246">
      <w:pPr>
        <w:spacing w:before="480" w:after="240"/>
        <w:jc w:val="both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937B80">
        <w:rPr>
          <w:rFonts w:ascii="Arial" w:eastAsia="Times New Roman" w:hAnsi="Arial" w:cs="Arial"/>
          <w:b/>
          <w:bCs/>
          <w:noProof/>
          <w:sz w:val="26"/>
          <w:szCs w:val="26"/>
          <w:lang w:val="sr-Latn-RS" w:bidi="ar-SA"/>
        </w:rPr>
        <w:t>Raspodela prihoda po decilima</w:t>
      </w:r>
      <w:r w:rsidR="00CC7346" w:rsidRPr="008167D4">
        <w:rPr>
          <w:rFonts w:ascii="Arial" w:eastAsia="Times New Roman" w:hAnsi="Arial" w:cs="Arial"/>
          <w:b/>
          <w:bCs/>
          <w:noProof/>
          <w:sz w:val="21"/>
          <w:szCs w:val="21"/>
          <w:lang w:val="sr-Latn-RS" w:bidi="ar-SA"/>
        </w:rPr>
        <w:t xml:space="preserve"> -</w:t>
      </w:r>
      <w:r w:rsidR="00B004E5" w:rsidRPr="008167D4">
        <w:rPr>
          <w:rFonts w:ascii="Arial" w:hAnsi="Arial" w:cs="Arial"/>
          <w:b/>
          <w:noProof/>
          <w:color w:val="000000" w:themeColor="text1"/>
          <w:sz w:val="26"/>
          <w:szCs w:val="26"/>
          <w:lang w:val="sr-Latn-RS"/>
        </w:rPr>
        <w:t xml:space="preserve"> </w:t>
      </w:r>
      <w:r w:rsidR="00600786" w:rsidRPr="00600786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>U Republici Srbiji je 10% najsiromašnijeg stanovništva dodatno je smanjilo svoj udeo u ukupnim ostvarenim prihodima u 2018. godini i iznosi 2,6% (naspram 3,1% u 2017.). S druge strane, 10% najbogatijeg stanovništva uvećalo je svoj udeo u ukupno ostvarenim prihodima u zemlji,  i iznosi 23,8% (naspram 20,0% u 2017.) ukupno ostvarenog prihoda.</w:t>
      </w:r>
    </w:p>
    <w:p w14:paraId="4669B8DE" w14:textId="3B57E50D" w:rsidR="00B004E5" w:rsidRPr="008167D4" w:rsidRDefault="008167D4" w:rsidP="006704BB">
      <w:pPr>
        <w:spacing w:after="0" w:line="240" w:lineRule="auto"/>
        <w:jc w:val="both"/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</w:pPr>
      <w:r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>Grafikon</w:t>
      </w:r>
      <w:r w:rsidR="006704BB"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 xml:space="preserve"> 4. </w:t>
      </w:r>
      <w:r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>Učešće pojedinih decila u raspodeli ukupnog prihoda</w:t>
      </w:r>
      <w:r w:rsidR="006704BB"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 xml:space="preserve">, % 2017. </w:t>
      </w:r>
      <w:r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>godine</w:t>
      </w:r>
      <w:r w:rsidR="006704BB" w:rsidRPr="008167D4">
        <w:rPr>
          <w:rFonts w:ascii="Arial" w:hAnsi="Arial" w:cs="Arial"/>
          <w:b/>
          <w:noProof/>
          <w:color w:val="000000" w:themeColor="text1"/>
          <w:sz w:val="18"/>
          <w:szCs w:val="18"/>
          <w:lang w:val="sr-Latn-RS"/>
        </w:rPr>
        <w:t xml:space="preserve"> </w:t>
      </w:r>
    </w:p>
    <w:p w14:paraId="1B367734" w14:textId="0B9808DC" w:rsidR="006704BB" w:rsidRPr="008167D4" w:rsidRDefault="00BA436E" w:rsidP="00937B80">
      <w:pPr>
        <w:spacing w:before="120" w:after="120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8167D4">
        <w:rPr>
          <w:rFonts w:ascii="Arial" w:hAnsi="Arial" w:cs="Arial"/>
          <w:b/>
          <w:bCs/>
          <w:noProof/>
          <w:color w:val="FF0000"/>
          <w:sz w:val="21"/>
          <w:szCs w:val="21"/>
          <w:lang w:val="en-US" w:eastAsia="en-US" w:bidi="ar-SA"/>
        </w:rPr>
        <w:drawing>
          <wp:inline distT="0" distB="0" distL="0" distR="0" wp14:anchorId="629892F2" wp14:editId="124A4281">
            <wp:extent cx="3248174" cy="293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0875" cy="29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B235" w14:textId="77777777" w:rsidR="00BA436E" w:rsidRDefault="00937B80" w:rsidP="00BA436E">
      <w:pPr>
        <w:spacing w:after="0" w:line="240" w:lineRule="auto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8167D4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6B201" wp14:editId="23C551B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24739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F7353" w14:textId="182D1494" w:rsidR="006704BB" w:rsidRPr="006704BB" w:rsidRDefault="00337231" w:rsidP="006704B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</w:pPr>
                            <w:r w:rsidRPr="00337231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5"/>
                                <w:szCs w:val="16"/>
                                <w:lang w:val="sr-Cyrl-RS"/>
                              </w:rPr>
                              <w:t>Izvor: Anketa o potrošnji domaćinstava, Republički zavod za statistiku, 2018. Posebna obrada za potrebe Tima za socijalno uključivanje i smanjenje siromaštva Vlade Republike Srbije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56B2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.85pt;width:255.7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" filled="f" stroked="f" strokeweight=".5pt">
                <v:textbox style="mso-fit-shape-to-text:t">
                  <w:txbxContent>
                    <w:p w14:paraId="69DF7353" w14:textId="182D1494" w:rsidR="006704BB" w:rsidRPr="006704BB" w:rsidRDefault="00337231" w:rsidP="006704B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</w:pPr>
                      <w:r w:rsidRPr="00337231">
                        <w:rPr>
                          <w:rFonts w:ascii="Arial" w:hAnsi="Arial" w:cs="Arial"/>
                          <w:i/>
                          <w:color w:val="000000" w:themeColor="text1"/>
                          <w:sz w:val="15"/>
                          <w:szCs w:val="16"/>
                          <w:lang w:val="sr-Cyrl-RS"/>
                        </w:rPr>
                        <w:t>Izvor: Anketa o potrošnji domaćinstava, Republički zavod za statistiku, 2018. Posebna obrada za potrebe Tima za socijalno uključivanje i smanjenje siromaštva Vlade Republike Srbije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C80438" w14:textId="77777777" w:rsidR="00BA436E" w:rsidRDefault="00BA436E" w:rsidP="00BA436E">
      <w:pPr>
        <w:spacing w:after="0" w:line="240" w:lineRule="auto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</w:p>
    <w:p w14:paraId="1B8ADDE2" w14:textId="77777777" w:rsidR="00BA436E" w:rsidRDefault="00BA436E" w:rsidP="00BA436E">
      <w:pPr>
        <w:spacing w:after="0" w:line="240" w:lineRule="auto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</w:p>
    <w:p w14:paraId="6D036E97" w14:textId="77777777" w:rsidR="00BA436E" w:rsidRDefault="00BA436E" w:rsidP="00BA436E">
      <w:pPr>
        <w:spacing w:after="0" w:line="240" w:lineRule="auto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</w:p>
    <w:p w14:paraId="52EC677E" w14:textId="396EDC3A" w:rsidR="00126BD6" w:rsidRPr="008167D4" w:rsidRDefault="008167D4" w:rsidP="00BA436E">
      <w:pPr>
        <w:spacing w:after="0"/>
        <w:jc w:val="both"/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Podatke o </w:t>
      </w:r>
      <w:r w:rsidRPr="008167D4">
        <w:rPr>
          <w:rFonts w:ascii="Arial" w:eastAsia="Times New Roman" w:hAnsi="Arial" w:cs="Arial"/>
          <w:b/>
          <w:bCs/>
          <w:noProof/>
          <w:sz w:val="21"/>
          <w:szCs w:val="21"/>
          <w:lang w:val="sr-Latn-RS" w:bidi="ar-SA"/>
        </w:rPr>
        <w:t>medijalnoj potrošnji/prihodu</w:t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>, kao potrošnji/prihodu koju ima središnji (medijalni) stanovnik koji deli raspodelu potrošnje na dva dela</w:t>
      </w:r>
      <w:r w:rsidRPr="008167D4">
        <w:rPr>
          <w:rStyle w:val="FootnoteReference"/>
          <w:rFonts w:ascii="Arial" w:hAnsi="Arial" w:cs="Arial"/>
          <w:noProof/>
          <w:color w:val="000000" w:themeColor="text1"/>
          <w:sz w:val="21"/>
          <w:szCs w:val="21"/>
          <w:lang w:val="sr-Latn-RS"/>
        </w:rPr>
        <w:footnoteReference w:id="1"/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, moguće je naći </w:t>
      </w:r>
      <w:hyperlink r:id="rId14" w:history="1">
        <w:r w:rsidRPr="00937B80">
          <w:rPr>
            <w:rStyle w:val="Hyperlink"/>
            <w:rFonts w:ascii="Arial" w:hAnsi="Arial" w:cs="Arial"/>
            <w:noProof/>
            <w:sz w:val="21"/>
            <w:szCs w:val="21"/>
            <w:lang w:val="sr-Latn-RS"/>
          </w:rPr>
          <w:t>u pratećim podacima</w:t>
        </w:r>
      </w:hyperlink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 koji čine </w:t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lastRenderedPageBreak/>
        <w:t xml:space="preserve">sastavni deo ove publikacije. </w:t>
      </w:r>
      <w:hyperlink r:id="rId15" w:history="1">
        <w:r w:rsidRPr="00937B80">
          <w:rPr>
            <w:rStyle w:val="Hyperlink"/>
            <w:rFonts w:ascii="Arial" w:hAnsi="Arial" w:cs="Arial"/>
            <w:noProof/>
            <w:sz w:val="21"/>
            <w:szCs w:val="21"/>
            <w:lang w:val="sr-Latn-RS"/>
          </w:rPr>
          <w:t>U pratećim fajlovima</w:t>
        </w:r>
      </w:hyperlink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 nalaze se i </w:t>
      </w:r>
      <w:r w:rsidRPr="008167D4">
        <w:rPr>
          <w:rFonts w:ascii="Arial" w:eastAsia="Times New Roman" w:hAnsi="Arial" w:cs="Arial"/>
          <w:b/>
          <w:bCs/>
          <w:noProof/>
          <w:sz w:val="21"/>
          <w:szCs w:val="21"/>
          <w:lang w:val="sr-Latn-RS" w:bidi="ar-SA"/>
        </w:rPr>
        <w:t>stope rasta</w:t>
      </w:r>
      <w:r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 prosečne i medijalne potrošnje i prihoda, kao i informacija o prosečnom broju članova domaćinstava i prosečan broj potrošačkih jedinica po decilima</w:t>
      </w:r>
      <w:r w:rsidR="00ED15E2" w:rsidRPr="008167D4">
        <w:rPr>
          <w:rFonts w:ascii="Arial" w:hAnsi="Arial" w:cs="Arial"/>
          <w:noProof/>
          <w:color w:val="000000" w:themeColor="text1"/>
          <w:sz w:val="21"/>
          <w:szCs w:val="21"/>
          <w:lang w:val="sr-Latn-RS"/>
        </w:rPr>
        <w:t xml:space="preserve">. </w:t>
      </w:r>
    </w:p>
    <w:p w14:paraId="7A836FBE" w14:textId="77777777" w:rsidR="003D715A" w:rsidRPr="008167D4" w:rsidRDefault="003D715A" w:rsidP="00BA436E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b/>
          <w:bCs/>
          <w:noProof/>
          <w:sz w:val="21"/>
          <w:szCs w:val="21"/>
          <w:lang w:val="sr-Latn-RS"/>
        </w:rPr>
      </w:pPr>
    </w:p>
    <w:p w14:paraId="0630A0C2" w14:textId="06FC9B30" w:rsidR="00620341" w:rsidRPr="008167D4" w:rsidRDefault="008167D4" w:rsidP="00CC7346">
      <w:pPr>
        <w:pStyle w:val="NormalWeb"/>
        <w:shd w:val="clear" w:color="auto" w:fill="FFFFFF"/>
        <w:jc w:val="both"/>
        <w:rPr>
          <w:rFonts w:ascii="Arial" w:hAnsi="Arial" w:cs="Arial"/>
          <w:b/>
          <w:bCs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b/>
          <w:bCs/>
          <w:noProof/>
          <w:sz w:val="21"/>
          <w:szCs w:val="21"/>
          <w:lang w:val="sr-Latn-RS"/>
        </w:rPr>
        <w:t>Metodološke napome</w:t>
      </w:r>
      <w:bookmarkStart w:id="0" w:name="_GoBack"/>
      <w:bookmarkEnd w:id="0"/>
      <w:r w:rsidRPr="008167D4">
        <w:rPr>
          <w:rFonts w:ascii="Arial" w:hAnsi="Arial" w:cs="Arial"/>
          <w:b/>
          <w:bCs/>
          <w:noProof/>
          <w:sz w:val="21"/>
          <w:szCs w:val="21"/>
          <w:lang w:val="sr-Latn-RS"/>
        </w:rPr>
        <w:t>ne</w:t>
      </w:r>
    </w:p>
    <w:p w14:paraId="208DD8A9" w14:textId="77777777" w:rsidR="008167D4" w:rsidRPr="008167D4" w:rsidRDefault="008167D4" w:rsidP="008167D4">
      <w:pPr>
        <w:spacing w:before="120" w:after="120"/>
        <w:jc w:val="both"/>
        <w:rPr>
          <w:rFonts w:ascii="Arial" w:hAnsi="Arial" w:cs="Arial"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sz w:val="21"/>
          <w:szCs w:val="21"/>
          <w:lang w:val="sr-Latn-RS"/>
        </w:rPr>
        <w:t xml:space="preserve">Decilna analiza je postupak kojim se ekvivalentna potrošnja/prihod svih domaćinstava ili pojedinaca rangira od najniže ka najvišoj. Tako rangirana domaćinstva/pojedinci dele se u deset jednakih grupa. U prvom decilu nalaze se domaćinstva/pojedinci čija je ekvivalentna potrošnja/prihod najniža (najsiromašnija domaćinstva), a u desetom decilu su domaćinstva/pojedinci čija je ekvivalentna potrošnja/prihod najviši (najbogatija domaćinstva). </w:t>
      </w:r>
    </w:p>
    <w:p w14:paraId="4F938290" w14:textId="298A8F72" w:rsidR="008167D4" w:rsidRPr="008167D4" w:rsidRDefault="008167D4" w:rsidP="008167D4">
      <w:pPr>
        <w:spacing w:before="120" w:after="120"/>
        <w:jc w:val="both"/>
        <w:rPr>
          <w:rFonts w:ascii="Arial" w:hAnsi="Arial" w:cs="Arial"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sz w:val="21"/>
          <w:szCs w:val="21"/>
          <w:lang w:val="sr-Latn-RS"/>
        </w:rPr>
        <w:t>Prilikom izrade ove publikacije decili su formirani tako da dele ukupnu populaciju</w:t>
      </w:r>
      <w:r w:rsidRPr="008167D4">
        <w:rPr>
          <w:rStyle w:val="FootnoteReference"/>
          <w:rFonts w:ascii="Arial" w:hAnsi="Arial" w:cs="Arial"/>
          <w:noProof/>
          <w:sz w:val="21"/>
          <w:szCs w:val="21"/>
          <w:lang w:val="sr-Latn-RS"/>
        </w:rPr>
        <w:footnoteReference w:id="2"/>
      </w:r>
      <w:r w:rsidRPr="008167D4">
        <w:rPr>
          <w:rFonts w:ascii="Arial" w:hAnsi="Arial" w:cs="Arial"/>
          <w:noProof/>
          <w:sz w:val="21"/>
          <w:szCs w:val="21"/>
          <w:lang w:val="sr-Latn-RS"/>
        </w:rPr>
        <w:t xml:space="preserve"> na deset jednakih delova, dok je u zavisnosti od toga da li se posmatra ekvivalentna potrošnja ili prihod, korišćena adekvatna skala ekvivalencije. Primena skale ekvivalencije (potrošačke jedinice) omogućava poređenje potrošnje/prihoda lica koja žive u domaćinstvima različitim po veličini (broju članova) preko zajedničkog imenitelja – potrošačke jedinice. </w:t>
      </w:r>
    </w:p>
    <w:p w14:paraId="632AEB8F" w14:textId="77777777" w:rsidR="008167D4" w:rsidRPr="008167D4" w:rsidRDefault="008167D4" w:rsidP="008167D4">
      <w:pPr>
        <w:spacing w:before="120" w:after="120"/>
        <w:jc w:val="both"/>
        <w:rPr>
          <w:rFonts w:ascii="Arial" w:hAnsi="Arial" w:cs="Arial"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sz w:val="21"/>
          <w:szCs w:val="21"/>
          <w:lang w:val="sr-Latn-RS"/>
        </w:rPr>
        <w:t xml:space="preserve">Prilikom obračuna ekvivalentne potrošnje primenjuje se skala ekvivalencije OECD-a, prema kojoj nosilac domaćinstva dobija ponder 1, svaki odrasli član domaćinstva (starosti 14 i više godina) ponder 0,7, a deca (ispod 14 godina starosti) ponder 0,5. Prilikom obračuna ekvivalentnog prihoda primenjuje se modifikovana skala ekvivalencije OECD-a, prema kojoj nosilac domaćinstva dobija ponder 1, svaki odrasli član domaćinstva (starosti 14 i više godina) ponder 0,5, a deca (ispod 14 godina starosti) ponder 0,3. </w:t>
      </w:r>
    </w:p>
    <w:p w14:paraId="009BAC7D" w14:textId="77777777" w:rsidR="008167D4" w:rsidRPr="008167D4" w:rsidRDefault="008167D4" w:rsidP="008167D4">
      <w:pPr>
        <w:spacing w:before="120" w:after="120"/>
        <w:jc w:val="both"/>
        <w:rPr>
          <w:rFonts w:ascii="Arial" w:hAnsi="Arial" w:cs="Arial"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sz w:val="21"/>
          <w:szCs w:val="21"/>
          <w:lang w:val="sr-Latn-RS"/>
        </w:rPr>
        <w:t xml:space="preserve">U Anketi o potrošnji domaćinstava prihodi domaćinstava u novcu i u naturi obuhvataju samo tekuća primanja svih članova domaćinstva (ne obuhvataju se podignuti gotovinski, potrošački i investicioni krediti, prihodi od prodaje pokretne i nepokretne imovine i sl.). Lična potrošnja, takođe, obuhvata tekuću, uobičajenu potrošnju svih članova domaćinstva, što znači da se ne prati investiciona potrošnja, otplata kredita, plaćeni porezi i sl. Prema metodologiji Ankete, svaka kupovina evidentira se u punom iznosu, bez obzira da li je roba/usluga kupljena na kredit ili plaćena u gotovini. </w:t>
      </w:r>
    </w:p>
    <w:p w14:paraId="54DE2BCD" w14:textId="4C25C188" w:rsidR="00620341" w:rsidRPr="008167D4" w:rsidRDefault="008167D4" w:rsidP="006704BB">
      <w:pPr>
        <w:spacing w:before="120" w:after="120"/>
        <w:jc w:val="both"/>
        <w:rPr>
          <w:rFonts w:ascii="Arial" w:hAnsi="Arial" w:cs="Arial"/>
          <w:noProof/>
          <w:sz w:val="21"/>
          <w:szCs w:val="21"/>
          <w:lang w:val="sr-Latn-RS"/>
        </w:rPr>
      </w:pPr>
      <w:r w:rsidRPr="008167D4">
        <w:rPr>
          <w:rFonts w:ascii="Arial" w:hAnsi="Arial" w:cs="Arial"/>
          <w:noProof/>
          <w:sz w:val="21"/>
          <w:szCs w:val="21"/>
          <w:lang w:val="sr-Latn-RS"/>
        </w:rPr>
        <w:t>Značajna karakteristika ove ankete je da se ne primenjuje bilansiranje (izjednačavanje) prihoda i potrošnje domaćinstava</w:t>
      </w:r>
      <w:r w:rsidR="00620341" w:rsidRPr="008167D4">
        <w:rPr>
          <w:rStyle w:val="FootnoteReference"/>
          <w:rFonts w:ascii="Arial" w:hAnsi="Arial" w:cs="Arial"/>
          <w:noProof/>
          <w:sz w:val="21"/>
          <w:szCs w:val="21"/>
          <w:lang w:val="sr-Latn-RS"/>
        </w:rPr>
        <w:footnoteReference w:id="3"/>
      </w:r>
      <w:r w:rsidR="00620341" w:rsidRPr="008167D4">
        <w:rPr>
          <w:rFonts w:ascii="Arial" w:hAnsi="Arial" w:cs="Arial"/>
          <w:noProof/>
          <w:sz w:val="21"/>
          <w:szCs w:val="21"/>
          <w:lang w:val="sr-Latn-RS"/>
        </w:rPr>
        <w:t xml:space="preserve">. </w:t>
      </w:r>
    </w:p>
    <w:p w14:paraId="745071E9" w14:textId="77777777" w:rsidR="00620341" w:rsidRPr="008167D4" w:rsidRDefault="00620341" w:rsidP="00CC7346">
      <w:pPr>
        <w:jc w:val="both"/>
        <w:rPr>
          <w:noProof/>
          <w:lang w:val="sr-Latn-RS"/>
        </w:rPr>
      </w:pPr>
    </w:p>
    <w:sectPr w:rsidR="00620341" w:rsidRPr="008167D4" w:rsidSect="00E45D48">
      <w:pgSz w:w="11900" w:h="16840"/>
      <w:pgMar w:top="135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0C34D" w14:textId="77777777" w:rsidR="00175BA8" w:rsidRDefault="00175BA8" w:rsidP="00620341">
      <w:pPr>
        <w:spacing w:after="0" w:line="240" w:lineRule="auto"/>
      </w:pPr>
      <w:r>
        <w:separator/>
      </w:r>
    </w:p>
  </w:endnote>
  <w:endnote w:type="continuationSeparator" w:id="0">
    <w:p w14:paraId="19AA4539" w14:textId="77777777" w:rsidR="00175BA8" w:rsidRDefault="00175BA8" w:rsidP="0062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ouschka Pro Thin">
    <w:altName w:val="Arial"/>
    <w:charset w:val="00"/>
    <w:family w:val="modern"/>
    <w:pitch w:val="variable"/>
    <w:sig w:usb0="800002AF" w:usb1="50002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324C3" w14:textId="77777777" w:rsidR="00175BA8" w:rsidRDefault="00175BA8" w:rsidP="00620341">
      <w:pPr>
        <w:spacing w:after="0" w:line="240" w:lineRule="auto"/>
      </w:pPr>
      <w:r>
        <w:separator/>
      </w:r>
    </w:p>
  </w:footnote>
  <w:footnote w:type="continuationSeparator" w:id="0">
    <w:p w14:paraId="673FF621" w14:textId="77777777" w:rsidR="00175BA8" w:rsidRDefault="00175BA8" w:rsidP="00620341">
      <w:pPr>
        <w:spacing w:after="0" w:line="240" w:lineRule="auto"/>
      </w:pPr>
      <w:r>
        <w:continuationSeparator/>
      </w:r>
    </w:p>
  </w:footnote>
  <w:footnote w:id="1">
    <w:p w14:paraId="492FD4F4" w14:textId="2EC8EFDC" w:rsidR="008167D4" w:rsidRPr="00937B80" w:rsidRDefault="008167D4" w:rsidP="008167D4">
      <w:pPr>
        <w:pStyle w:val="FootnoteText"/>
        <w:rPr>
          <w:rFonts w:ascii="Arial" w:hAnsi="Arial" w:cs="Arial"/>
          <w:sz w:val="15"/>
          <w:szCs w:val="15"/>
          <w:lang w:val="sr-Latn-RS"/>
        </w:rPr>
      </w:pPr>
      <w:r w:rsidRPr="00937B80">
        <w:rPr>
          <w:rStyle w:val="FootnoteReference"/>
          <w:rFonts w:ascii="Arial" w:hAnsi="Arial" w:cs="Arial"/>
          <w:szCs w:val="15"/>
        </w:rPr>
        <w:footnoteRef/>
      </w:r>
      <w:r w:rsidRPr="00937B80">
        <w:rPr>
          <w:rFonts w:ascii="Arial" w:hAnsi="Arial" w:cs="Arial"/>
          <w:szCs w:val="15"/>
        </w:rPr>
        <w:t xml:space="preserve"> </w:t>
      </w:r>
      <w:r w:rsidR="00600786" w:rsidRPr="00937B80">
        <w:rPr>
          <w:rFonts w:ascii="Arial" w:hAnsi="Arial" w:cs="Arial"/>
          <w:color w:val="000000" w:themeColor="text1"/>
          <w:sz w:val="16"/>
          <w:szCs w:val="15"/>
          <w:lang w:val="sr-Cyrl-RS"/>
        </w:rPr>
        <w:t>Sa približno jednakim brojem pojedinaca</w:t>
      </w:r>
      <w:r w:rsidR="00937B80" w:rsidRPr="00937B80">
        <w:rPr>
          <w:rFonts w:ascii="Arial" w:hAnsi="Arial" w:cs="Arial"/>
          <w:color w:val="000000" w:themeColor="text1"/>
          <w:sz w:val="16"/>
          <w:szCs w:val="15"/>
          <w:lang w:val="sr-Latn-RS"/>
        </w:rPr>
        <w:t>.</w:t>
      </w:r>
    </w:p>
  </w:footnote>
  <w:footnote w:id="2">
    <w:p w14:paraId="5E6D7E13" w14:textId="0C3D1C01" w:rsidR="008167D4" w:rsidRPr="003D715A" w:rsidRDefault="008167D4" w:rsidP="008167D4">
      <w:pPr>
        <w:pStyle w:val="FootnoteText"/>
        <w:rPr>
          <w:sz w:val="16"/>
          <w:szCs w:val="16"/>
          <w:lang w:val="sr-Cyrl-RS"/>
        </w:rPr>
      </w:pPr>
      <w:r w:rsidRPr="00937B80">
        <w:rPr>
          <w:rStyle w:val="FootnoteReference"/>
          <w:szCs w:val="16"/>
        </w:rPr>
        <w:footnoteRef/>
      </w:r>
      <w:r w:rsidRPr="00937B80">
        <w:rPr>
          <w:szCs w:val="16"/>
        </w:rPr>
        <w:t xml:space="preserve"> </w:t>
      </w:r>
      <w:r w:rsidR="00600786" w:rsidRPr="00937B80">
        <w:rPr>
          <w:rFonts w:ascii="Arial" w:hAnsi="Arial" w:cs="Arial"/>
          <w:sz w:val="16"/>
          <w:szCs w:val="15"/>
          <w:lang w:val="sr-Cyrl-RS"/>
        </w:rPr>
        <w:t>U zavisnosti od odluke, moguće je formiranje decila tako da dele ukupan broj domaćinstava na deset jednakih delova. Ovaj pristup je korišćen prilikom izrade Biltena Ankete o potrošnji domaćinstava Republičkog zavoda za statistiku</w:t>
      </w:r>
      <w:r w:rsidRPr="00937B80">
        <w:rPr>
          <w:rFonts w:ascii="Arial" w:hAnsi="Arial" w:cs="Arial"/>
          <w:sz w:val="16"/>
          <w:szCs w:val="15"/>
          <w:lang w:val="sr-Cyrl-RS"/>
        </w:rPr>
        <w:t>.</w:t>
      </w:r>
    </w:p>
  </w:footnote>
  <w:footnote w:id="3">
    <w:p w14:paraId="3BFB0A6A" w14:textId="6DA68C1B" w:rsidR="00620341" w:rsidRPr="00620341" w:rsidRDefault="00620341" w:rsidP="00620341">
      <w:pPr>
        <w:pStyle w:val="FootnoteText"/>
        <w:rPr>
          <w:lang w:val="sr-Cyrl-RS"/>
        </w:rPr>
      </w:pPr>
      <w:r w:rsidRPr="00937B80">
        <w:rPr>
          <w:rStyle w:val="FootnoteReference"/>
          <w:szCs w:val="16"/>
        </w:rPr>
        <w:footnoteRef/>
      </w:r>
      <w:r w:rsidRPr="00937B80">
        <w:rPr>
          <w:szCs w:val="16"/>
        </w:rPr>
        <w:t xml:space="preserve"> </w:t>
      </w:r>
      <w:r w:rsidR="00600786" w:rsidRPr="00937B80">
        <w:rPr>
          <w:rFonts w:ascii="Arial" w:hAnsi="Arial" w:cs="Arial"/>
          <w:sz w:val="16"/>
          <w:szCs w:val="15"/>
          <w:lang w:val="sr-Cyrl-RS"/>
        </w:rPr>
        <w:t>Više o metodologiji Ankete o potrošnji domaćinstava na</w:t>
      </w:r>
      <w:r w:rsidR="00937B80">
        <w:rPr>
          <w:rFonts w:ascii="Arial" w:hAnsi="Arial" w:cs="Arial"/>
          <w:sz w:val="16"/>
          <w:szCs w:val="15"/>
          <w:lang w:val="sr-Latn-RS"/>
        </w:rPr>
        <w:t>:</w:t>
      </w:r>
      <w:r w:rsidRPr="00937B80">
        <w:rPr>
          <w:rFonts w:ascii="Arial" w:hAnsi="Arial" w:cs="Arial"/>
          <w:sz w:val="16"/>
          <w:szCs w:val="15"/>
          <w:lang w:val="sr-Cyrl-RS"/>
        </w:rPr>
        <w:t xml:space="preserve"> </w:t>
      </w:r>
      <w:hyperlink r:id="rId1" w:history="1">
        <w:r w:rsidRPr="00937B80">
          <w:rPr>
            <w:rStyle w:val="Hyperlink"/>
            <w:rFonts w:ascii="Arial" w:hAnsi="Arial" w:cs="Arial"/>
            <w:sz w:val="16"/>
            <w:szCs w:val="15"/>
            <w:lang w:val="sr-Cyrl-RS"/>
          </w:rPr>
          <w:t>http://www.stat.gov.rs/sr-latn/istrazivanja/methodology-and-documents/?a=01&amp;s=0101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41"/>
    <w:rsid w:val="00072F33"/>
    <w:rsid w:val="000B1D3C"/>
    <w:rsid w:val="000C2503"/>
    <w:rsid w:val="001108F6"/>
    <w:rsid w:val="00126BD6"/>
    <w:rsid w:val="00175BA8"/>
    <w:rsid w:val="0018245D"/>
    <w:rsid w:val="002062A5"/>
    <w:rsid w:val="002B7FC8"/>
    <w:rsid w:val="002F6E93"/>
    <w:rsid w:val="00303489"/>
    <w:rsid w:val="00317F25"/>
    <w:rsid w:val="003208F0"/>
    <w:rsid w:val="00337231"/>
    <w:rsid w:val="003D715A"/>
    <w:rsid w:val="0045409E"/>
    <w:rsid w:val="004554C3"/>
    <w:rsid w:val="0045673A"/>
    <w:rsid w:val="00460E47"/>
    <w:rsid w:val="0048214E"/>
    <w:rsid w:val="004D31A7"/>
    <w:rsid w:val="005E495C"/>
    <w:rsid w:val="00600786"/>
    <w:rsid w:val="00620341"/>
    <w:rsid w:val="006704BB"/>
    <w:rsid w:val="006B439B"/>
    <w:rsid w:val="00742FCC"/>
    <w:rsid w:val="00812C52"/>
    <w:rsid w:val="008167D4"/>
    <w:rsid w:val="008A2AAE"/>
    <w:rsid w:val="008E40DA"/>
    <w:rsid w:val="00937B80"/>
    <w:rsid w:val="0095473A"/>
    <w:rsid w:val="00A54246"/>
    <w:rsid w:val="00AB2C0D"/>
    <w:rsid w:val="00AD56F5"/>
    <w:rsid w:val="00B004E5"/>
    <w:rsid w:val="00BA436E"/>
    <w:rsid w:val="00BB5E07"/>
    <w:rsid w:val="00CC7346"/>
    <w:rsid w:val="00CE2A42"/>
    <w:rsid w:val="00D978E0"/>
    <w:rsid w:val="00E042C0"/>
    <w:rsid w:val="00E23655"/>
    <w:rsid w:val="00E30F2F"/>
    <w:rsid w:val="00E33F52"/>
    <w:rsid w:val="00E45D48"/>
    <w:rsid w:val="00E754F2"/>
    <w:rsid w:val="00ED15E2"/>
    <w:rsid w:val="00F56BE7"/>
    <w:rsid w:val="00F61D51"/>
    <w:rsid w:val="00F85EDC"/>
    <w:rsid w:val="00FC4258"/>
    <w:rsid w:val="00FC7898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0E210"/>
  <w15:chartTrackingRefBased/>
  <w15:docId w15:val="{CA3BB62E-D4AF-1042-BF18-1AE18B79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41"/>
    <w:pPr>
      <w:spacing w:after="200" w:line="276" w:lineRule="auto"/>
    </w:pPr>
    <w:rPr>
      <w:sz w:val="22"/>
      <w:szCs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0341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Houschka Pro Thin" w:eastAsia="MS Mincho" w:hAnsi="Houschka Pro Thin" w:cs="Times New Roman"/>
      <w:color w:val="365F91"/>
      <w:sz w:val="72"/>
      <w:szCs w:val="72"/>
      <w:shd w:val="clear" w:color="auto" w:fill="FFFFFF"/>
      <w:lang w:val="sr-Latn-CS" w:eastAsia="x-none" w:bidi="ar-SA"/>
    </w:rPr>
  </w:style>
  <w:style w:type="character" w:customStyle="1" w:styleId="TitleChar">
    <w:name w:val="Title Char"/>
    <w:basedOn w:val="DefaultParagraphFont"/>
    <w:link w:val="Title"/>
    <w:uiPriority w:val="10"/>
    <w:rsid w:val="00620341"/>
    <w:rPr>
      <w:rFonts w:ascii="Houschka Pro Thin" w:eastAsia="MS Mincho" w:hAnsi="Houschka Pro Thin" w:cs="Times New Roman"/>
      <w:color w:val="365F91"/>
      <w:sz w:val="72"/>
      <w:szCs w:val="72"/>
      <w:lang w:val="sr-Latn-CS" w:eastAsia="x-none"/>
    </w:rPr>
  </w:style>
  <w:style w:type="paragraph" w:styleId="NormalWeb">
    <w:name w:val="Normal (Web)"/>
    <w:basedOn w:val="Normal"/>
    <w:uiPriority w:val="99"/>
    <w:unhideWhenUsed/>
    <w:rsid w:val="0062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03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0341"/>
    <w:rPr>
      <w:sz w:val="20"/>
      <w:szCs w:val="20"/>
      <w:lang w:val="en-GB" w:eastAsia="en-GB"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2034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0341"/>
    <w:rPr>
      <w:color w:val="0000FF"/>
      <w:u w:val="single"/>
    </w:rPr>
  </w:style>
  <w:style w:type="table" w:styleId="TableGrid">
    <w:name w:val="Table Grid"/>
    <w:basedOn w:val="TableNormal"/>
    <w:uiPriority w:val="39"/>
    <w:rsid w:val="00BB5E07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45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45D"/>
    <w:rPr>
      <w:rFonts w:ascii="Times New Roman" w:hAnsi="Times New Roman" w:cs="Times New Roman"/>
      <w:sz w:val="18"/>
      <w:szCs w:val="18"/>
      <w:lang w:val="en-GB" w:eastAsia="en-GB" w:bidi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71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0E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5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://socijalnoukljucivanje.gov.rs/wp-content/uploads/2019/06/Decilna_analiza_potrosnje_i_prihoda_u_Republici_Srbiji_lat.pdf" TargetMode="Externa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yperlink" Target="http://socijalnoukljucivanje.gov.rs/wp-content/uploads/2020/07/Decilna_analiza-2006-2018-SIPRU_lat_web.xlsx" TargetMode="Externa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socijalnoukljucivanje.gov.rs/wp-content/uploads/2020/07/Decilna_analiza-2006-2018-SIPRU_lat_web.xlsx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t.gov.rs/sr-latn/istrazivanja/methodology-and-documents/?a=01&amp;s=010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biljanamladenovic\Library\Application%20Support\Microsoft\Decilna_analiza-objedinjeni_podaci-SIPRU_lat%20web(AutoRecovered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biljanamladenovic\Library\Application%20Support\Microsoft\Decilna_analiza-objedinjeni_podaci-SIPRU_lat%20web(AutoRecovered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43040329468475"/>
          <c:y val="3.7181201406427972E-2"/>
          <c:w val="0.76763151634277516"/>
          <c:h val="0.7056632904238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Sheet1!$H$3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Sheet1!$I$2:$S$2</c:f>
              <c:strCache>
                <c:ptCount val="11"/>
                <c:pt idx="0">
                  <c:v>Ukupno</c:v>
                </c:pt>
                <c:pt idx="1">
                  <c:v>1. 
decil</c:v>
                </c:pt>
                <c:pt idx="2">
                  <c:v>2.
decil</c:v>
                </c:pt>
                <c:pt idx="3">
                  <c:v>3. 
decil</c:v>
                </c:pt>
                <c:pt idx="4">
                  <c:v>4. 
decil</c:v>
                </c:pt>
                <c:pt idx="5">
                  <c:v>5. 
decil</c:v>
                </c:pt>
                <c:pt idx="6">
                  <c:v>6. 
decil</c:v>
                </c:pt>
                <c:pt idx="7">
                  <c:v>7. 
decil</c:v>
                </c:pt>
                <c:pt idx="8">
                  <c:v>8. 
decil</c:v>
                </c:pt>
                <c:pt idx="9">
                  <c:v>9. 
decil</c:v>
                </c:pt>
                <c:pt idx="10">
                  <c:v>10. 
decil</c:v>
                </c:pt>
              </c:strCache>
            </c:strRef>
          </c:cat>
          <c:val>
            <c:numRef>
              <c:f>Sheet1!$I$3:$S$3</c:f>
              <c:numCache>
                <c:formatCode>0</c:formatCode>
                <c:ptCount val="11"/>
                <c:pt idx="0">
                  <c:v>29056</c:v>
                </c:pt>
                <c:pt idx="1">
                  <c:v>11161</c:v>
                </c:pt>
                <c:pt idx="2">
                  <c:v>15894</c:v>
                </c:pt>
                <c:pt idx="3">
                  <c:v>19162</c:v>
                </c:pt>
                <c:pt idx="4">
                  <c:v>21857</c:v>
                </c:pt>
                <c:pt idx="5">
                  <c:v>24687</c:v>
                </c:pt>
                <c:pt idx="6">
                  <c:v>27722</c:v>
                </c:pt>
                <c:pt idx="7">
                  <c:v>30839</c:v>
                </c:pt>
                <c:pt idx="8">
                  <c:v>34928</c:v>
                </c:pt>
                <c:pt idx="9">
                  <c:v>41517</c:v>
                </c:pt>
                <c:pt idx="10">
                  <c:v>62800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80-9D43-B713-F07372415668}"/>
            </c:ext>
          </c:extLst>
        </c:ser>
        <c:ser>
          <c:idx val="1"/>
          <c:order val="1"/>
          <c:tx>
            <c:strRef>
              <c:f>Sheet1!$H$4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71413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80-9D43-B713-F073724156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Sheet1!$I$2:$S$2</c:f>
              <c:strCache>
                <c:ptCount val="11"/>
                <c:pt idx="0">
                  <c:v>Ukupno</c:v>
                </c:pt>
                <c:pt idx="1">
                  <c:v>1. 
decil</c:v>
                </c:pt>
                <c:pt idx="2">
                  <c:v>2.
decil</c:v>
                </c:pt>
                <c:pt idx="3">
                  <c:v>3. 
decil</c:v>
                </c:pt>
                <c:pt idx="4">
                  <c:v>4. 
decil</c:v>
                </c:pt>
                <c:pt idx="5">
                  <c:v>5. 
decil</c:v>
                </c:pt>
                <c:pt idx="6">
                  <c:v>6. 
decil</c:v>
                </c:pt>
                <c:pt idx="7">
                  <c:v>7. 
decil</c:v>
                </c:pt>
                <c:pt idx="8">
                  <c:v>8. 
decil</c:v>
                </c:pt>
                <c:pt idx="9">
                  <c:v>9. 
decil</c:v>
                </c:pt>
                <c:pt idx="10">
                  <c:v>10. 
decil</c:v>
                </c:pt>
              </c:strCache>
            </c:strRef>
          </c:cat>
          <c:val>
            <c:numRef>
              <c:f>Sheet1!$I$4:$S$4</c:f>
              <c:numCache>
                <c:formatCode>0</c:formatCode>
                <c:ptCount val="11"/>
                <c:pt idx="0">
                  <c:v>30474</c:v>
                </c:pt>
                <c:pt idx="1">
                  <c:v>10988</c:v>
                </c:pt>
                <c:pt idx="2">
                  <c:v>15687</c:v>
                </c:pt>
                <c:pt idx="3">
                  <c:v>18790</c:v>
                </c:pt>
                <c:pt idx="4">
                  <c:v>21596</c:v>
                </c:pt>
                <c:pt idx="5">
                  <c:v>24645</c:v>
                </c:pt>
                <c:pt idx="6">
                  <c:v>27865</c:v>
                </c:pt>
                <c:pt idx="7">
                  <c:v>31825</c:v>
                </c:pt>
                <c:pt idx="8">
                  <c:v>36982</c:v>
                </c:pt>
                <c:pt idx="9">
                  <c:v>44947</c:v>
                </c:pt>
                <c:pt idx="10">
                  <c:v>71413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80-9D43-B713-F07372415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8"/>
        <c:axId val="-1712767872"/>
        <c:axId val="-1712767328"/>
      </c:barChart>
      <c:catAx>
        <c:axId val="-17127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en-US"/>
          </a:p>
        </c:txPr>
        <c:crossAx val="-1712767328"/>
        <c:crosses val="autoZero"/>
        <c:auto val="1"/>
        <c:lblAlgn val="ctr"/>
        <c:lblOffset val="100"/>
        <c:noMultiLvlLbl val="0"/>
      </c:catAx>
      <c:valAx>
        <c:axId val="-171276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#,##0;[Red]#,##0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7127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900" b="1"/>
              <a:t>Prvi</a:t>
            </a:r>
            <a:r>
              <a:rPr lang="sr-Cyrl-RS" sz="900" b="1"/>
              <a:t> </a:t>
            </a:r>
            <a:r>
              <a:rPr lang="sr-Latn-RS" sz="900" b="1"/>
              <a:t>decil</a:t>
            </a:r>
            <a:r>
              <a:rPr lang="sr-Cyrl-RS" sz="900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553480338068527"/>
          <c:y val="0.16990458453950061"/>
          <c:w val="0.70410563470854703"/>
          <c:h val="0.76786185991966238"/>
        </c:manualLayout>
      </c:layout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E4-4745-B676-FC61C04B20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E4-4745-B676-FC61C04B20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E4-4745-B676-FC61C04B20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2E4-4745-B676-FC61C04B20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2E4-4745-B676-FC61C04B20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2E4-4745-B676-FC61C04B204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2E4-4745-B676-FC61C04B204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2E4-4745-B676-FC61C04B204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2E4-4745-B676-FC61C04B204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2E4-4745-B676-FC61C04B204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2E4-4745-B676-FC61C04B2045}"/>
              </c:ext>
            </c:extLst>
          </c:dPt>
          <c:dPt>
            <c:idx val="11"/>
            <c:bubble3D val="0"/>
            <c:spPr>
              <a:solidFill>
                <a:schemeClr val="bg2">
                  <a:lumMod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2E4-4745-B676-FC61C04B20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Hrana i bezalkoholna pića</a:t>
                    </a:r>
                    <a:r>
                      <a:rPr lang="en-US" baseline="0"/>
                      <a:t>
</a:t>
                    </a:r>
                    <a:fld id="{B78FDFBE-99A5-EA4A-A4A3-E9BC2757B67E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2E4-4745-B676-FC61C04B2045}"/>
                </c:ext>
              </c:extLst>
            </c:dLbl>
            <c:dLbl>
              <c:idx val="1"/>
              <c:layout>
                <c:manualLayout>
                  <c:x val="8.5089029252468668E-2"/>
                  <c:y val="-8.1623270619129063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Alkoholna pića i duvan</a:t>
                    </a:r>
                    <a:r>
                      <a:rPr lang="en-US" baseline="0"/>
                      <a:t>
</a:t>
                    </a:r>
                    <a:fld id="{6C7C29E3-D4C8-B141-95E6-CC7F888D283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2E4-4745-B676-FC61C04B20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Odeća i obuća</a:t>
                    </a:r>
                    <a:r>
                      <a:rPr lang="en-US" baseline="0"/>
                      <a:t>
</a:t>
                    </a:r>
                    <a:fld id="{F778BA93-A87D-044E-AF2C-518C9AA8CCB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2E4-4745-B676-FC61C04B20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Stanovanje,</a:t>
                    </a:r>
                    <a:r>
                      <a:rPr lang="en-US" baseline="0"/>
                      <a:t> voda, el. energija, gas i ostala goriva;
</a:t>
                    </a:r>
                    <a:fld id="{F8D78BD0-09C6-424A-962D-33B06AD9445E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2E4-4745-B676-FC61C04B2045}"/>
                </c:ext>
              </c:extLst>
            </c:dLbl>
            <c:dLbl>
              <c:idx val="4"/>
              <c:layout>
                <c:manualLayout>
                  <c:x val="1.7921960072595281E-3"/>
                  <c:y val="3.700125064772643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Oprema za stan i tekuće održavanje
</a:t>
                    </a:r>
                    <a:fld id="{22A09FB9-05E6-3D4E-A5A3-AC101144FA5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2E4-4745-B676-FC61C04B2045}"/>
                </c:ext>
              </c:extLst>
            </c:dLbl>
            <c:dLbl>
              <c:idx val="5"/>
              <c:layout>
                <c:manualLayout>
                  <c:x val="5.4667069179873386E-2"/>
                  <c:y val="1.70166012771411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Zdravlje</a:t>
                    </a:r>
                    <a:r>
                      <a:rPr lang="en-US" baseline="0"/>
                      <a:t>
</a:t>
                    </a:r>
                    <a:fld id="{080B806A-B540-D84D-B784-75FF9720D53E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63883847549908"/>
                      <c:h val="8.8025729836714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E2E4-4745-B676-FC61C04B2045}"/>
                </c:ext>
              </c:extLst>
            </c:dLbl>
            <c:dLbl>
              <c:idx val="6"/>
              <c:layout>
                <c:manualLayout>
                  <c:x val="-4.4734341283564599E-2"/>
                  <c:y val="3.9731247102276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Transport</a:t>
                    </a:r>
                    <a:r>
                      <a:rPr lang="en-US" baseline="0"/>
                      <a:t>
</a:t>
                    </a:r>
                    <a:fld id="{F71BF294-20F7-8546-8DBF-C99C3751825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E2E4-4745-B676-FC61C04B2045}"/>
                </c:ext>
              </c:extLst>
            </c:dLbl>
            <c:dLbl>
              <c:idx val="7"/>
              <c:layout>
                <c:manualLayout>
                  <c:x val="-9.5487803135315893E-2"/>
                  <c:y val="2.6959835117097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Komunikacije</a:t>
                    </a:r>
                    <a:r>
                      <a:rPr lang="en-US" baseline="0"/>
                      <a:t>
</a:t>
                    </a:r>
                    <a:fld id="{ADC0C68A-5483-5144-9418-8926CD98069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E2E4-4745-B676-FC61C04B2045}"/>
                </c:ext>
              </c:extLst>
            </c:dLbl>
            <c:dLbl>
              <c:idx val="8"/>
              <c:layout>
                <c:manualLayout>
                  <c:x val="-0.14860329108135531"/>
                  <c:y val="-1.78901066362251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Rekreacija</a:t>
                    </a:r>
                    <a:r>
                      <a:rPr lang="en-US" baseline="0"/>
                      <a:t> i kultura
</a:t>
                    </a:r>
                    <a:fld id="{8A8A9A5A-0E6C-1340-AAA6-33739F9CFEE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E2E4-4745-B676-FC61C04B2045}"/>
                </c:ext>
              </c:extLst>
            </c:dLbl>
            <c:dLbl>
              <c:idx val="9"/>
              <c:layout>
                <c:manualLayout>
                  <c:x val="6.8573960015433644E-2"/>
                  <c:y val="-2.6625160227064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Obrazovanje</a:t>
                    </a:r>
                    <a:r>
                      <a:rPr lang="en-US" baseline="0"/>
                      <a:t>
</a:t>
                    </a:r>
                    <a:fld id="{978237B2-BA2D-204C-832F-087F287EAA0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E2E4-4745-B676-FC61C04B2045}"/>
                </c:ext>
              </c:extLst>
            </c:dLbl>
            <c:dLbl>
              <c:idx val="10"/>
              <c:layout>
                <c:manualLayout>
                  <c:x val="0.49497370564614085"/>
                  <c:y val="-4.03557917457250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Restorani i hoteli</a:t>
                    </a:r>
                    <a:r>
                      <a:rPr lang="en-US" baseline="0"/>
                      <a:t>
</a:t>
                    </a:r>
                    <a:fld id="{A4C01606-F448-E041-A3EF-03460ED597E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E2E4-4745-B676-FC61C04B2045}"/>
                </c:ext>
              </c:extLst>
            </c:dLbl>
            <c:dLbl>
              <c:idx val="11"/>
              <c:layout>
                <c:manualLayout>
                  <c:x val="7.1212326907412429E-2"/>
                  <c:y val="0.164522513607125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Ostali lični</a:t>
                    </a:r>
                    <a:r>
                      <a:rPr lang="en-US" baseline="0"/>
                      <a:t> predmeti i ostale usluge
</a:t>
                    </a:r>
                    <a:fld id="{84A02FBE-C095-DD41-8F41-B14A3F41648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E2E4-4745-B676-FC61C04B2045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Sheet1!$F$38:$F$49</c:f>
              <c:strCache>
                <c:ptCount val="12"/>
                <c:pt idx="0">
                  <c:v>Храна и безалкохолна пића </c:v>
                </c:pt>
                <c:pt idx="1">
                  <c:v>Алкохолна пића и дуван </c:v>
                </c:pt>
                <c:pt idx="2">
                  <c:v>Одећа и обућа </c:v>
                </c:pt>
                <c:pt idx="3">
                  <c:v>Становање, вода, ел. енергија, гас и остала горива </c:v>
                </c:pt>
                <c:pt idx="4">
                  <c:v>Опрема за стан и текуће одржавање </c:v>
                </c:pt>
                <c:pt idx="5">
                  <c:v>Здравље </c:v>
                </c:pt>
                <c:pt idx="6">
                  <c:v>Транспорт </c:v>
                </c:pt>
                <c:pt idx="7">
                  <c:v>Комуникације </c:v>
                </c:pt>
                <c:pt idx="8">
                  <c:v>Рекреација и култура </c:v>
                </c:pt>
                <c:pt idx="9">
                  <c:v>Образовање </c:v>
                </c:pt>
                <c:pt idx="10">
                  <c:v>Ресторани и хотели </c:v>
                </c:pt>
                <c:pt idx="11">
                  <c:v>Остали лични предмети и остале услуге</c:v>
                </c:pt>
              </c:strCache>
            </c:strRef>
          </c:cat>
          <c:val>
            <c:numRef>
              <c:f>Sheet1!$G$38:$G$49</c:f>
              <c:numCache>
                <c:formatCode>0.0</c:formatCode>
                <c:ptCount val="12"/>
                <c:pt idx="0">
                  <c:v>50.2</c:v>
                </c:pt>
                <c:pt idx="1">
                  <c:v>4.4000000000000004</c:v>
                </c:pt>
                <c:pt idx="2">
                  <c:v>3.7</c:v>
                </c:pt>
                <c:pt idx="3">
                  <c:v>15.2</c:v>
                </c:pt>
                <c:pt idx="4">
                  <c:v>4.2</c:v>
                </c:pt>
                <c:pt idx="5">
                  <c:v>4.9000000000000004</c:v>
                </c:pt>
                <c:pt idx="6">
                  <c:v>3.7</c:v>
                </c:pt>
                <c:pt idx="7">
                  <c:v>5.5</c:v>
                </c:pt>
                <c:pt idx="8">
                  <c:v>1.6</c:v>
                </c:pt>
                <c:pt idx="9">
                  <c:v>0.4</c:v>
                </c:pt>
                <c:pt idx="10">
                  <c:v>1.3</c:v>
                </c:pt>
                <c:pt idx="1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E2E4-4745-B676-FC61C04B204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r>
              <a:rPr lang="sr-Latn-RS" sz="9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Deseti</a:t>
            </a:r>
            <a:r>
              <a:rPr lang="sr-Latn-RS" sz="9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decil</a:t>
            </a:r>
            <a:endParaRPr lang="en-GB" sz="900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740932269049894"/>
          <c:y val="0.15864338448161919"/>
          <c:w val="0.70539397106254176"/>
          <c:h val="0.7632016968416210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B8-CD41-B5B1-1A9D5AFF7D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B8-CD41-B5B1-1A9D5AFF7D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B8-CD41-B5B1-1A9D5AFF7DA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B8-CD41-B5B1-1A9D5AFF7D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B8-CD41-B5B1-1A9D5AFF7DA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1B8-CD41-B5B1-1A9D5AFF7DA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1B8-CD41-B5B1-1A9D5AFF7DA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1B8-CD41-B5B1-1A9D5AFF7DA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C1B8-CD41-B5B1-1A9D5AFF7DA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C1B8-CD41-B5B1-1A9D5AFF7DA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C1B8-CD41-B5B1-1A9D5AFF7DAA}"/>
              </c:ext>
            </c:extLst>
          </c:dPt>
          <c:dPt>
            <c:idx val="11"/>
            <c:bubble3D val="0"/>
            <c:spPr>
              <a:solidFill>
                <a:schemeClr val="bg2">
                  <a:lumMod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C1B8-CD41-B5B1-1A9D5AFF7DA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Hrana i bezalkoholna pića</a:t>
                    </a:r>
                    <a:r>
                      <a:rPr lang="en-US" baseline="0"/>
                      <a:t>, </a:t>
                    </a:r>
                    <a:fld id="{BACCCF38-8AF6-F348-86A9-8B34035390B0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1B8-CD41-B5B1-1A9D5AFF7DA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Alkoholna pića i duvan</a:t>
                    </a:r>
                    <a:r>
                      <a:rPr lang="en-US" baseline="0"/>
                      <a:t>, </a:t>
                    </a:r>
                    <a:fld id="{5B2B1883-F593-954F-8C34-11A0ECF1567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1B8-CD41-B5B1-1A9D5AFF7DA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Odeća i obuća</a:t>
                    </a:r>
                    <a:r>
                      <a:rPr lang="en-US" baseline="0"/>
                      <a:t>, </a:t>
                    </a:r>
                    <a:fld id="{9A5198DC-90DC-364F-8E7A-2C3C1EFCF4C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1B8-CD41-B5B1-1A9D5AFF7DAA}"/>
                </c:ext>
              </c:extLst>
            </c:dLbl>
            <c:dLbl>
              <c:idx val="3"/>
              <c:layout>
                <c:manualLayout>
                  <c:x val="4.1414259716391288E-2"/>
                  <c:y val="-3.589802574504967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Stanovanje, el. energija, gas i ostala goriva</a:t>
                    </a:r>
                    <a:r>
                      <a:rPr lang="en-US" baseline="0"/>
                      <a:t>, </a:t>
                    </a:r>
                    <a:fld id="{A46FF40A-7811-4545-93A1-B869B89ACAE4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1B8-CD41-B5B1-1A9D5AFF7DA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Oprema za stan i tekuće održavanje</a:t>
                    </a:r>
                    <a:r>
                      <a:rPr lang="en-US" baseline="0"/>
                      <a:t>, </a:t>
                    </a:r>
                    <a:fld id="{F8DC6E04-05B9-F14A-868C-72A754EAC04A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1B8-CD41-B5B1-1A9D5AFF7DA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Zdravlje</a:t>
                    </a:r>
                    <a:r>
                      <a:rPr lang="en-US" baseline="0"/>
                      <a:t>, </a:t>
                    </a:r>
                    <a:fld id="{E19F3896-2BC8-B141-BFEC-8C5579A5700F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1B8-CD41-B5B1-1A9D5AFF7DA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Transport</a:t>
                    </a:r>
                    <a:r>
                      <a:rPr lang="en-US" baseline="0"/>
                      <a:t>, </a:t>
                    </a:r>
                    <a:fld id="{755677FE-9136-1342-83CD-022B58C2BD5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C1B8-CD41-B5B1-1A9D5AFF7DAA}"/>
                </c:ext>
              </c:extLst>
            </c:dLbl>
            <c:dLbl>
              <c:idx val="7"/>
              <c:layout>
                <c:manualLayout>
                  <c:x val="2.9748283752860411E-3"/>
                  <c:y val="1.246118065397804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Komunikacije</a:t>
                    </a:r>
                    <a:r>
                      <a:rPr lang="en-US" baseline="0"/>
                      <a:t>, </a:t>
                    </a:r>
                    <a:fld id="{7DB19680-CCE8-F749-9752-60D47E7A3E3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C1B8-CD41-B5B1-1A9D5AFF7DAA}"/>
                </c:ext>
              </c:extLst>
            </c:dLbl>
            <c:dLbl>
              <c:idx val="8"/>
              <c:layout>
                <c:manualLayout>
                  <c:x val="6.1933548352222562E-2"/>
                  <c:y val="5.41901499747540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Rekreacija i kultura</a:t>
                    </a:r>
                    <a:r>
                      <a:rPr lang="en-US" baseline="0"/>
                      <a:t>, </a:t>
                    </a:r>
                    <a:fld id="{E1FEFFC7-B6A2-D945-B9AC-40CB20561223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C1B8-CD41-B5B1-1A9D5AFF7DAA}"/>
                </c:ext>
              </c:extLst>
            </c:dLbl>
            <c:dLbl>
              <c:idx val="9"/>
              <c:layout>
                <c:manualLayout>
                  <c:x val="-6.9927386079028445E-2"/>
                  <c:y val="9.34900468463972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Obrazovanjne</a:t>
                    </a:r>
                    <a:r>
                      <a:rPr lang="en-US" baseline="0"/>
                      <a:t>, </a:t>
                    </a:r>
                    <a:fld id="{7DF4D1B4-AAB2-EE44-95AD-AF1A5070F1F7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C1B8-CD41-B5B1-1A9D5AFF7DAA}"/>
                </c:ext>
              </c:extLst>
            </c:dLbl>
            <c:dLbl>
              <c:idx val="10"/>
              <c:layout>
                <c:manualLayout>
                  <c:x val="-9.20967945368385E-2"/>
                  <c:y val="-3.54944800010917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Restorani i hoteli</a:t>
                    </a:r>
                    <a:r>
                      <a:rPr lang="en-US" baseline="0"/>
                      <a:t>, </a:t>
                    </a:r>
                    <a:fld id="{5753DADC-3AEA-BB42-9B72-B22AB8DE6125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C1B8-CD41-B5B1-1A9D5AFF7DAA}"/>
                </c:ext>
              </c:extLst>
            </c:dLbl>
            <c:dLbl>
              <c:idx val="11"/>
              <c:layout>
                <c:manualLayout>
                  <c:x val="7.1811023622047207E-2"/>
                  <c:y val="0.13493438970042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Ostali lični predmeti i ostale lične usluge</a:t>
                    </a:r>
                    <a:r>
                      <a:rPr lang="en-US" baseline="0"/>
                      <a:t>; </a:t>
                    </a:r>
                    <a:fld id="{6C19E320-FB88-BB47-B261-CEF2B176A25E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C1B8-CD41-B5B1-1A9D5AFF7D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,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Sheet1!$N$38:$N$49</c:f>
              <c:strCache>
                <c:ptCount val="12"/>
                <c:pt idx="0">
                  <c:v>Храна и безалкохолна пића </c:v>
                </c:pt>
                <c:pt idx="1">
                  <c:v>Алкохолна пића и дуван </c:v>
                </c:pt>
                <c:pt idx="2">
                  <c:v>Одећа и обућа </c:v>
                </c:pt>
                <c:pt idx="3">
                  <c:v>Становање, вода, ел. енергија, гас и остала горива </c:v>
                </c:pt>
                <c:pt idx="4">
                  <c:v>Опрема за стан и текуће одржавање </c:v>
                </c:pt>
                <c:pt idx="5">
                  <c:v>Здравље </c:v>
                </c:pt>
                <c:pt idx="6">
                  <c:v>Транспорт </c:v>
                </c:pt>
                <c:pt idx="7">
                  <c:v>Комуникације </c:v>
                </c:pt>
                <c:pt idx="8">
                  <c:v>Рекреација и култура </c:v>
                </c:pt>
                <c:pt idx="9">
                  <c:v>Образовање </c:v>
                </c:pt>
                <c:pt idx="10">
                  <c:v>Ресторани и хотели </c:v>
                </c:pt>
                <c:pt idx="11">
                  <c:v>Остали лични предмети и остале услуге</c:v>
                </c:pt>
              </c:strCache>
            </c:strRef>
          </c:cat>
          <c:val>
            <c:numRef>
              <c:f>Sheet1!$O$38:$O$49</c:f>
              <c:numCache>
                <c:formatCode>0.0</c:formatCode>
                <c:ptCount val="12"/>
                <c:pt idx="0">
                  <c:v>32.9</c:v>
                </c:pt>
                <c:pt idx="1">
                  <c:v>5</c:v>
                </c:pt>
                <c:pt idx="2">
                  <c:v>6.1</c:v>
                </c:pt>
                <c:pt idx="3">
                  <c:v>13.5</c:v>
                </c:pt>
                <c:pt idx="4">
                  <c:v>4.0999999999999996</c:v>
                </c:pt>
                <c:pt idx="5">
                  <c:v>4.4000000000000004</c:v>
                </c:pt>
                <c:pt idx="6">
                  <c:v>11.8</c:v>
                </c:pt>
                <c:pt idx="7">
                  <c:v>3.3</c:v>
                </c:pt>
                <c:pt idx="8">
                  <c:v>7.3</c:v>
                </c:pt>
                <c:pt idx="9">
                  <c:v>2.1</c:v>
                </c:pt>
                <c:pt idx="10">
                  <c:v>3.8</c:v>
                </c:pt>
                <c:pt idx="1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C1B8-CD41-B5B1-1A9D5AFF7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RS" sz="900" b="1"/>
              <a:t>1. </a:t>
            </a:r>
            <a:r>
              <a:rPr lang="en-US" sz="900" b="1"/>
              <a:t>decil</a:t>
            </a:r>
            <a:endParaRPr lang="sr-RS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1672764205445192E-2"/>
          <c:y val="0.15618409425042304"/>
          <c:w val="0.90661395480904694"/>
          <c:h val="0.82243163238213746"/>
        </c:manualLayout>
      </c:layout>
      <c:pieChart>
        <c:varyColors val="1"/>
        <c:ser>
          <c:idx val="0"/>
          <c:order val="0"/>
          <c:tx>
            <c:strRef>
              <c:f>Sheet1!$B$72</c:f>
              <c:strCache>
                <c:ptCount val="1"/>
                <c:pt idx="0">
                  <c:v>1. 
децил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56-184C-98F4-FA889E1FD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56-184C-98F4-FA889E1FD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56-184C-98F4-FA889E1FD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56-184C-98F4-FA889E1FD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F56-184C-98F4-FA889E1FD4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F56-184C-98F4-FA889E1FD40A}"/>
              </c:ext>
            </c:extLst>
          </c:dPt>
          <c:dPt>
            <c:idx val="6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F56-184C-98F4-FA889E1FD40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Prihod od zarade</a:t>
                    </a:r>
                    <a:r>
                      <a:rPr lang="en-US" baseline="0"/>
                      <a:t>; </a:t>
                    </a:r>
                    <a:fld id="{6965EF2B-C959-AA42-8217-4F6370482B11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F56-184C-98F4-FA889E1FD40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Prihod od samozaposlenosti</a:t>
                    </a:r>
                    <a:r>
                      <a:rPr lang="en-US" baseline="0"/>
                      <a:t>; </a:t>
                    </a:r>
                    <a:fld id="{83D6CCC7-6AA7-FB4F-8743-A9FDA9F547E6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F56-184C-98F4-FA889E1FD40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Prihod od imovine</a:t>
                    </a:r>
                    <a:r>
                      <a:rPr lang="en-US" baseline="0"/>
                      <a:t>; </a:t>
                    </a:r>
                    <a:fld id="{456D624A-0FED-9E49-980B-E46B08C1CFD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F56-184C-98F4-FA889E1FD40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Penzije</a:t>
                    </a:r>
                    <a:r>
                      <a:rPr lang="en-US" baseline="0"/>
                      <a:t>; </a:t>
                    </a:r>
                    <a:fld id="{1CCE53C8-8E5A-6F44-9E70-22A88F140BD7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F56-184C-98F4-FA889E1FD40A}"/>
                </c:ext>
              </c:extLst>
            </c:dLbl>
            <c:dLbl>
              <c:idx val="4"/>
              <c:layout>
                <c:manualLayout>
                  <c:x val="3.5630958751515285E-2"/>
                  <c:y val="-0.224372595096473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Naknada za nezaposlenost</a:t>
                    </a:r>
                    <a:r>
                      <a:rPr lang="en-US" baseline="0"/>
                      <a:t>; </a:t>
                    </a:r>
                    <a:fld id="{9FC5C8E1-1D4A-9447-88F6-FBDCB9C431E6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F56-184C-98F4-FA889E1FD40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Socijalni</a:t>
                    </a:r>
                    <a:r>
                      <a:rPr lang="en-US" baseline="0"/>
                      <a:t> transferi; </a:t>
                    </a:r>
                    <a:fld id="{FA70823F-C84E-4540-961F-E85A7F77DE58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F56-184C-98F4-FA889E1FD40A}"/>
                </c:ext>
              </c:extLst>
            </c:dLbl>
            <c:dLbl>
              <c:idx val="6"/>
              <c:layout>
                <c:manualLayout>
                  <c:x val="5.940764685967647E-2"/>
                  <c:y val="6.5425462355705788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Ostala primanja; </a:t>
                    </a:r>
                    <a:fld id="{D391AE3C-BA98-FD42-BC4D-9367C789ECB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19437619437617"/>
                      <c:h val="0.120657357972892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F56-184C-98F4-FA889E1FD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Sheet1!$A$73:$A$79</c:f>
              <c:strCache>
                <c:ptCount val="7"/>
                <c:pt idx="0">
                  <c:v>Приход од зараде</c:v>
                </c:pt>
                <c:pt idx="1">
                  <c:v>Приход од самозапослености</c:v>
                </c:pt>
                <c:pt idx="2">
                  <c:v>Приход од имовине</c:v>
                </c:pt>
                <c:pt idx="3">
                  <c:v>Пензије</c:v>
                </c:pt>
                <c:pt idx="4">
                  <c:v>Накнада за незапосленост</c:v>
                </c:pt>
                <c:pt idx="5">
                  <c:v>Социјални трансфери</c:v>
                </c:pt>
                <c:pt idx="6">
                  <c:v>Остала примања</c:v>
                </c:pt>
              </c:strCache>
            </c:strRef>
          </c:cat>
          <c:val>
            <c:numRef>
              <c:f>Sheet1!$B$73:$B$79</c:f>
              <c:numCache>
                <c:formatCode>0.0</c:formatCode>
                <c:ptCount val="7"/>
                <c:pt idx="0">
                  <c:v>25.1</c:v>
                </c:pt>
                <c:pt idx="1">
                  <c:v>9.5</c:v>
                </c:pt>
                <c:pt idx="2">
                  <c:v>0.1</c:v>
                </c:pt>
                <c:pt idx="3">
                  <c:v>45</c:v>
                </c:pt>
                <c:pt idx="4">
                  <c:v>0.3</c:v>
                </c:pt>
                <c:pt idx="5">
                  <c:v>15.3</c:v>
                </c:pt>
                <c:pt idx="6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F56-184C-98F4-FA889E1FD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RS" sz="900" b="1"/>
              <a:t>10. </a:t>
            </a:r>
            <a:r>
              <a:rPr lang="en-US" sz="900" b="1"/>
              <a:t>decil</a:t>
            </a:r>
            <a:endParaRPr lang="sr-RS" sz="900" b="1"/>
          </a:p>
        </c:rich>
      </c:tx>
      <c:layout>
        <c:manualLayout>
          <c:xMode val="edge"/>
          <c:yMode val="edge"/>
          <c:x val="0.38472039557961984"/>
          <c:y val="2.0382165605095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8636821698806E-2"/>
          <c:y val="0.1590117859471388"/>
          <c:w val="0.87360069687601427"/>
          <c:h val="0.82085079492451984"/>
        </c:manualLayout>
      </c:layout>
      <c:pieChart>
        <c:varyColors val="1"/>
        <c:ser>
          <c:idx val="0"/>
          <c:order val="0"/>
          <c:tx>
            <c:strRef>
              <c:f>Sheet1!$E$72</c:f>
              <c:strCache>
                <c:ptCount val="1"/>
                <c:pt idx="0">
                  <c:v>10. 
децил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3F-8B4A-906D-65F01B690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3F-8B4A-906D-65F01B690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3F-8B4A-906D-65F01B690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3F-8B4A-906D-65F01B690A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B3F-8B4A-906D-65F01B690A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B3F-8B4A-906D-65F01B690A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B3F-8B4A-906D-65F01B690A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Prihod od zarade</a:t>
                    </a:r>
                    <a:r>
                      <a:rPr lang="en-US" baseline="0"/>
                      <a:t>; </a:t>
                    </a:r>
                    <a:fld id="{A4022683-5527-F54D-B0D0-B1A8C1F174F3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B3F-8B4A-906D-65F01B690ADE}"/>
                </c:ext>
              </c:extLst>
            </c:dLbl>
            <c:dLbl>
              <c:idx val="1"/>
              <c:layout>
                <c:manualLayout>
                  <c:x val="7.3983081968333128E-2"/>
                  <c:y val="4.40989016500325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Prihod od samozaposlenosti</a:t>
                    </a:r>
                    <a:r>
                      <a:rPr lang="en-US" baseline="0"/>
                      <a:t>; </a:t>
                    </a:r>
                    <a:fld id="{7A5072DB-AA1E-2949-B759-075D9D9C7124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B3F-8B4A-906D-65F01B690ADE}"/>
                </c:ext>
              </c:extLst>
            </c:dLbl>
            <c:dLbl>
              <c:idx val="2"/>
              <c:layout>
                <c:manualLayout>
                  <c:x val="3.8368746477189268E-3"/>
                  <c:y val="-8.05581022117458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Prihod od imovine</a:t>
                    </a:r>
                    <a:r>
                      <a:rPr lang="en-US" baseline="0"/>
                      <a:t>; </a:t>
                    </a:r>
                    <a:fld id="{1E077A78-D6B2-9449-8B1F-A3260809A420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B3F-8B4A-906D-65F01B690AD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Penzije; </a:t>
                    </a:r>
                    <a:fld id="{5B134D20-9F3F-4A41-9063-3C02A7F518A8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B3F-8B4A-906D-65F01B690AD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3F-8B4A-906D-65F01B690AD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Socijalni transferi</a:t>
                    </a:r>
                    <a:r>
                      <a:rPr lang="en-US" baseline="0"/>
                      <a:t>; </a:t>
                    </a:r>
                    <a:fld id="{1AC82EE0-03C9-C64C-A548-13D27DF4CAB9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B3F-8B4A-906D-65F01B690AD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Ostala primanja</a:t>
                    </a:r>
                    <a:r>
                      <a:rPr lang="en-US" baseline="0"/>
                      <a:t>; </a:t>
                    </a:r>
                    <a:fld id="{49F37084-F70B-F140-8C39-49F6B4AB4A75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B3F-8B4A-906D-65F01B690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Sheet1!$D$73:$D$79</c:f>
              <c:strCache>
                <c:ptCount val="7"/>
                <c:pt idx="0">
                  <c:v>Приход од зараде</c:v>
                </c:pt>
                <c:pt idx="1">
                  <c:v>Приход од самозапослености</c:v>
                </c:pt>
                <c:pt idx="2">
                  <c:v>Приход од имовине</c:v>
                </c:pt>
                <c:pt idx="3">
                  <c:v>Пензије</c:v>
                </c:pt>
                <c:pt idx="4">
                  <c:v>Накнада за незапосленост</c:v>
                </c:pt>
                <c:pt idx="5">
                  <c:v>Социјални трансфери</c:v>
                </c:pt>
                <c:pt idx="6">
                  <c:v>Остала примања</c:v>
                </c:pt>
              </c:strCache>
            </c:strRef>
          </c:cat>
          <c:val>
            <c:numRef>
              <c:f>Sheet1!$E$73:$E$79</c:f>
              <c:numCache>
                <c:formatCode>0.0</c:formatCode>
                <c:ptCount val="7"/>
                <c:pt idx="0">
                  <c:v>72.7</c:v>
                </c:pt>
                <c:pt idx="1">
                  <c:v>8.1999999999999993</c:v>
                </c:pt>
                <c:pt idx="2">
                  <c:v>0.2</c:v>
                </c:pt>
                <c:pt idx="3">
                  <c:v>17.899999999999999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B3F-8B4A-906D-65F01B690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D1BED-F196-4EDE-98CB-8194E7AA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Mladenovic</dc:creator>
  <cp:keywords/>
  <dc:description/>
  <cp:lastModifiedBy>Jovana Ilic</cp:lastModifiedBy>
  <cp:revision>3</cp:revision>
  <dcterms:created xsi:type="dcterms:W3CDTF">2020-07-06T13:48:00Z</dcterms:created>
  <dcterms:modified xsi:type="dcterms:W3CDTF">2020-07-06T14:00:00Z</dcterms:modified>
</cp:coreProperties>
</file>