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450" w:type="dxa"/>
        <w:tblLook w:val="04A0" w:firstRow="1" w:lastRow="0" w:firstColumn="1" w:lastColumn="0" w:noHBand="0" w:noVBand="1"/>
      </w:tblPr>
      <w:tblGrid>
        <w:gridCol w:w="2340"/>
        <w:gridCol w:w="4320"/>
        <w:gridCol w:w="4138"/>
      </w:tblGrid>
      <w:tr w:rsidR="00C75D2F" w:rsidRPr="00D87538" w14:paraId="097E93DD" w14:textId="77777777" w:rsidTr="00C94864">
        <w:tc>
          <w:tcPr>
            <w:tcW w:w="2340" w:type="dxa"/>
          </w:tcPr>
          <w:p w14:paraId="5F3DF4D0" w14:textId="77777777" w:rsidR="00C75D2F" w:rsidRPr="00E95FB9" w:rsidRDefault="00C75D2F" w:rsidP="00C94864">
            <w:pPr>
              <w:pStyle w:val="Header"/>
              <w:jc w:val="center"/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E95FB9"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57FB40C7" wp14:editId="5CF0F4AC">
                  <wp:extent cx="466725" cy="933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5B803" w14:textId="08CCCCB3" w:rsidR="00C75D2F" w:rsidRPr="00E95FB9" w:rsidRDefault="00BB2BB3" w:rsidP="00BB2BB3">
            <w:pPr>
              <w:pStyle w:val="Header"/>
              <w:jc w:val="center"/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6960B4">
              <w:rPr>
                <w:rFonts w:ascii="Houschka Pro" w:eastAsia="Times New Roman" w:hAnsi="Houschka Pro" w:cs="Times New Roman"/>
                <w:noProof/>
                <w:color w:val="000000" w:themeColor="text1"/>
                <w:sz w:val="20"/>
                <w:szCs w:val="24"/>
                <w:lang w:val="sr-Latn-RS"/>
              </w:rPr>
              <w:t>Влада Републике Србије</w:t>
            </w:r>
          </w:p>
        </w:tc>
        <w:tc>
          <w:tcPr>
            <w:tcW w:w="4320" w:type="dxa"/>
          </w:tcPr>
          <w:p w14:paraId="15D12CE0" w14:textId="77777777" w:rsidR="00C75D2F" w:rsidRPr="00D87538" w:rsidRDefault="00C75D2F" w:rsidP="00C94864">
            <w:pPr>
              <w:pStyle w:val="Header"/>
              <w:rPr>
                <w:noProof/>
                <w:sz w:val="16"/>
              </w:rPr>
            </w:pPr>
          </w:p>
          <w:p w14:paraId="14B3426D" w14:textId="77777777" w:rsidR="00C75D2F" w:rsidRPr="00D87538" w:rsidRDefault="00C75D2F" w:rsidP="00C94864">
            <w:pPr>
              <w:pStyle w:val="Header"/>
              <w:rPr>
                <w:noProof/>
                <w:sz w:val="16"/>
              </w:rPr>
            </w:pPr>
          </w:p>
          <w:p w14:paraId="3C081A27" w14:textId="11A60D92" w:rsidR="00C75D2F" w:rsidRPr="00D87538" w:rsidRDefault="00EF297B" w:rsidP="00C94864">
            <w:pPr>
              <w:pStyle w:val="Header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  <w:lang w:val="en-US"/>
              </w:rPr>
              <w:drawing>
                <wp:inline distT="0" distB="0" distL="0" distR="0" wp14:anchorId="2A63456D" wp14:editId="3CAD4286">
                  <wp:extent cx="2543175" cy="598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M logo cirili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22" cy="60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019BF" w14:textId="77777777" w:rsidR="00C75D2F" w:rsidRPr="00D87538" w:rsidRDefault="00C75D2F" w:rsidP="00C94864">
            <w:pPr>
              <w:pStyle w:val="Header"/>
              <w:jc w:val="center"/>
              <w:rPr>
                <w:lang w:val="sr-Latn-RS"/>
              </w:rPr>
            </w:pPr>
          </w:p>
        </w:tc>
        <w:tc>
          <w:tcPr>
            <w:tcW w:w="4138" w:type="dxa"/>
          </w:tcPr>
          <w:p w14:paraId="3948641E" w14:textId="77777777" w:rsidR="00C75D2F" w:rsidRPr="00D87538" w:rsidRDefault="00C75D2F" w:rsidP="00C94864">
            <w:pPr>
              <w:pStyle w:val="Header"/>
              <w:rPr>
                <w:noProof/>
              </w:rPr>
            </w:pPr>
          </w:p>
          <w:p w14:paraId="2935A16D" w14:textId="77777777" w:rsidR="00C75D2F" w:rsidRPr="00D87538" w:rsidRDefault="00C75D2F" w:rsidP="00C94864">
            <w:pPr>
              <w:pStyle w:val="Header"/>
              <w:rPr>
                <w:lang w:val="sr-Latn-RS"/>
              </w:rPr>
            </w:pPr>
            <w:r w:rsidRPr="00D87538">
              <w:rPr>
                <w:noProof/>
                <w:lang w:val="en-US"/>
              </w:rPr>
              <w:drawing>
                <wp:inline distT="0" distB="0" distL="0" distR="0" wp14:anchorId="0F5E1F62" wp14:editId="28E6AC86">
                  <wp:extent cx="19812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EE116" w14:textId="2125CA74" w:rsidR="00C75D2F" w:rsidRDefault="00C75D2F" w:rsidP="00C92E69">
      <w:pPr>
        <w:jc w:val="both"/>
        <w:rPr>
          <w:rFonts w:ascii="Houschka Pro" w:hAnsi="Houschka Pro" w:cstheme="minorHAnsi"/>
          <w:b/>
          <w:bCs/>
          <w:lang w:val="sr-Latn-RS"/>
        </w:rPr>
      </w:pPr>
    </w:p>
    <w:p w14:paraId="141D492D" w14:textId="2F7B1D74" w:rsidR="00C75D2F" w:rsidRPr="006960B4" w:rsidRDefault="00794A19" w:rsidP="006960B4">
      <w:pPr>
        <w:jc w:val="center"/>
        <w:rPr>
          <w:rFonts w:ascii="Houschka Pro" w:hAnsi="Houschka Pro" w:cstheme="minorHAnsi"/>
          <w:b/>
          <w:bCs/>
          <w:sz w:val="28"/>
          <w:lang w:val="sr-Latn-RS"/>
        </w:rPr>
      </w:pPr>
      <w:r>
        <w:rPr>
          <w:rFonts w:ascii="Houschka Pro" w:hAnsi="Houschka Pro" w:cstheme="minorHAnsi"/>
          <w:b/>
          <w:bCs/>
          <w:sz w:val="28"/>
          <w:lang w:val="sr-Cyrl-RS"/>
        </w:rPr>
        <w:t xml:space="preserve">Оцена кретања сиромаштва, животног стандарда и одговор на последице </w:t>
      </w:r>
      <w:r w:rsidR="00EF297B">
        <w:rPr>
          <w:rFonts w:ascii="Houschka Pro" w:hAnsi="Houschka Pro" w:cstheme="minorHAnsi"/>
          <w:b/>
          <w:bCs/>
          <w:sz w:val="28"/>
          <w:lang w:val="sr-Latn-RS"/>
        </w:rPr>
        <w:t>Covid</w:t>
      </w:r>
      <w:r>
        <w:rPr>
          <w:rFonts w:ascii="Houschka Pro" w:hAnsi="Houschka Pro" w:cstheme="minorHAnsi"/>
          <w:b/>
          <w:bCs/>
          <w:sz w:val="28"/>
          <w:lang w:val="sr-Cyrl-RS"/>
        </w:rPr>
        <w:t>-19 пандемије</w:t>
      </w:r>
    </w:p>
    <w:p w14:paraId="752F6D11" w14:textId="77777777" w:rsidR="00C75D2F" w:rsidRPr="00794A19" w:rsidRDefault="00C75D2F" w:rsidP="00C92E69">
      <w:pPr>
        <w:jc w:val="both"/>
        <w:rPr>
          <w:rFonts w:ascii="Houschka Pro" w:hAnsi="Houschka Pro" w:cstheme="minorHAnsi"/>
          <w:b/>
          <w:bCs/>
          <w:u w:val="single"/>
          <w:lang w:val="sr-Cyrl-RS"/>
        </w:rPr>
      </w:pPr>
    </w:p>
    <w:p w14:paraId="635F2C43" w14:textId="596F94D2" w:rsidR="00362883" w:rsidRPr="00262EA3" w:rsidRDefault="00794A19" w:rsidP="00C92E69">
      <w:pPr>
        <w:jc w:val="both"/>
        <w:rPr>
          <w:rFonts w:ascii="Houschka Pro" w:hAnsi="Houschka Pro" w:cstheme="minorHAnsi"/>
          <w:b/>
          <w:bCs/>
          <w:color w:val="345095"/>
          <w:u w:val="single"/>
          <w:lang w:val="sr-Cyrl-RS"/>
        </w:rPr>
      </w:pPr>
      <w:r w:rsidRPr="00262EA3">
        <w:rPr>
          <w:rFonts w:ascii="Houschka Pro" w:hAnsi="Houschka Pro" w:cstheme="minorHAnsi"/>
          <w:b/>
          <w:bCs/>
          <w:color w:val="345095"/>
          <w:u w:val="single"/>
          <w:lang w:val="sr-Cyrl-RS"/>
        </w:rPr>
        <w:t>Оцена кретања апсолутног сиромаштва</w:t>
      </w:r>
    </w:p>
    <w:p w14:paraId="64F07D5D" w14:textId="77777777" w:rsidR="006635C3" w:rsidRPr="0046042A" w:rsidRDefault="006635C3" w:rsidP="00C92E69">
      <w:pPr>
        <w:jc w:val="both"/>
        <w:rPr>
          <w:rFonts w:ascii="Houschka Pro" w:hAnsi="Houschka Pro" w:cstheme="minorHAnsi"/>
          <w:lang w:val="sr-Latn-RS"/>
        </w:rPr>
      </w:pPr>
    </w:p>
    <w:p w14:paraId="01E0DD5C" w14:textId="4A4B8BFC" w:rsidR="00794A19" w:rsidRPr="006971AB" w:rsidRDefault="00794A19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6971AB">
        <w:rPr>
          <w:rFonts w:ascii="Houschka Pro" w:hAnsi="Houschka Pro" w:cstheme="minorHAnsi"/>
          <w:sz w:val="22"/>
          <w:lang w:val="sr-Cyrl-RS"/>
        </w:rPr>
        <w:t xml:space="preserve">Према </w:t>
      </w:r>
      <w:hyperlink r:id="rId11" w:history="1">
        <w:r w:rsidRPr="006971AB">
          <w:rPr>
            <w:rStyle w:val="Hyperlink"/>
            <w:rFonts w:ascii="Houschka Pro" w:hAnsi="Houschka Pro" w:cstheme="minorHAnsi"/>
            <w:sz w:val="22"/>
            <w:lang w:val="sr-Cyrl-RS"/>
          </w:rPr>
          <w:t>првим подацима Републичког завода за статистику</w:t>
        </w:r>
      </w:hyperlink>
      <w:r w:rsidRPr="006971AB">
        <w:rPr>
          <w:rFonts w:ascii="Houschka Pro" w:hAnsi="Houschka Pro" w:cstheme="minorHAnsi"/>
          <w:sz w:val="22"/>
          <w:lang w:val="sr-Cyrl-RS"/>
        </w:rPr>
        <w:t>, у 2019. години, као ни у претходним годинама, није дошло до повећања стопе апсолутног сиромаштва. Стопа апсолутног сиромаштва је у 2019. години износила 7</w:t>
      </w:r>
      <w:r w:rsidRPr="006971AB">
        <w:rPr>
          <w:rFonts w:ascii="Houschka Pro" w:hAnsi="Houschka Pro" w:cstheme="minorHAnsi"/>
          <w:sz w:val="22"/>
          <w:lang w:val="sr-Latn-RS"/>
        </w:rPr>
        <w:t>%</w:t>
      </w:r>
      <w:r w:rsidRPr="006971AB">
        <w:rPr>
          <w:rFonts w:ascii="Houschka Pro" w:hAnsi="Houschka Pro" w:cstheme="minorHAnsi"/>
          <w:sz w:val="22"/>
          <w:lang w:val="sr-Cyrl-RS"/>
        </w:rPr>
        <w:t>, што значи да оквирно 480 хиљада лица није у стању да задовољи основне животне потребе. У односу на претходне године, није дошло до статистички значајне измене ни у повећању ни у смањењу стопе апсолутног сиромаштва.</w:t>
      </w:r>
      <w:r w:rsidR="00C17CC7" w:rsidRPr="006971AB">
        <w:rPr>
          <w:rFonts w:ascii="Houschka Pro" w:hAnsi="Houschka Pro" w:cstheme="minorHAnsi"/>
          <w:sz w:val="22"/>
          <w:lang w:val="sr-Latn-RS"/>
        </w:rPr>
        <w:t xml:space="preserve"> </w:t>
      </w:r>
    </w:p>
    <w:p w14:paraId="4285530B" w14:textId="2D04DAF5" w:rsidR="006635C3" w:rsidRPr="006971AB" w:rsidRDefault="00794A19" w:rsidP="00C75D2F">
      <w:pPr>
        <w:spacing w:after="240"/>
        <w:jc w:val="both"/>
        <w:rPr>
          <w:rFonts w:ascii="Houschka Pro" w:hAnsi="Houschka Pro" w:cstheme="minorHAnsi"/>
          <w:sz w:val="22"/>
          <w:lang w:val="sr-Cyrl-RS"/>
        </w:rPr>
      </w:pPr>
      <w:r w:rsidRPr="006971AB">
        <w:rPr>
          <w:rFonts w:ascii="Houschka Pro" w:hAnsi="Houschka Pro" w:cstheme="minorHAnsi"/>
          <w:sz w:val="22"/>
          <w:lang w:val="sr-Cyrl-RS"/>
        </w:rPr>
        <w:t>У односу на тип насеља сиромаштво остаје учесталије у ванградским подручјима и приметне су регионалне разлике (нпр. сиромаштво у Београдском региону</w:t>
      </w:r>
      <w:r w:rsidR="00D23B9D" w:rsidRPr="006971AB">
        <w:rPr>
          <w:rFonts w:ascii="Houschka Pro" w:hAnsi="Houschka Pro" w:cstheme="minorHAnsi"/>
          <w:sz w:val="22"/>
          <w:lang w:val="sr-Cyrl-RS"/>
        </w:rPr>
        <w:t xml:space="preserve"> је три пута мање заступљено него у Региону Јужне и Источне Србије). Посматрано према старосној структури сиромаштво је изнадпросечно заступљено код деце, младих и старијих од 65 година. Посматрано према</w:t>
      </w:r>
      <w:r w:rsidR="00F209A7" w:rsidRPr="006971AB">
        <w:rPr>
          <w:rFonts w:ascii="Houschka Pro" w:hAnsi="Houschka Pro" w:cstheme="minorHAnsi"/>
          <w:sz w:val="22"/>
          <w:lang w:val="sr-Cyrl-RS"/>
        </w:rPr>
        <w:t xml:space="preserve"> полу, 7,2</w:t>
      </w:r>
      <w:r w:rsidR="00D23B9D" w:rsidRPr="006971AB">
        <w:rPr>
          <w:rFonts w:ascii="Houschka Pro" w:hAnsi="Houschka Pro" w:cstheme="minorHAnsi"/>
          <w:sz w:val="22"/>
          <w:lang w:val="sr-Latn-RS"/>
        </w:rPr>
        <w:t>%</w:t>
      </w:r>
      <w:r w:rsidR="00D23B9D" w:rsidRPr="006971AB">
        <w:rPr>
          <w:rFonts w:ascii="Houschka Pro" w:hAnsi="Houschka Pro" w:cstheme="minorHAnsi"/>
          <w:sz w:val="22"/>
          <w:lang w:val="sr-Cyrl-RS"/>
        </w:rPr>
        <w:t xml:space="preserve"> жена је сиромашно, док је 6,9</w:t>
      </w:r>
      <w:r w:rsidR="00D23B9D" w:rsidRPr="006971AB">
        <w:rPr>
          <w:rFonts w:ascii="Houschka Pro" w:hAnsi="Houschka Pro" w:cstheme="minorHAnsi"/>
          <w:sz w:val="22"/>
          <w:lang w:val="sr-Latn-RS"/>
        </w:rPr>
        <w:t>%</w:t>
      </w:r>
      <w:r w:rsidR="00D23B9D" w:rsidRPr="006971AB">
        <w:rPr>
          <w:rFonts w:ascii="Houschka Pro" w:hAnsi="Houschka Pro" w:cstheme="minorHAnsi"/>
          <w:sz w:val="22"/>
          <w:lang w:val="sr-Cyrl-RS"/>
        </w:rPr>
        <w:t xml:space="preserve"> мушкараца у истом статусу.</w:t>
      </w:r>
    </w:p>
    <w:p w14:paraId="2D236CD6" w14:textId="0824FC82" w:rsidR="00C75D2F" w:rsidRDefault="00D23B9D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 xml:space="preserve">Образовање и статус на тржишту рада најзначајнији су фактори који утичу на сиромаштво у домаћинству. У домаћинствима у којима носилац има макар средњу школу, сиромаштво је 4,5 пута мање заступљено него код домаћинстава у којима носилац нема завршену основну школу. Када носилац има вишу школу појава апсолутног сиромаштва је преко 17 пута мања него код домаћинстава у којима носилац нема завршену основну школу. У односу на 2018. годину, проценат апсолутно сиромашних у 2019. години је у благом паду код свих лица чији се носилац домаћинства налази на тржишту рада (било да је носилац домаћинства у својству самозапосленог, запосленог или незапосленог лица). Лица која живе у домаћинствима чији је носилац ван тржишта рада (неактиван), као и грађани/ке </w:t>
      </w:r>
      <w:r w:rsidR="00A229A2">
        <w:rPr>
          <w:rFonts w:ascii="Houschka Pro" w:hAnsi="Houschka Pro" w:cstheme="minorHAnsi"/>
          <w:sz w:val="22"/>
          <w:lang w:val="sr-Cyrl-RS"/>
        </w:rPr>
        <w:t xml:space="preserve">у домаћинствима у </w:t>
      </w:r>
      <w:r w:rsidRPr="006971AB">
        <w:rPr>
          <w:rFonts w:ascii="Houschka Pro" w:hAnsi="Houschka Pro" w:cstheme="minorHAnsi"/>
          <w:sz w:val="22"/>
          <w:lang w:val="sr-Latn-RS"/>
        </w:rPr>
        <w:t>који</w:t>
      </w:r>
      <w:r w:rsidR="00A229A2">
        <w:rPr>
          <w:rFonts w:ascii="Houschka Pro" w:hAnsi="Houschka Pro" w:cstheme="minorHAnsi"/>
          <w:sz w:val="22"/>
          <w:lang w:val="sr-Cyrl-RS"/>
        </w:rPr>
        <w:t xml:space="preserve">ма </w:t>
      </w:r>
      <w:r w:rsidRPr="006971AB">
        <w:rPr>
          <w:rFonts w:ascii="Houschka Pro" w:hAnsi="Houschka Pro" w:cstheme="minorHAnsi"/>
          <w:sz w:val="22"/>
          <w:lang w:val="sr-Latn-RS"/>
        </w:rPr>
        <w:t>су</w:t>
      </w:r>
      <w:r w:rsidR="00A229A2">
        <w:rPr>
          <w:rFonts w:ascii="Houschka Pro" w:hAnsi="Houschka Pro" w:cstheme="minorHAnsi"/>
          <w:sz w:val="22"/>
          <w:lang w:val="sr-Cyrl-RS"/>
        </w:rPr>
        <w:t xml:space="preserve"> носиоци</w:t>
      </w:r>
      <w:r w:rsidRPr="006971AB">
        <w:rPr>
          <w:rFonts w:ascii="Houschka Pro" w:hAnsi="Houschka Pro" w:cstheme="minorHAnsi"/>
          <w:sz w:val="22"/>
          <w:lang w:val="sr-Latn-RS"/>
        </w:rPr>
        <w:t xml:space="preserve"> пензионери бележе веће апсолутно сиромаштво у 2019. у односу на 2018. годину.</w:t>
      </w:r>
    </w:p>
    <w:p w14:paraId="230DD11B" w14:textId="66B36161" w:rsidR="00362883" w:rsidRDefault="00D23B9D" w:rsidP="00262EA3">
      <w:pPr>
        <w:jc w:val="both"/>
        <w:rPr>
          <w:rFonts w:ascii="Houschka Pro" w:hAnsi="Houschka Pro" w:cstheme="minorHAnsi"/>
          <w:b/>
          <w:bCs/>
          <w:color w:val="345095"/>
          <w:u w:val="single"/>
          <w:lang w:val="sr-Cyrl-RS"/>
        </w:rPr>
      </w:pPr>
      <w:r w:rsidRPr="00262EA3">
        <w:rPr>
          <w:rFonts w:ascii="Houschka Pro" w:hAnsi="Houschka Pro" w:cstheme="minorHAnsi"/>
          <w:b/>
          <w:bCs/>
          <w:color w:val="345095"/>
          <w:u w:val="single"/>
          <w:lang w:val="sr-Cyrl-RS"/>
        </w:rPr>
        <w:t>Оцена кретања релативног сиромаштва, кретање прихода и зарада</w:t>
      </w:r>
    </w:p>
    <w:p w14:paraId="15F3F304" w14:textId="77777777" w:rsidR="00262EA3" w:rsidRPr="0046042A" w:rsidRDefault="00262EA3" w:rsidP="00262EA3">
      <w:pPr>
        <w:jc w:val="both"/>
        <w:rPr>
          <w:rFonts w:ascii="Houschka Pro" w:hAnsi="Houschka Pro" w:cstheme="minorHAnsi"/>
          <w:lang w:val="sr-Latn-RS"/>
        </w:rPr>
      </w:pPr>
    </w:p>
    <w:p w14:paraId="6843DAD1" w14:textId="76267559" w:rsidR="00C75D2F" w:rsidRPr="006971AB" w:rsidRDefault="00D23B9D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>Подаци Републичког завода за статистику указују на смањивање удела лица која су у ризику од сиромаштва за 1,1 процентни поен (23,2% у 2019. години у односу на 24,3% у 2018. години), што значи да је оквирно 1,6 милиона лица у ризику од сиромаштва у 2019. години.  Стопа ризика од сиромаштва и социјалне искључености је такође нижа (31,7% у 2019. години у односу на 34,3% у 2018. годи</w:t>
      </w:r>
      <w:r w:rsidR="00F209A7" w:rsidRPr="006971AB">
        <w:rPr>
          <w:rFonts w:ascii="Houschka Pro" w:hAnsi="Houschka Pro" w:cstheme="minorHAnsi"/>
          <w:sz w:val="22"/>
          <w:lang w:val="sr-Cyrl-RS"/>
        </w:rPr>
        <w:t>ни</w:t>
      </w:r>
      <w:r w:rsidRPr="006971AB">
        <w:rPr>
          <w:rFonts w:ascii="Houschka Pro" w:hAnsi="Houschka Pro" w:cstheme="minorHAnsi"/>
          <w:sz w:val="22"/>
          <w:lang w:val="sr-Latn-RS"/>
        </w:rPr>
        <w:t>) и у нивоу је појединих чланица Европске уније (као што су Грчка, Бугарска и Румунија). Праг ризика од сиромаштва</w:t>
      </w:r>
      <w:r w:rsidR="00D80725" w:rsidRPr="006971AB">
        <w:rPr>
          <w:rStyle w:val="FootnoteReference"/>
          <w:rFonts w:ascii="Houschka Pro" w:hAnsi="Houschka Pro" w:cstheme="minorHAnsi"/>
          <w:sz w:val="22"/>
          <w:lang w:val="sr-Latn-RS"/>
        </w:rPr>
        <w:footnoteReference w:id="1"/>
      </w:r>
      <w:r w:rsidRPr="006971AB">
        <w:rPr>
          <w:rFonts w:ascii="Houschka Pro" w:hAnsi="Houschka Pro" w:cstheme="minorHAnsi"/>
          <w:sz w:val="22"/>
          <w:lang w:val="sr-Latn-RS"/>
        </w:rPr>
        <w:t xml:space="preserve">  у 2019. години </w:t>
      </w:r>
      <w:r w:rsidRPr="006971AB">
        <w:rPr>
          <w:rFonts w:ascii="Houschka Pro" w:hAnsi="Houschka Pro" w:cstheme="minorHAnsi"/>
          <w:sz w:val="22"/>
          <w:lang w:val="sr-Latn-RS"/>
        </w:rPr>
        <w:lastRenderedPageBreak/>
        <w:t>износи 19.381 динар</w:t>
      </w:r>
      <w:r w:rsidR="00F209A7" w:rsidRPr="006971AB">
        <w:rPr>
          <w:rFonts w:ascii="Houschka Pro" w:hAnsi="Houschka Pro" w:cstheme="minorHAnsi"/>
          <w:sz w:val="22"/>
          <w:lang w:val="sr-Cyrl-RS"/>
        </w:rPr>
        <w:t>а</w:t>
      </w:r>
      <w:r w:rsidRPr="006971AB">
        <w:rPr>
          <w:rFonts w:ascii="Houschka Pro" w:hAnsi="Houschka Pro" w:cstheme="minorHAnsi"/>
          <w:sz w:val="22"/>
          <w:lang w:val="sr-Latn-RS"/>
        </w:rPr>
        <w:t xml:space="preserve"> месечно по потрошачкој јединици. У истовременом ризику од сиромаштва и изразитој материјалној угрожености налази се 8,9% популације.</w:t>
      </w:r>
    </w:p>
    <w:p w14:paraId="39EE18E4" w14:textId="2A38EC61" w:rsidR="00362883" w:rsidRPr="0046042A" w:rsidRDefault="00D23B9D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>Остварени годишњи раст медијалног прихода (медијални приход је приход тзв. „средишњег“ појединца, тј. приход појединца који дели популацију на половину – половина популације има приходе мање од њега, а друга половина више приходе) према Анкети о приходима и условима живота (</w:t>
      </w:r>
      <w:r w:rsidR="00EF297B" w:rsidRPr="006971AB">
        <w:rPr>
          <w:rFonts w:ascii="Houschka Pro" w:hAnsi="Houschka Pro" w:cstheme="minorHAnsi"/>
          <w:sz w:val="22"/>
          <w:lang w:val="sr-Latn-RS"/>
        </w:rPr>
        <w:t>SILC</w:t>
      </w:r>
      <w:r w:rsidRPr="006971AB">
        <w:rPr>
          <w:rFonts w:ascii="Houschka Pro" w:hAnsi="Houschka Pro" w:cstheme="minorHAnsi"/>
          <w:sz w:val="22"/>
          <w:lang w:val="sr-Latn-RS"/>
        </w:rPr>
        <w:t xml:space="preserve">) у 2019. години у односу на </w:t>
      </w:r>
      <w:r w:rsidR="00D80725" w:rsidRPr="006971AB">
        <w:rPr>
          <w:rFonts w:ascii="Houschka Pro" w:hAnsi="Houschka Pro" w:cstheme="minorHAnsi"/>
          <w:sz w:val="22"/>
          <w:lang w:val="sr-Latn-RS"/>
        </w:rPr>
        <w:t xml:space="preserve">SILC </w:t>
      </w:r>
      <w:r w:rsidR="00D80725" w:rsidRPr="006971AB">
        <w:rPr>
          <w:rFonts w:ascii="Houschka Pro" w:hAnsi="Houschka Pro" w:cstheme="minorHAnsi"/>
          <w:sz w:val="22"/>
          <w:lang w:val="sr-Cyrl-RS"/>
        </w:rPr>
        <w:t xml:space="preserve">из </w:t>
      </w:r>
      <w:r w:rsidR="00D80725" w:rsidRPr="006971AB">
        <w:rPr>
          <w:rFonts w:ascii="Houschka Pro" w:hAnsi="Houschka Pro" w:cstheme="minorHAnsi"/>
          <w:sz w:val="22"/>
          <w:lang w:val="sr-Latn-RS"/>
        </w:rPr>
        <w:t>2018. године</w:t>
      </w:r>
      <w:r w:rsidRPr="006971AB">
        <w:rPr>
          <w:rFonts w:ascii="Houschka Pro" w:hAnsi="Houschka Pro" w:cstheme="minorHAnsi"/>
          <w:sz w:val="22"/>
          <w:lang w:val="sr-Latn-RS"/>
        </w:rPr>
        <w:t>, је чак 16,6% у номиналном износу</w:t>
      </w:r>
      <w:r w:rsidR="00D80725" w:rsidRPr="006971AB">
        <w:rPr>
          <w:rStyle w:val="FootnoteReference"/>
          <w:rFonts w:ascii="Houschka Pro" w:hAnsi="Houschka Pro" w:cstheme="minorHAnsi"/>
          <w:sz w:val="22"/>
          <w:lang w:val="sr-Latn-RS"/>
        </w:rPr>
        <w:footnoteReference w:id="2"/>
      </w:r>
      <w:r w:rsidRPr="006971AB">
        <w:rPr>
          <w:rFonts w:ascii="Houschka Pro" w:hAnsi="Houschka Pro" w:cstheme="minorHAnsi"/>
          <w:sz w:val="22"/>
          <w:lang w:val="sr-Latn-RS"/>
        </w:rPr>
        <w:t xml:space="preserve">. У истом периоду, Анкета о потрошњи домаћинстава бележи </w:t>
      </w:r>
      <w:hyperlink r:id="rId12" w:history="1">
        <w:r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>раст просечних месечних прихода у новцу и натури за 3,8% и раст издатака за личну потрошњу домаћинстава од 3,5%</w:t>
        </w:r>
      </w:hyperlink>
      <w:r w:rsidRPr="006971AB">
        <w:rPr>
          <w:rFonts w:ascii="Houschka Pro" w:hAnsi="Houschka Pro" w:cstheme="minorHAnsi"/>
          <w:sz w:val="22"/>
          <w:lang w:val="sr-Latn-RS"/>
        </w:rPr>
        <w:t>,</w:t>
      </w:r>
      <w:r w:rsidRPr="006971AB">
        <w:rPr>
          <w:rFonts w:ascii="Houschka Pro" w:hAnsi="Houschka Pro" w:cstheme="minorHAnsi"/>
          <w:color w:val="2E74B5" w:themeColor="accent5" w:themeShade="BF"/>
          <w:sz w:val="22"/>
          <w:lang w:val="sr-Latn-RS"/>
        </w:rPr>
        <w:t xml:space="preserve"> </w:t>
      </w:r>
      <w:r w:rsidRPr="006971AB">
        <w:rPr>
          <w:rFonts w:ascii="Houschka Pro" w:hAnsi="Houschka Pro" w:cstheme="minorHAnsi"/>
          <w:sz w:val="22"/>
          <w:lang w:val="sr-Latn-RS"/>
        </w:rPr>
        <w:t xml:space="preserve">номинално.  Према подацима Министарства финансија, у истом периоду остварен је </w:t>
      </w:r>
      <w:hyperlink r:id="rId13" w:history="1">
        <w:r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>раст реалних нето зарада од 4,4%, а пензија 3,8%</w:t>
        </w:r>
      </w:hyperlink>
      <w:r w:rsidRPr="006971AB">
        <w:rPr>
          <w:rFonts w:ascii="Houschka Pro" w:hAnsi="Houschka Pro" w:cstheme="minorHAnsi"/>
          <w:sz w:val="22"/>
          <w:lang w:val="sr-Latn-RS"/>
        </w:rPr>
        <w:t>.</w:t>
      </w:r>
      <w:r w:rsidR="00D80725" w:rsidRPr="006971AB">
        <w:rPr>
          <w:rFonts w:ascii="Houschka Pro" w:hAnsi="Houschka Pro" w:cstheme="minorHAnsi"/>
          <w:sz w:val="22"/>
          <w:lang w:val="sr-Latn-RS"/>
        </w:rPr>
        <w:t xml:space="preserve"> У номиналном износу нето зарада је у посматраном периоду порасла 6,5%</w:t>
      </w:r>
      <w:r w:rsidR="00D80725" w:rsidRPr="006971AB">
        <w:rPr>
          <w:sz w:val="22"/>
          <w:vertAlign w:val="superscript"/>
        </w:rPr>
        <w:footnoteReference w:id="3"/>
      </w:r>
      <w:r w:rsidR="00D80725" w:rsidRPr="006971AB">
        <w:rPr>
          <w:rFonts w:ascii="Houschka Pro" w:hAnsi="Houschka Pro" w:cstheme="minorHAnsi"/>
          <w:sz w:val="22"/>
          <w:lang w:val="sr-Latn-RS"/>
        </w:rPr>
        <w:t xml:space="preserve">. </w:t>
      </w:r>
      <w:r w:rsidRPr="006971AB">
        <w:rPr>
          <w:rFonts w:ascii="Houschka Pro" w:hAnsi="Houschka Pro" w:cstheme="minorHAnsi"/>
          <w:sz w:val="22"/>
          <w:lang w:val="sr-Latn-RS"/>
        </w:rPr>
        <w:t xml:space="preserve"> Подсећамо да је </w:t>
      </w:r>
      <w:hyperlink r:id="rId14" w:history="1">
        <w:r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у </w:t>
        </w:r>
        <w:r w:rsidR="00EF297B"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>SILC</w:t>
        </w:r>
        <w:r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-у уочен значајан удео домаћинстава првог децила код ког се бележи нулти приход (близу 30% домаћинстава у првом децилу бележи нулти доходак, </w:t>
        </w:r>
        <w:r w:rsidR="00EF297B"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>SILC</w:t>
        </w:r>
        <w:r w:rsidRPr="006971AB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 2017)</w:t>
        </w:r>
      </w:hyperlink>
      <w:r w:rsidRPr="006971AB">
        <w:rPr>
          <w:rFonts w:ascii="Houschka Pro" w:hAnsi="Houschka Pro" w:cstheme="minorHAnsi"/>
          <w:sz w:val="22"/>
          <w:lang w:val="sr-Latn-RS"/>
        </w:rPr>
        <w:t>, као и да су током експертских састанака са стручном заједницом и представницима Републичког завода за статистику крајем 2018. и почетком 2019. године, најављена могућа унапређења у „снимању“ дохотка посебно домаћинстава са веома ниским и нултим приходом.</w:t>
      </w:r>
      <w:r w:rsidR="002F3C99" w:rsidRPr="0046042A">
        <w:rPr>
          <w:rFonts w:ascii="Houschka Pro" w:hAnsi="Houschka Pro" w:cstheme="minorHAnsi"/>
          <w:lang w:val="sr-Latn-RS"/>
        </w:rPr>
        <w:t xml:space="preserve"> </w:t>
      </w:r>
    </w:p>
    <w:p w14:paraId="496A79F3" w14:textId="4A049EF0" w:rsidR="00BC2D80" w:rsidRPr="0046042A" w:rsidRDefault="00D23B9D" w:rsidP="00C75D2F">
      <w:pPr>
        <w:spacing w:after="240"/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  <w:r w:rsidRPr="00262EA3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Оцена кретања броја административно сиромашних</w:t>
      </w:r>
      <w:r w:rsidR="0085250F" w:rsidRPr="0046042A">
        <w:rPr>
          <w:rFonts w:ascii="Houschka Pro" w:hAnsi="Houschka Pro" w:cstheme="minorHAnsi"/>
          <w:b/>
          <w:bCs/>
          <w:u w:val="single"/>
          <w:lang w:val="sr-Latn-RS"/>
        </w:rPr>
        <w:t xml:space="preserve"> </w:t>
      </w:r>
    </w:p>
    <w:p w14:paraId="528FCA7C" w14:textId="49C7B623" w:rsidR="00BC2D80" w:rsidRPr="006971AB" w:rsidRDefault="00D23B9D" w:rsidP="00C75D2F">
      <w:pPr>
        <w:spacing w:after="240"/>
        <w:jc w:val="both"/>
        <w:rPr>
          <w:rFonts w:ascii="Houschka Pro" w:hAnsi="Houschka Pro" w:cstheme="minorHAnsi"/>
          <w:bCs/>
          <w:sz w:val="22"/>
          <w:u w:val="single"/>
          <w:lang w:val="sr-Latn-RS"/>
        </w:rPr>
      </w:pPr>
      <w:r w:rsidRPr="006971AB">
        <w:rPr>
          <w:rFonts w:ascii="Houschka Pro" w:hAnsi="Houschka Pro" w:cstheme="minorHAnsi"/>
          <w:bCs/>
          <w:sz w:val="22"/>
          <w:u w:val="single"/>
          <w:lang w:val="sr-Latn-RS"/>
        </w:rPr>
        <w:t>Пензије и социјални трансфери (</w:t>
      </w:r>
      <w:r w:rsidR="00A229A2">
        <w:rPr>
          <w:rFonts w:ascii="Houschka Pro" w:hAnsi="Houschka Pro" w:cstheme="minorHAnsi"/>
          <w:bCs/>
          <w:sz w:val="22"/>
          <w:u w:val="single"/>
          <w:lang w:val="sr-Cyrl-RS"/>
        </w:rPr>
        <w:t xml:space="preserve">међу којима </w:t>
      </w:r>
      <w:r w:rsidRPr="006971AB">
        <w:rPr>
          <w:rFonts w:ascii="Houschka Pro" w:hAnsi="Houschka Pro" w:cstheme="minorHAnsi"/>
          <w:bCs/>
          <w:sz w:val="22"/>
          <w:u w:val="single"/>
          <w:lang w:val="sr-Latn-RS"/>
        </w:rPr>
        <w:t>новчана социјална помоћ и дечији додатак) значајно утичу на смањење стопе ризика од сиромаштва. Без социјалних трансфера стопа ризика сиромаштва у 2019. години била би виша за пет процентних поена (28,3% у односу на 23,2%), док би без социјалних трансфера и пензија стопа ризика сиромаштва била виша за двадесет и три процентна поена (46,6% у односу на 23,2%).</w:t>
      </w:r>
    </w:p>
    <w:p w14:paraId="517E6890" w14:textId="430333FB" w:rsidR="00EF297B" w:rsidRPr="0046042A" w:rsidRDefault="00D23B9D" w:rsidP="00C75D2F">
      <w:pPr>
        <w:pStyle w:val="NormalWeb"/>
        <w:spacing w:after="240" w:afterAutospacing="0"/>
        <w:jc w:val="both"/>
        <w:rPr>
          <w:rFonts w:ascii="Houschka Pro" w:hAnsi="Houschka Pro" w:cstheme="minorHAnsi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>Према подацима Републичког завода за статистику, дошло је до смањена броја породица које остварују право на новчану социјалну помоћ (92.673 у 2019. години, у односу на 98.754 у 2018. години) и броја деце која остварују право на дечији додатак (226.289 у 2019. години, у односу на 225.886 у 2018. години). Ова два давања су најзначајнији вид подршке сиромашнима који се финансирају са националног нивоа. У наредном периоду важно је размотрити повећање обухвата и износа социјалних трансфера ради ефективног утицаја на смањење сиромаштва.</w:t>
      </w:r>
    </w:p>
    <w:p w14:paraId="5452EA15" w14:textId="0514A29B" w:rsidR="00CA69B3" w:rsidRPr="0046042A" w:rsidRDefault="004F4A15" w:rsidP="00C75D2F">
      <w:pPr>
        <w:pStyle w:val="NormalWeb"/>
        <w:spacing w:before="0" w:beforeAutospacing="0" w:after="0" w:afterAutospacing="0"/>
        <w:jc w:val="both"/>
        <w:rPr>
          <w:rFonts w:ascii="Houschka Pro" w:hAnsi="Houschka Pro" w:cstheme="minorHAnsi"/>
          <w:b/>
          <w:bCs/>
          <w:lang w:val="sr-Latn-RS"/>
        </w:rPr>
      </w:pPr>
      <w:r w:rsidRPr="006971AB">
        <w:rPr>
          <w:rFonts w:ascii="Houschka Pro" w:hAnsi="Houschka Pro" w:cstheme="minorHAnsi"/>
          <w:b/>
          <w:bCs/>
          <w:sz w:val="22"/>
          <w:lang w:val="sr-Latn-RS"/>
        </w:rPr>
        <w:t>Кретање броја корисника дечјег додатка и новчане социјалне помоћи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20"/>
        <w:gridCol w:w="955"/>
        <w:gridCol w:w="956"/>
        <w:gridCol w:w="956"/>
        <w:gridCol w:w="956"/>
        <w:gridCol w:w="956"/>
        <w:gridCol w:w="956"/>
      </w:tblGrid>
      <w:tr w:rsidR="00CA69B3" w:rsidRPr="0046042A" w14:paraId="24DADF86" w14:textId="77777777" w:rsidTr="006960B4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0BBDD32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sz w:val="20"/>
                <w:szCs w:val="20"/>
                <w:lang w:val="sr-Latn-RS" w:eastAsia="en-GB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221BD1A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360648B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23FDD0A9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5B3AA4A8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73CBA2E2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6634C0D8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10D70B58" w14:textId="77777777" w:rsidR="00CA69B3" w:rsidRPr="0046042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46042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2019</w:t>
            </w:r>
          </w:p>
        </w:tc>
      </w:tr>
      <w:tr w:rsidR="004C22D6" w:rsidRPr="0046042A" w14:paraId="18D24050" w14:textId="77777777" w:rsidTr="006960B4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hideMark/>
          </w:tcPr>
          <w:p w14:paraId="7BBDE620" w14:textId="4A86513F" w:rsidR="004C22D6" w:rsidRPr="0046042A" w:rsidRDefault="004F4A15" w:rsidP="007B4E39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 w:rsidRPr="004F4A15"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  <w:t>Број корисника дечијег додатка (0-17 година)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F3260A5" w14:textId="62D3766F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320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762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AB28012" w14:textId="171CFA80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310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617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CE7FC1E" w14:textId="3E4CBD4A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297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987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ABFF2F9" w14:textId="2106911B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286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354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0D91FD5" w14:textId="0799BCE6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270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460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4A7255E" w14:textId="2FF07E4D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225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886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B514BB6" w14:textId="5E60326C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226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289</w:t>
            </w:r>
          </w:p>
        </w:tc>
      </w:tr>
      <w:tr w:rsidR="004C22D6" w:rsidRPr="0046042A" w14:paraId="44585BBC" w14:textId="77777777" w:rsidTr="006960B4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hideMark/>
          </w:tcPr>
          <w:p w14:paraId="54FA0392" w14:textId="07E2426D" w:rsidR="004C22D6" w:rsidRPr="0046042A" w:rsidRDefault="004F4A15" w:rsidP="004F4A15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>
              <w:rPr>
                <w:rFonts w:ascii="Houschka Pro" w:hAnsi="Houschka Pro" w:cstheme="minorHAnsi"/>
                <w:sz w:val="21"/>
                <w:szCs w:val="21"/>
                <w:lang w:val="sr-Cyrl-RS"/>
              </w:rPr>
              <w:t>Број корисника новчане социјалне помоћи</w:t>
            </w:r>
            <w:r w:rsidR="00A229A2">
              <w:rPr>
                <w:rFonts w:ascii="Houschka Pro" w:hAnsi="Houschka Pro" w:cstheme="minorHAnsi"/>
                <w:sz w:val="21"/>
                <w:szCs w:val="21"/>
                <w:lang w:val="sr-Cyrl-RS"/>
              </w:rPr>
              <w:t xml:space="preserve"> (домаћинства)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667CEF5" w14:textId="65736600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106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954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77B5B75" w14:textId="4DC2B493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107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570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27051CC" w14:textId="41964E75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105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064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9FEE516" w14:textId="13F98EC1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106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439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2A75EFF" w14:textId="67E642B3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104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276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9F44CF5" w14:textId="382A1309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98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754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C391145" w14:textId="4129098D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92</w:t>
            </w:r>
            <w:r w:rsidR="00EA5709"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673</w:t>
            </w:r>
          </w:p>
        </w:tc>
      </w:tr>
      <w:tr w:rsidR="004C22D6" w:rsidRPr="0046042A" w14:paraId="1417C52C" w14:textId="77777777" w:rsidTr="006960B4">
        <w:trPr>
          <w:trHeight w:val="300"/>
          <w:jc w:val="center"/>
        </w:trPr>
        <w:tc>
          <w:tcPr>
            <w:tcW w:w="2695" w:type="dxa"/>
            <w:shd w:val="clear" w:color="auto" w:fill="F2F2F2" w:themeFill="background1" w:themeFillShade="F2"/>
            <w:noWrap/>
            <w:hideMark/>
          </w:tcPr>
          <w:p w14:paraId="0CC402B5" w14:textId="713D79EA" w:rsidR="004C22D6" w:rsidRPr="0046042A" w:rsidRDefault="004F4A15" w:rsidP="004F4A15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>
              <w:rPr>
                <w:rFonts w:ascii="Houschka Pro" w:hAnsi="Houschka Pro" w:cstheme="minorHAnsi"/>
                <w:sz w:val="21"/>
                <w:szCs w:val="21"/>
                <w:lang w:val="sr-Cyrl-RS"/>
              </w:rPr>
              <w:t>Удео корисника дечијег додатка у укупној популацији деце</w:t>
            </w:r>
          </w:p>
        </w:tc>
        <w:tc>
          <w:tcPr>
            <w:tcW w:w="920" w:type="dxa"/>
            <w:shd w:val="clear" w:color="auto" w:fill="F2F2F2" w:themeFill="background1" w:themeFillShade="F2"/>
            <w:noWrap/>
            <w:vAlign w:val="center"/>
            <w:hideMark/>
          </w:tcPr>
          <w:p w14:paraId="56A89133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24,8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1BD73B41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24,3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2B08EB68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23,3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03BB081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CEEEF6C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21,3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563E2AB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17,6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3FB8B31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17,7</w:t>
            </w:r>
          </w:p>
        </w:tc>
      </w:tr>
      <w:tr w:rsidR="004C22D6" w:rsidRPr="0046042A" w14:paraId="2EC8B3C2" w14:textId="77777777" w:rsidTr="006960B4">
        <w:trPr>
          <w:trHeight w:val="300"/>
          <w:jc w:val="center"/>
        </w:trPr>
        <w:tc>
          <w:tcPr>
            <w:tcW w:w="2695" w:type="dxa"/>
            <w:shd w:val="clear" w:color="auto" w:fill="F2F2F2" w:themeFill="background1" w:themeFillShade="F2"/>
            <w:noWrap/>
            <w:hideMark/>
          </w:tcPr>
          <w:p w14:paraId="6EF3F1E3" w14:textId="20A6C288" w:rsidR="004C22D6" w:rsidRPr="0046042A" w:rsidRDefault="004F4A15" w:rsidP="004F4A15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>
              <w:rPr>
                <w:rFonts w:ascii="Houschka Pro" w:hAnsi="Houschka Pro" w:cstheme="minorHAnsi"/>
                <w:sz w:val="21"/>
                <w:szCs w:val="21"/>
                <w:lang w:val="sr-Cyrl-RS"/>
              </w:rPr>
              <w:t>Удео корисника новчане социјалне помоћи у укупној популацији</w:t>
            </w:r>
          </w:p>
        </w:tc>
        <w:tc>
          <w:tcPr>
            <w:tcW w:w="920" w:type="dxa"/>
            <w:shd w:val="clear" w:color="auto" w:fill="F2F2F2" w:themeFill="background1" w:themeFillShade="F2"/>
            <w:noWrap/>
            <w:vAlign w:val="center"/>
            <w:hideMark/>
          </w:tcPr>
          <w:p w14:paraId="1F93878E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3,7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79C41040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3,7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1B053E5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48F60B8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B7E354E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3,5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3CFCF99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265BE764" w14:textId="77777777" w:rsidR="004C22D6" w:rsidRPr="007B4E39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7B4E39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3,1</w:t>
            </w:r>
          </w:p>
        </w:tc>
      </w:tr>
    </w:tbl>
    <w:p w14:paraId="4404E07C" w14:textId="4EED0446" w:rsidR="00CA69B3" w:rsidRPr="0046042A" w:rsidRDefault="004F4A15" w:rsidP="00C92E69">
      <w:pPr>
        <w:pStyle w:val="NormalWeb"/>
        <w:spacing w:before="0" w:beforeAutospacing="0" w:after="0" w:afterAutospacing="0"/>
        <w:ind w:left="720"/>
        <w:jc w:val="both"/>
        <w:rPr>
          <w:rFonts w:ascii="Houschka Pro" w:hAnsi="Houschka Pro" w:cstheme="minorHAnsi"/>
          <w:i/>
          <w:iCs/>
          <w:sz w:val="22"/>
          <w:szCs w:val="22"/>
          <w:lang w:val="sr-Latn-RS"/>
        </w:rPr>
      </w:pPr>
      <w:r w:rsidRPr="006960B4">
        <w:rPr>
          <w:rFonts w:ascii="Houschka Pro" w:hAnsi="Houschka Pro" w:cstheme="minorHAnsi"/>
          <w:i/>
          <w:iCs/>
          <w:sz w:val="22"/>
          <w:szCs w:val="22"/>
          <w:lang w:val="sr-Latn-RS"/>
        </w:rPr>
        <w:lastRenderedPageBreak/>
        <w:t>Извор: ДевИнфо, Републички завод за статистику</w:t>
      </w:r>
    </w:p>
    <w:p w14:paraId="5B9C9EA5" w14:textId="7B6A8995" w:rsidR="00841BC7" w:rsidRPr="006971AB" w:rsidRDefault="004F4A15" w:rsidP="00C75D2F">
      <w:pPr>
        <w:pStyle w:val="NormalWeb"/>
        <w:spacing w:after="240" w:afterAutospacing="0"/>
        <w:jc w:val="both"/>
        <w:rPr>
          <w:rFonts w:ascii="Houschka Pro" w:hAnsi="Houschka Pro" w:cstheme="minorHAnsi"/>
          <w:sz w:val="22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>Број деце која остварују право на дечији додатак у периоду од 2013-2019. године у апсолутним износима смањен је за преко 94 хиљаде деце, а број породица која остварују право на новчану социјалну помоћ смањен је за преко 14 хиљада.</w:t>
      </w:r>
      <w:r w:rsidR="00841BC7" w:rsidRPr="006971AB">
        <w:rPr>
          <w:rFonts w:ascii="Houschka Pro" w:hAnsi="Houschka Pro" w:cstheme="minorHAnsi"/>
          <w:sz w:val="22"/>
          <w:lang w:val="sr-Latn-RS"/>
        </w:rPr>
        <w:t xml:space="preserve"> </w:t>
      </w:r>
    </w:p>
    <w:p w14:paraId="2BE75494" w14:textId="3D00E923" w:rsidR="00474495" w:rsidRPr="006971AB" w:rsidRDefault="004F4A15" w:rsidP="00C75D2F">
      <w:pPr>
        <w:spacing w:after="240"/>
        <w:jc w:val="both"/>
        <w:rPr>
          <w:rFonts w:ascii="Houschka Pro" w:hAnsi="Houschka Pro" w:cstheme="minorHAnsi"/>
          <w:b/>
          <w:bCs/>
          <w:sz w:val="22"/>
          <w:u w:val="single"/>
          <w:lang w:val="sr-Latn-RS"/>
        </w:rPr>
      </w:pPr>
      <w:r w:rsidRPr="006971AB">
        <w:rPr>
          <w:rFonts w:ascii="Houschka Pro" w:hAnsi="Houschka Pro" w:cstheme="minorHAnsi"/>
          <w:b/>
          <w:bCs/>
          <w:color w:val="345095"/>
          <w:sz w:val="22"/>
          <w:u w:val="single"/>
          <w:lang w:val="sr-Latn-RS"/>
        </w:rPr>
        <w:t xml:space="preserve">Оцена кретања основних индикатора сиромаштва након једнократних универзалних мера примењених током </w:t>
      </w:r>
      <w:r w:rsidR="00EF297B" w:rsidRPr="006971AB">
        <w:rPr>
          <w:rFonts w:ascii="Houschka Pro" w:hAnsi="Houschka Pro" w:cstheme="minorHAnsi"/>
          <w:b/>
          <w:bCs/>
          <w:color w:val="345095"/>
          <w:sz w:val="22"/>
          <w:u w:val="single"/>
          <w:lang w:val="sr-Latn-RS"/>
        </w:rPr>
        <w:t>Covid</w:t>
      </w:r>
      <w:r w:rsidRPr="006971AB">
        <w:rPr>
          <w:rFonts w:ascii="Houschka Pro" w:hAnsi="Houschka Pro" w:cstheme="minorHAnsi"/>
          <w:b/>
          <w:bCs/>
          <w:color w:val="345095"/>
          <w:sz w:val="22"/>
          <w:u w:val="single"/>
          <w:lang w:val="sr-Latn-RS"/>
        </w:rPr>
        <w:t>-19 пандемије уз оцену ефеката таргетираних мера</w:t>
      </w:r>
    </w:p>
    <w:p w14:paraId="2ECB117C" w14:textId="706866B7" w:rsidR="007B4E39" w:rsidRPr="006971AB" w:rsidRDefault="004F4A15" w:rsidP="00C75D2F">
      <w:pPr>
        <w:spacing w:after="240"/>
        <w:jc w:val="both"/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</w:pPr>
      <w:r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Са циљем да се испита кретање сиромаштва током пандемије настале 2020. године и стекне увид у ефекте релевантних мера Владе Републике Србије на буџетске издатке и основне показатеље сиромаштва и неједнакости, Тим за социјално укључивање и смањење сиромаштва је припремио процену на основу анализе података Анкете о приходима и условима живота (</w:t>
      </w:r>
      <w:r w:rsidR="00EF297B"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SILC</w:t>
      </w:r>
      <w:r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2017) и Анкете о потрошњи домаћинстава (АПД 2018).</w:t>
      </w:r>
      <w:r w:rsidR="003B0A40"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 </w:t>
      </w:r>
    </w:p>
    <w:p w14:paraId="161C9B89" w14:textId="2D0B7275" w:rsidR="00474495" w:rsidRPr="006971AB" w:rsidRDefault="004F4A15" w:rsidP="00C75D2F">
      <w:pPr>
        <w:spacing w:after="240"/>
        <w:jc w:val="both"/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</w:pPr>
      <w:r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Осим ефеката две мере директне подршке приходима/потрошњи лица и то (1) Уредбе о једнократној исплати 100 евра свим пунолетним грађанима, и (2) Одлуке о додели 4.000 динара свим пензионерима, истовремено су анализирани ефекти 16 таргетираних мера, са циљем да се упореде ефекти мера како на издатке (процењивани су укупни трошкови мере), тако и на 4 основна индикатора сиромаштва и неједнакости (стопу ризика од сиромаштва, Гини, квинтилни однос и релативни јаз ризика од сиромаштва). Ефекти сваке мере су праћени и по децилима, па је анализирано како би ефекти мера били дистрибуирани у свих 10 децила просечних прихода/потрошње. Таргетиране мере се, превасходно, односе на давања корисницима новчане социјалне помоћи и корисницима дечијег додатка, особама са инвалидитетом, те додатну помоћ пензионерима и старијима са ниским месечним примањима и деци у породицама са више деце.</w:t>
      </w:r>
      <w:r w:rsidR="003B0A40" w:rsidRPr="006971AB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 </w:t>
      </w:r>
    </w:p>
    <w:p w14:paraId="330CAAC5" w14:textId="77777777" w:rsidR="004F4A15" w:rsidRPr="006971AB" w:rsidRDefault="004F4A15" w:rsidP="00C75D2F">
      <w:pPr>
        <w:spacing w:after="240"/>
        <w:jc w:val="both"/>
        <w:rPr>
          <w:rFonts w:ascii="Houschka Pro" w:hAnsi="Houschka Pro" w:cstheme="minorHAnsi"/>
          <w:bCs/>
          <w:sz w:val="22"/>
          <w:lang w:val="sr-Latn-RS"/>
        </w:rPr>
      </w:pPr>
      <w:r w:rsidRPr="006971AB">
        <w:rPr>
          <w:rFonts w:ascii="Houschka Pro" w:hAnsi="Houschka Pro" w:cstheme="minorHAnsi"/>
          <w:bCs/>
          <w:sz w:val="22"/>
          <w:lang w:val="sr-Latn-RS"/>
        </w:rPr>
        <w:t xml:space="preserve">Једна од кључних спроведених мера била је исплата једнократне новчане помоћи у износу од 100 евра у динарској противвредности свим пунолетним држављанима Републике Србије. Према проценама Министарства финансија, 6.145.529 пунолетних грађана је примило ову врсту новчане помоћи, која је државу „коштала“ 72,3 милијарде динара. </w:t>
      </w:r>
    </w:p>
    <w:p w14:paraId="3A8AB42A" w14:textId="70EE8DA2" w:rsidR="004F4A15" w:rsidRPr="006971AB" w:rsidRDefault="004F4A15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 xml:space="preserve">Оваква мера резултирала је смањењем стопе ризика од сиромаштва за 1,1 процентни поен (са 25,7 на 24,6), према подацима </w:t>
      </w:r>
      <w:r w:rsidR="00EF297B" w:rsidRPr="006971AB">
        <w:rPr>
          <w:rFonts w:ascii="Houschka Pro" w:hAnsi="Houschka Pro" w:cstheme="minorHAnsi"/>
          <w:sz w:val="22"/>
          <w:lang w:val="sr-Latn-RS"/>
        </w:rPr>
        <w:t>SILC</w:t>
      </w:r>
      <w:r w:rsidRPr="006971AB">
        <w:rPr>
          <w:rFonts w:ascii="Houschka Pro" w:hAnsi="Houschka Pro" w:cstheme="minorHAnsi"/>
          <w:sz w:val="22"/>
          <w:lang w:val="sr-Latn-RS"/>
        </w:rPr>
        <w:t xml:space="preserve"> истраживања за 2017. годину. Последично, овакав потез се одразио и на мере неједнакости расподеле дохотка. Гини коефицијент, као најчешће коришћена мера неједнакости расподеле дохотка, се смањио са 37,8 на 36,3, а квинтилни однос С80/С20 се смањио за 1,3 (са 9,4 на 8,1). Истовремено, долази до смањења апсолутног сиромаштва са 7,1% на 4% (према подацима АПД из 2018, уз претпоставку да је сав примљени износ помоћи усмерен на потрошњу, што је у најсиромашнијем децилу реална претпоставка).</w:t>
      </w:r>
    </w:p>
    <w:p w14:paraId="25B0972B" w14:textId="4671137B" w:rsidR="00474495" w:rsidRPr="00C75D2F" w:rsidRDefault="004F4A15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6971AB">
        <w:rPr>
          <w:rFonts w:ascii="Houschka Pro" w:hAnsi="Houschka Pro" w:cstheme="minorHAnsi"/>
          <w:sz w:val="22"/>
          <w:lang w:val="sr-Latn-RS"/>
        </w:rPr>
        <w:t xml:space="preserve">Анализе на основу постојећих података додатно показују да су се исти или слични ефекти на основне показатеље животног стандарда могли постићи и уз значајно мање буџетске расходе, уз примену таргетираних мера. Увећање новчане социјалне помоћи и/или дечијег додатка од  20% постојећим корисницима у периоду трајања ванредног стања (3 месеца) није довољно за значајније ефекте на сиромаштво и неједнакост ни према концепту апсолутног, ни према концепту релативног сиромаштва. Веома ниски износи давања, далеко испод линије апсолутног, као и релативног прага сиромаштва, уз мали број корисника, потврђује овакве налазе и указује на потребу за повећањем износа давања и проширењем обима корисника у циљу оптималне </w:t>
      </w:r>
      <w:r w:rsidR="00A229A2">
        <w:rPr>
          <w:rFonts w:ascii="Houschka Pro" w:hAnsi="Houschka Pro" w:cstheme="minorHAnsi"/>
          <w:sz w:val="22"/>
          <w:lang w:val="sr-Cyrl-RS"/>
        </w:rPr>
        <w:t xml:space="preserve">заштите угрожених кроз </w:t>
      </w:r>
      <w:r w:rsidR="00A229A2">
        <w:rPr>
          <w:rFonts w:ascii="Houschka Pro" w:hAnsi="Houschka Pro" w:cstheme="minorHAnsi"/>
          <w:sz w:val="22"/>
          <w:lang w:val="sr-Latn-RS"/>
        </w:rPr>
        <w:t>социјалне трансфере</w:t>
      </w:r>
      <w:r w:rsidRPr="006971AB">
        <w:rPr>
          <w:rFonts w:ascii="Houschka Pro" w:hAnsi="Houschka Pro" w:cstheme="minorHAnsi"/>
          <w:sz w:val="22"/>
          <w:lang w:val="sr-Latn-RS"/>
        </w:rPr>
        <w:t>.</w:t>
      </w:r>
    </w:p>
    <w:p w14:paraId="734A5276" w14:textId="77777777" w:rsidR="006960B4" w:rsidRDefault="006960B4" w:rsidP="00C92E69">
      <w:pPr>
        <w:jc w:val="both"/>
        <w:rPr>
          <w:rFonts w:ascii="Houschka Pro" w:hAnsi="Houschka Pro" w:cstheme="minorHAnsi"/>
          <w:b/>
          <w:bCs/>
          <w:color w:val="345095"/>
          <w:u w:val="single"/>
          <w:lang w:val="sr-Latn-RS"/>
        </w:rPr>
      </w:pPr>
    </w:p>
    <w:p w14:paraId="65A15EDC" w14:textId="23CC64F8" w:rsidR="004C5670" w:rsidRPr="0046042A" w:rsidRDefault="004F4A15" w:rsidP="00C92E69">
      <w:pPr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  <w:r w:rsidRPr="00262EA3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 xml:space="preserve">Оцена кретања расхода намењених заштити најугроженијих током </w:t>
      </w:r>
      <w:r w:rsidR="00EF297B" w:rsidRPr="00262EA3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Covid</w:t>
      </w:r>
      <w:r w:rsidRPr="00262EA3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-19 пандемије</w:t>
      </w:r>
    </w:p>
    <w:p w14:paraId="23FD43EC" w14:textId="5AE03F98" w:rsidR="00F10A5F" w:rsidRPr="005A509B" w:rsidRDefault="00F209A7" w:rsidP="00C92E69">
      <w:pPr>
        <w:pStyle w:val="NormalWeb"/>
        <w:jc w:val="both"/>
        <w:rPr>
          <w:rFonts w:ascii="Houschka Pro" w:hAnsi="Houschka Pro" w:cstheme="minorHAnsi"/>
          <w:sz w:val="22"/>
          <w:lang w:val="sr-Latn-RS"/>
        </w:rPr>
      </w:pPr>
      <w:r w:rsidRPr="005A509B">
        <w:rPr>
          <w:rFonts w:ascii="Houschka Pro" w:hAnsi="Houschka Pro" w:cstheme="minorHAnsi"/>
          <w:sz w:val="22"/>
          <w:lang w:val="sr-Latn-RS"/>
        </w:rPr>
        <w:t xml:space="preserve">Према подацима Министарства финансија, током трајања ванредног стања и пандемије изазване </w:t>
      </w:r>
      <w:r w:rsidR="00EF297B" w:rsidRPr="005A509B">
        <w:rPr>
          <w:rFonts w:ascii="Houschka Pro" w:hAnsi="Houschka Pro" w:cstheme="minorHAnsi"/>
          <w:sz w:val="22"/>
          <w:lang w:val="sr-Latn-RS"/>
        </w:rPr>
        <w:t>Covid</w:t>
      </w:r>
      <w:r w:rsidRPr="005A509B">
        <w:rPr>
          <w:rFonts w:ascii="Houschka Pro" w:hAnsi="Houschka Pro" w:cstheme="minorHAnsi"/>
          <w:sz w:val="22"/>
          <w:lang w:val="sr-Latn-RS"/>
        </w:rPr>
        <w:t>-19 вирусом, није било раста издатака у категорији социјална помоћ. Месечни расходи у првих шест месеци 2020. године су у просеку били стабилни и износили око 12,6 милијарди динара. Једина расходна ставка у оквиру групе расхода „социјална помоћ и трансфери становништву“ која је имала карактеристике сензитивности на кризу јесте „остали трансфери становништву“ која је у априлу 2020. године увећана за преко шест милијарди динара, у односу на просечне месечне вредности у првих шест месеци 2020. године</w:t>
      </w:r>
      <w:r w:rsidR="00404290" w:rsidRPr="005A509B">
        <w:rPr>
          <w:rStyle w:val="FootnoteReference"/>
          <w:rFonts w:ascii="Houschka Pro" w:hAnsi="Houschka Pro" w:cstheme="minorHAnsi"/>
          <w:sz w:val="22"/>
          <w:lang w:val="sr-Latn-RS"/>
        </w:rPr>
        <w:footnoteReference w:id="4"/>
      </w:r>
      <w:r w:rsidR="003B4731" w:rsidRPr="005A509B">
        <w:rPr>
          <w:rFonts w:ascii="Houschka Pro" w:hAnsi="Houschka Pro" w:cstheme="minorHAnsi"/>
          <w:sz w:val="22"/>
          <w:lang w:val="sr-Latn-RS"/>
        </w:rPr>
        <w:t xml:space="preserve">. </w:t>
      </w:r>
    </w:p>
    <w:p w14:paraId="40362E48" w14:textId="7E03CC3D" w:rsidR="00404290" w:rsidRDefault="00F209A7" w:rsidP="00C92E69">
      <w:pPr>
        <w:pStyle w:val="NormalWeb"/>
        <w:jc w:val="both"/>
        <w:rPr>
          <w:rFonts w:ascii="Houschka Pro" w:hAnsi="Houschka Pro" w:cstheme="minorHAnsi"/>
          <w:lang w:val="sr-Latn-RS"/>
        </w:rPr>
      </w:pPr>
      <w:r w:rsidRPr="005A509B">
        <w:rPr>
          <w:rFonts w:ascii="Houschka Pro" w:hAnsi="Houschka Pro" w:cstheme="minorHAnsi"/>
          <w:sz w:val="22"/>
          <w:lang w:val="sr-Latn-RS"/>
        </w:rPr>
        <w:t xml:space="preserve">У вишегодишњем тренду, забрињава кретање висине расхода у оквиру категорије </w:t>
      </w:r>
      <w:r w:rsidRPr="005A509B">
        <w:rPr>
          <w:rFonts w:ascii="Houschka Pro" w:hAnsi="Houschka Pro" w:cstheme="minorHAnsi"/>
          <w:i/>
          <w:sz w:val="22"/>
          <w:lang w:val="sr-Latn-RS"/>
        </w:rPr>
        <w:t>социјална помоћ</w:t>
      </w:r>
      <w:r w:rsidRPr="005A509B">
        <w:rPr>
          <w:rFonts w:ascii="Houschka Pro" w:hAnsi="Houschka Pro" w:cstheme="minorHAnsi"/>
          <w:sz w:val="22"/>
          <w:lang w:val="sr-Latn-RS"/>
        </w:rPr>
        <w:t>. Смањење удел</w:t>
      </w:r>
      <w:bookmarkStart w:id="0" w:name="_GoBack"/>
      <w:bookmarkEnd w:id="0"/>
      <w:r w:rsidRPr="005A509B">
        <w:rPr>
          <w:rFonts w:ascii="Houschka Pro" w:hAnsi="Houschka Pro" w:cstheme="minorHAnsi"/>
          <w:sz w:val="22"/>
          <w:lang w:val="sr-Latn-RS"/>
        </w:rPr>
        <w:t>а ове категорије у БДП-у је стабилно, тако да је са 3,9% БДП колико је учешће ове категорије износило у 2015. години, у 2019. години ово учешће свега 3,1%.</w:t>
      </w:r>
      <w:r w:rsidR="00404290" w:rsidRPr="0046042A">
        <w:rPr>
          <w:rFonts w:ascii="Houschka Pro" w:hAnsi="Houschka Pro" w:cstheme="minorHAnsi"/>
          <w:lang w:val="sr-Latn-RS"/>
        </w:rPr>
        <w:t xml:space="preserve"> </w:t>
      </w:r>
    </w:p>
    <w:p w14:paraId="725F27CE" w14:textId="5397D394" w:rsidR="00701042" w:rsidRPr="00EF297B" w:rsidRDefault="00EF297B" w:rsidP="00C92E69">
      <w:pPr>
        <w:pStyle w:val="NormalWeb"/>
        <w:spacing w:before="0" w:beforeAutospacing="0" w:after="0" w:afterAutospacing="0"/>
        <w:jc w:val="both"/>
        <w:rPr>
          <w:rFonts w:ascii="Houschka Pro" w:hAnsi="Houschka Pro" w:cstheme="minorHAnsi"/>
          <w:b/>
          <w:bCs/>
          <w:lang w:val="sr-Latn-RS"/>
        </w:rPr>
      </w:pPr>
      <w:r>
        <w:rPr>
          <w:noProof/>
          <w:lang w:eastAsia="en-US"/>
        </w:rPr>
        <w:drawing>
          <wp:inline distT="0" distB="0" distL="0" distR="0" wp14:anchorId="082A4189" wp14:editId="129E5EBB">
            <wp:extent cx="5743575" cy="414337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D94E8A4-B02B-DA4C-B680-14474F935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  <w:r w:rsidR="00C05C6D">
        <w:rPr>
          <w:rFonts w:ascii="Houschka Pro" w:hAnsi="Houschka Pro" w:cstheme="minorHAnsi"/>
          <w:b/>
          <w:bCs/>
          <w:lang w:val="sr-Latn-RS"/>
        </w:rPr>
        <w:br w:type="textWrapping" w:clear="all"/>
      </w:r>
      <w:r w:rsidR="00F209A7" w:rsidRPr="00F209A7">
        <w:rPr>
          <w:rFonts w:ascii="Houschka Pro" w:hAnsi="Houschka Pro" w:cstheme="minorHAnsi"/>
          <w:i/>
          <w:iCs/>
          <w:sz w:val="22"/>
          <w:szCs w:val="22"/>
          <w:lang w:val="sr-Latn-RS"/>
        </w:rPr>
        <w:t>Извор: Министарство финансија, Билтен јавних финансија</w:t>
      </w:r>
    </w:p>
    <w:sectPr w:rsidR="00701042" w:rsidRPr="00EF297B" w:rsidSect="001A50E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1EB3" w16cex:dateUtc="2020-10-16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E02A6C" w16cid:durableId="23341E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0382" w14:textId="77777777" w:rsidR="00A46BF8" w:rsidRDefault="00A46BF8" w:rsidP="00404290">
      <w:r>
        <w:separator/>
      </w:r>
    </w:p>
  </w:endnote>
  <w:endnote w:type="continuationSeparator" w:id="0">
    <w:p w14:paraId="6944E490" w14:textId="77777777" w:rsidR="00A46BF8" w:rsidRDefault="00A46BF8" w:rsidP="004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uschka Pro">
    <w:altName w:val="Times New Roman"/>
    <w:panose1 w:val="02000603000000020003"/>
    <w:charset w:val="00"/>
    <w:family w:val="swiss"/>
    <w:notTrueType/>
    <w:pitch w:val="variable"/>
    <w:sig w:usb0="800002A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78CA" w14:textId="77777777" w:rsidR="00A46BF8" w:rsidRDefault="00A46BF8" w:rsidP="00404290">
      <w:r>
        <w:separator/>
      </w:r>
    </w:p>
  </w:footnote>
  <w:footnote w:type="continuationSeparator" w:id="0">
    <w:p w14:paraId="20A9BB72" w14:textId="77777777" w:rsidR="00A46BF8" w:rsidRDefault="00A46BF8" w:rsidP="00404290">
      <w:r>
        <w:continuationSeparator/>
      </w:r>
    </w:p>
  </w:footnote>
  <w:footnote w:id="1">
    <w:p w14:paraId="3C70DC55" w14:textId="7F2DC556" w:rsidR="00D80725" w:rsidRPr="00D80725" w:rsidRDefault="00D80725" w:rsidP="00D80725">
      <w:pPr>
        <w:pStyle w:val="FootnoteText"/>
        <w:jc w:val="both"/>
        <w:rPr>
          <w:rFonts w:ascii="Houschka Pro" w:hAnsi="Houschka Pro"/>
          <w:sz w:val="18"/>
          <w:lang w:val="sr-Cyrl-RS"/>
        </w:rPr>
      </w:pPr>
      <w:r w:rsidRPr="00D80725">
        <w:rPr>
          <w:rStyle w:val="FootnoteReference"/>
          <w:rFonts w:ascii="Houschka Pro" w:hAnsi="Houschka Pro"/>
          <w:sz w:val="18"/>
          <w:lang w:val="sr-Cyrl-RS"/>
        </w:rPr>
        <w:footnoteRef/>
      </w:r>
      <w:r w:rsidRPr="00D80725">
        <w:rPr>
          <w:rFonts w:ascii="Houschka Pro" w:hAnsi="Houschka Pro"/>
          <w:sz w:val="18"/>
          <w:lang w:val="sr-Cyrl-RS"/>
        </w:rPr>
        <w:t xml:space="preserve"> Праг ризика од сиромаштва (релативна линија сиромаштва) представља 60% медијане националног еквивалентног прихода и изражава се у динарима.</w:t>
      </w:r>
    </w:p>
  </w:footnote>
  <w:footnote w:id="2">
    <w:p w14:paraId="6BEC6AE8" w14:textId="177880C6" w:rsidR="00D80725" w:rsidRPr="00D80725" w:rsidRDefault="00D80725" w:rsidP="00D80725">
      <w:pPr>
        <w:pStyle w:val="FootnoteText"/>
        <w:jc w:val="both"/>
        <w:rPr>
          <w:rFonts w:ascii="Houschka Pro" w:hAnsi="Houschka Pro"/>
          <w:sz w:val="18"/>
          <w:lang w:val="sr-Cyrl-RS"/>
        </w:rPr>
      </w:pPr>
      <w:r w:rsidRPr="00D80725">
        <w:rPr>
          <w:rStyle w:val="FootnoteReference"/>
          <w:rFonts w:ascii="Houschka Pro" w:hAnsi="Houschka Pro"/>
          <w:sz w:val="18"/>
          <w:lang w:val="sr-Cyrl-RS"/>
        </w:rPr>
        <w:footnoteRef/>
      </w:r>
      <w:r w:rsidRPr="00D80725">
        <w:rPr>
          <w:rFonts w:ascii="Houschka Pro" w:hAnsi="Houschka Pro"/>
          <w:sz w:val="18"/>
          <w:lang w:val="sr-Cyrl-RS"/>
        </w:rPr>
        <w:t xml:space="preserve"> Референтни период за приходе је 2018. година, тако да се поређење раста прихода односи на приходе остварене у 2017. и 2018. години.</w:t>
      </w:r>
    </w:p>
  </w:footnote>
  <w:footnote w:id="3">
    <w:p w14:paraId="019AA3DD" w14:textId="77777777" w:rsidR="00D80725" w:rsidRPr="00D80725" w:rsidRDefault="00D80725" w:rsidP="00D80725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D80725">
        <w:rPr>
          <w:rFonts w:ascii="Houschka Pro" w:hAnsi="Houschka Pro"/>
          <w:sz w:val="18"/>
          <w:lang w:val="sr-Cyrl-RS"/>
        </w:rPr>
        <w:t xml:space="preserve">Према подацима РЗС, за период I-XII2018/I-XII2019, </w:t>
      </w:r>
      <w:hyperlink r:id="rId1" w:history="1">
        <w:r w:rsidRPr="003D35B7">
          <w:rPr>
            <w:rStyle w:val="Hyperlink"/>
            <w:rFonts w:ascii="Houschka Pro" w:hAnsi="Houschka Pro"/>
            <w:sz w:val="18"/>
            <w:lang w:val="sr-Cyrl-RS"/>
          </w:rPr>
          <w:t>https://publikacije.stat.gov.rs/G2019/Pdf/G20191041.pdf</w:t>
        </w:r>
      </w:hyperlink>
      <w:r>
        <w:rPr>
          <w:rFonts w:ascii="Houschka Pro" w:hAnsi="Houschka Pro"/>
          <w:sz w:val="18"/>
          <w:lang w:val="sr-Latn-RS"/>
        </w:rPr>
        <w:t xml:space="preserve"> </w:t>
      </w:r>
    </w:p>
  </w:footnote>
  <w:footnote w:id="4">
    <w:p w14:paraId="77D266E2" w14:textId="7F880D4C" w:rsidR="00404290" w:rsidRPr="00D80725" w:rsidRDefault="00404290" w:rsidP="00D80725">
      <w:pPr>
        <w:pStyle w:val="FootnoteText"/>
        <w:jc w:val="both"/>
        <w:rPr>
          <w:rFonts w:ascii="Houschka Pro" w:hAnsi="Houschka Pro"/>
          <w:sz w:val="18"/>
          <w:lang w:val="sr-Cyrl-RS"/>
        </w:rPr>
      </w:pPr>
      <w:r w:rsidRPr="00D80725">
        <w:rPr>
          <w:rStyle w:val="FootnoteReference"/>
          <w:rFonts w:ascii="Houschka Pro" w:hAnsi="Houschka Pro"/>
          <w:sz w:val="18"/>
          <w:lang w:val="sr-Cyrl-RS"/>
        </w:rPr>
        <w:footnoteRef/>
      </w:r>
      <w:r w:rsidRPr="00D80725">
        <w:rPr>
          <w:rFonts w:ascii="Houschka Pro" w:hAnsi="Houschka Pro"/>
          <w:sz w:val="18"/>
          <w:lang w:val="sr-Cyrl-RS"/>
        </w:rPr>
        <w:t xml:space="preserve"> </w:t>
      </w:r>
      <w:r w:rsidR="00F209A7" w:rsidRPr="00D80725">
        <w:rPr>
          <w:rFonts w:ascii="Houschka Pro" w:hAnsi="Houschka Pro"/>
          <w:sz w:val="18"/>
          <w:lang w:val="sr-Cyrl-RS"/>
        </w:rPr>
        <w:t>Према подацима Министарства финансија, Билтен јавних финансија, август 2020. године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270"/>
    <w:multiLevelType w:val="hybridMultilevel"/>
    <w:tmpl w:val="F05A39D2"/>
    <w:lvl w:ilvl="0" w:tplc="AA9E01D0">
      <w:start w:val="22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B3"/>
    <w:rsid w:val="000045D2"/>
    <w:rsid w:val="0002587D"/>
    <w:rsid w:val="00035CAB"/>
    <w:rsid w:val="00090F06"/>
    <w:rsid w:val="00094E26"/>
    <w:rsid w:val="000A3C23"/>
    <w:rsid w:val="000B1BBD"/>
    <w:rsid w:val="000C5AFB"/>
    <w:rsid w:val="000D2675"/>
    <w:rsid w:val="000D7B44"/>
    <w:rsid w:val="000E5B3A"/>
    <w:rsid w:val="000F27A6"/>
    <w:rsid w:val="00102619"/>
    <w:rsid w:val="001330DE"/>
    <w:rsid w:val="001445C6"/>
    <w:rsid w:val="00153937"/>
    <w:rsid w:val="0019706B"/>
    <w:rsid w:val="001A50E1"/>
    <w:rsid w:val="001D306D"/>
    <w:rsid w:val="001D73A6"/>
    <w:rsid w:val="001D7A91"/>
    <w:rsid w:val="001E0941"/>
    <w:rsid w:val="002269AF"/>
    <w:rsid w:val="00262EA3"/>
    <w:rsid w:val="00283C48"/>
    <w:rsid w:val="002F16B3"/>
    <w:rsid w:val="002F3C99"/>
    <w:rsid w:val="003056FA"/>
    <w:rsid w:val="003306B5"/>
    <w:rsid w:val="00362883"/>
    <w:rsid w:val="0037365F"/>
    <w:rsid w:val="00387D01"/>
    <w:rsid w:val="003A37D2"/>
    <w:rsid w:val="003A529C"/>
    <w:rsid w:val="003B0A40"/>
    <w:rsid w:val="003B4731"/>
    <w:rsid w:val="003F34D5"/>
    <w:rsid w:val="00404290"/>
    <w:rsid w:val="0045135F"/>
    <w:rsid w:val="0046042A"/>
    <w:rsid w:val="00474495"/>
    <w:rsid w:val="004A7EBE"/>
    <w:rsid w:val="004C22D6"/>
    <w:rsid w:val="004C5670"/>
    <w:rsid w:val="004F4A15"/>
    <w:rsid w:val="00502CDF"/>
    <w:rsid w:val="00542219"/>
    <w:rsid w:val="005A509B"/>
    <w:rsid w:val="005E5BD9"/>
    <w:rsid w:val="005E6EE0"/>
    <w:rsid w:val="00645C1C"/>
    <w:rsid w:val="00647BAD"/>
    <w:rsid w:val="006635C3"/>
    <w:rsid w:val="00685F99"/>
    <w:rsid w:val="006943FA"/>
    <w:rsid w:val="006960B4"/>
    <w:rsid w:val="006971AB"/>
    <w:rsid w:val="006F2372"/>
    <w:rsid w:val="00701042"/>
    <w:rsid w:val="007225F5"/>
    <w:rsid w:val="0074081F"/>
    <w:rsid w:val="00757563"/>
    <w:rsid w:val="00794A19"/>
    <w:rsid w:val="007B4E39"/>
    <w:rsid w:val="007B5053"/>
    <w:rsid w:val="0081290E"/>
    <w:rsid w:val="0082627C"/>
    <w:rsid w:val="00841BC7"/>
    <w:rsid w:val="0085250F"/>
    <w:rsid w:val="00881818"/>
    <w:rsid w:val="008924EE"/>
    <w:rsid w:val="008B4FC8"/>
    <w:rsid w:val="00904FF2"/>
    <w:rsid w:val="00906EC5"/>
    <w:rsid w:val="0097700D"/>
    <w:rsid w:val="00982FC7"/>
    <w:rsid w:val="009B0636"/>
    <w:rsid w:val="009B3845"/>
    <w:rsid w:val="009E220E"/>
    <w:rsid w:val="00A2012B"/>
    <w:rsid w:val="00A229A2"/>
    <w:rsid w:val="00A37774"/>
    <w:rsid w:val="00A46BF8"/>
    <w:rsid w:val="00AC63DA"/>
    <w:rsid w:val="00AE50C0"/>
    <w:rsid w:val="00B148A7"/>
    <w:rsid w:val="00B33007"/>
    <w:rsid w:val="00B63CA6"/>
    <w:rsid w:val="00B772B7"/>
    <w:rsid w:val="00BB2BB3"/>
    <w:rsid w:val="00BC2D80"/>
    <w:rsid w:val="00BE726C"/>
    <w:rsid w:val="00BF1C5F"/>
    <w:rsid w:val="00C05C6D"/>
    <w:rsid w:val="00C17CC7"/>
    <w:rsid w:val="00C23279"/>
    <w:rsid w:val="00C75D2F"/>
    <w:rsid w:val="00C92E69"/>
    <w:rsid w:val="00CA69B3"/>
    <w:rsid w:val="00D23B9D"/>
    <w:rsid w:val="00D62575"/>
    <w:rsid w:val="00D80725"/>
    <w:rsid w:val="00DA7D0E"/>
    <w:rsid w:val="00DB3111"/>
    <w:rsid w:val="00DE258A"/>
    <w:rsid w:val="00E14A7F"/>
    <w:rsid w:val="00E20763"/>
    <w:rsid w:val="00E32495"/>
    <w:rsid w:val="00E80CA8"/>
    <w:rsid w:val="00E84326"/>
    <w:rsid w:val="00E9220F"/>
    <w:rsid w:val="00EA2967"/>
    <w:rsid w:val="00EA472B"/>
    <w:rsid w:val="00EA5709"/>
    <w:rsid w:val="00EF297B"/>
    <w:rsid w:val="00F10A5F"/>
    <w:rsid w:val="00F209A7"/>
    <w:rsid w:val="00F21569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564C"/>
  <w15:chartTrackingRefBased/>
  <w15:docId w15:val="{A63FF751-0BEF-FB44-9573-18AB3FD1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E5B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1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73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2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D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E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6C"/>
  </w:style>
  <w:style w:type="character" w:styleId="PageNumber">
    <w:name w:val="page number"/>
    <w:basedOn w:val="DefaultParagraphFont"/>
    <w:uiPriority w:val="99"/>
    <w:semiHidden/>
    <w:unhideWhenUsed/>
    <w:rsid w:val="00BE726C"/>
  </w:style>
  <w:style w:type="paragraph" w:styleId="Revision">
    <w:name w:val="Revision"/>
    <w:hidden/>
    <w:uiPriority w:val="99"/>
    <w:semiHidden/>
    <w:rsid w:val="00906EC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4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D2F"/>
    <w:pPr>
      <w:tabs>
        <w:tab w:val="center" w:pos="4536"/>
        <w:tab w:val="right" w:pos="9072"/>
      </w:tabs>
      <w:spacing w:before="120"/>
    </w:pPr>
    <w:rPr>
      <w:rFonts w:ascii="Times New Roman" w:eastAsia="Calibri" w:hAnsi="Times New Roman" w:cs="Arial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C75D2F"/>
    <w:rPr>
      <w:rFonts w:ascii="Times New Roman" w:eastAsia="Calibri" w:hAnsi="Times New Roman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5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4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fin.gov.rs/wp-content/uploads/2020/09/Tabela-1-Osnovni-makroekonomski-indikatori-2020.xlsx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kacije.stat.gov.rs/G2019/Pdf/G2019108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jalnoukljucivanje.gov.rs/wp-content/uploads/2020/10/APD_Apsolutno_siromastvo_2006-2019_cir.xls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cijalnoukljucivanje.gov.rs/wp-content/uploads/2020/07/Analiza_dohotka_najsiromasnijih_decila_stanovnistva_Srbije_Fokus_na_poljoprivredu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kacije.stat.gov.rs/G2019/Pdf/G2019104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paJo\Documents\SIPRU%20Corona\Sajt\Vesti\39.%20Medjunarodni%20dan%20siromastva\2.%20paket\Saopstenje%20SIPR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>
                <a:latin typeface="+mn-lt"/>
              </a:rPr>
              <a:t>Јавни расходи</a:t>
            </a:r>
            <a:r>
              <a:rPr lang="sr-Cyrl-RS" sz="1200" baseline="0">
                <a:latin typeface="+mn-lt"/>
              </a:rPr>
              <a:t> </a:t>
            </a:r>
            <a:r>
              <a:rPr lang="en-GB" sz="1200">
                <a:latin typeface="+mn-lt"/>
              </a:rPr>
              <a:t>- </a:t>
            </a:r>
            <a:r>
              <a:rPr lang="sr-Cyrl-RS" sz="1200">
                <a:latin typeface="+mn-lt"/>
              </a:rPr>
              <a:t>Социјална</a:t>
            </a:r>
            <a:r>
              <a:rPr lang="sr-Cyrl-RS" sz="1200" baseline="0">
                <a:latin typeface="+mn-lt"/>
              </a:rPr>
              <a:t> помоћ и трансфери, милијарде динара</a:t>
            </a:r>
            <a:endParaRPr lang="en-GB" sz="1200"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Sheet2!$V$2</c:f>
              <c:strCache>
                <c:ptCount val="1"/>
                <c:pt idx="0">
                  <c:v>Пензије</c:v>
                </c:pt>
              </c:strCache>
            </c:strRef>
          </c:tx>
          <c:spPr>
            <a:solidFill>
              <a:schemeClr val="accent1"/>
            </a:solidFill>
            <a:ln w="25400">
              <a:noFill/>
            </a:ln>
            <a:effectLst/>
          </c:spPr>
          <c:cat>
            <c:strRef>
              <c:f>Sheet2!$W$1:$AB$1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Sheet2!$W$2:$AB$2</c:f>
              <c:numCache>
                <c:formatCode>_ * #.##00_)_ ;_ * \(#.##00\)_ ;_ * "-"_)_ ;_ @_ </c:formatCode>
                <c:ptCount val="6"/>
                <c:pt idx="0">
                  <c:v>47.092400000000005</c:v>
                </c:pt>
                <c:pt idx="1">
                  <c:v>48.8386</c:v>
                </c:pt>
                <c:pt idx="2">
                  <c:v>48.9283</c:v>
                </c:pt>
                <c:pt idx="3">
                  <c:v>48.940199999999997</c:v>
                </c:pt>
                <c:pt idx="4">
                  <c:v>48.767499999999998</c:v>
                </c:pt>
                <c:pt idx="5">
                  <c:v>48.6404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C-4C30-99D5-10F7DF80BDE5}"/>
            </c:ext>
          </c:extLst>
        </c:ser>
        <c:ser>
          <c:idx val="1"/>
          <c:order val="1"/>
          <c:tx>
            <c:strRef>
              <c:f>Sheet2!$V$3</c:f>
              <c:strCache>
                <c:ptCount val="1"/>
                <c:pt idx="0">
                  <c:v>Накнаде незапосленим лицима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/>
          </c:spPr>
          <c:cat>
            <c:strRef>
              <c:f>Sheet2!$W$1:$AB$1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Sheet2!$W$3:$AB$3</c:f>
              <c:numCache>
                <c:formatCode>_ * #.##00_)_ ;_ * \(#.##00\)_ ;_ * "-"_)_ ;_ @_ </c:formatCode>
                <c:ptCount val="6"/>
                <c:pt idx="0">
                  <c:v>0.63790000000000002</c:v>
                </c:pt>
                <c:pt idx="1">
                  <c:v>0.68229999999999991</c:v>
                </c:pt>
                <c:pt idx="2">
                  <c:v>0.67320000000000002</c:v>
                </c:pt>
                <c:pt idx="3">
                  <c:v>0.63109999999999999</c:v>
                </c:pt>
                <c:pt idx="4">
                  <c:v>0.64129999999999998</c:v>
                </c:pt>
                <c:pt idx="5">
                  <c:v>0.6825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5C-4C30-99D5-10F7DF80BDE5}"/>
            </c:ext>
          </c:extLst>
        </c:ser>
        <c:ser>
          <c:idx val="2"/>
          <c:order val="2"/>
          <c:tx>
            <c:strRef>
              <c:f>Sheet2!$V$4</c:f>
              <c:strCache>
                <c:ptCount val="1"/>
                <c:pt idx="0">
                  <c:v>Накнаде за боловања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strRef>
              <c:f>Sheet2!$W$1:$AB$1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Sheet2!$W$4:$AB$4</c:f>
              <c:numCache>
                <c:formatCode>_ * #.##00_)_ ;_ * \(#.##00\)_ ;_ * "-"_)_ ;_ @_ </c:formatCode>
                <c:ptCount val="6"/>
                <c:pt idx="0">
                  <c:v>0.91079999999999994</c:v>
                </c:pt>
                <c:pt idx="1">
                  <c:v>0.84639999999999993</c:v>
                </c:pt>
                <c:pt idx="2">
                  <c:v>0.89629999999999999</c:v>
                </c:pt>
                <c:pt idx="3">
                  <c:v>0.63339999999999996</c:v>
                </c:pt>
                <c:pt idx="4">
                  <c:v>0.6362000000000001</c:v>
                </c:pt>
                <c:pt idx="5">
                  <c:v>1.1832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5C-4C30-99D5-10F7DF80BDE5}"/>
            </c:ext>
          </c:extLst>
        </c:ser>
        <c:ser>
          <c:idx val="3"/>
          <c:order val="3"/>
          <c:tx>
            <c:strRef>
              <c:f>Sheet2!$V$5</c:f>
              <c:strCache>
                <c:ptCount val="1"/>
                <c:pt idx="0">
                  <c:v>Социјална помоћ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cat>
            <c:strRef>
              <c:f>Sheet2!$W$1:$AB$1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Sheet2!$W$5:$AB$5</c:f>
              <c:numCache>
                <c:formatCode>_ * #.##00_)_ ;_ * \(#.##00\)_ ;_ * "-"_)_ ;_ @_ </c:formatCode>
                <c:ptCount val="6"/>
                <c:pt idx="0">
                  <c:v>11.9504</c:v>
                </c:pt>
                <c:pt idx="1">
                  <c:v>13.0626</c:v>
                </c:pt>
                <c:pt idx="2">
                  <c:v>12.728399999999999</c:v>
                </c:pt>
                <c:pt idx="3">
                  <c:v>12.989100000000001</c:v>
                </c:pt>
                <c:pt idx="4">
                  <c:v>12.490399999999999</c:v>
                </c:pt>
                <c:pt idx="5">
                  <c:v>12.457799999999999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5C-4C30-99D5-10F7DF80BDE5}"/>
            </c:ext>
          </c:extLst>
        </c:ser>
        <c:ser>
          <c:idx val="4"/>
          <c:order val="4"/>
          <c:tx>
            <c:strRef>
              <c:f>Sheet2!$V$6</c:f>
              <c:strCache>
                <c:ptCount val="1"/>
                <c:pt idx="0">
                  <c:v>Остали трансфери домаћинствима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strRef>
              <c:f>Sheet2!$W$1:$AB$1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Sheet2!$W$6:$AB$6</c:f>
              <c:numCache>
                <c:formatCode>_ * #.##00_)_ ;_ * \(#.##00\)_ ;_ * "-"_)_ ;_ @_ </c:formatCode>
                <c:ptCount val="6"/>
                <c:pt idx="0">
                  <c:v>2.4485999999999999</c:v>
                </c:pt>
                <c:pt idx="1">
                  <c:v>2.5393000000000003</c:v>
                </c:pt>
                <c:pt idx="2">
                  <c:v>2.4041999999999999</c:v>
                </c:pt>
                <c:pt idx="3">
                  <c:v>8.8574000000000002</c:v>
                </c:pt>
                <c:pt idx="4">
                  <c:v>2.3044000000000002</c:v>
                </c:pt>
                <c:pt idx="5">
                  <c:v>2.8210000000000002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5C-4C30-99D5-10F7DF80B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4096624"/>
        <c:axId val="1654070416"/>
      </c:areaChart>
      <c:catAx>
        <c:axId val="165409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4070416"/>
        <c:crosses val="autoZero"/>
        <c:auto val="1"/>
        <c:lblAlgn val="ctr"/>
        <c:lblOffset val="100"/>
        <c:noMultiLvlLbl val="0"/>
      </c:catAx>
      <c:valAx>
        <c:axId val="165407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.##00_)_ ;_ * \(#.##00\)_ ;_ * &quot;-&quot;_)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40966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BE0066-97F8-4560-ADE5-23C744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Mladenovic</dc:creator>
  <cp:keywords/>
  <dc:description/>
  <cp:lastModifiedBy>Jovana Ilic</cp:lastModifiedBy>
  <cp:revision>3</cp:revision>
  <cp:lastPrinted>2020-10-21T14:06:00Z</cp:lastPrinted>
  <dcterms:created xsi:type="dcterms:W3CDTF">2020-10-21T14:05:00Z</dcterms:created>
  <dcterms:modified xsi:type="dcterms:W3CDTF">2020-10-21T14:10:00Z</dcterms:modified>
</cp:coreProperties>
</file>