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450" w:type="dxa"/>
        <w:tblLook w:val="04A0" w:firstRow="1" w:lastRow="0" w:firstColumn="1" w:lastColumn="0" w:noHBand="0" w:noVBand="1"/>
      </w:tblPr>
      <w:tblGrid>
        <w:gridCol w:w="2340"/>
        <w:gridCol w:w="4320"/>
        <w:gridCol w:w="4138"/>
      </w:tblGrid>
      <w:tr w:rsidR="00C75D2F" w:rsidRPr="00EE047A" w14:paraId="097E93DD" w14:textId="77777777" w:rsidTr="00C94864">
        <w:tc>
          <w:tcPr>
            <w:tcW w:w="2340" w:type="dxa"/>
          </w:tcPr>
          <w:p w14:paraId="5F3DF4D0" w14:textId="77777777" w:rsidR="00C75D2F" w:rsidRPr="00EE047A" w:rsidRDefault="00C75D2F" w:rsidP="00C94864">
            <w:pPr>
              <w:pStyle w:val="Header"/>
              <w:jc w:val="center"/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EE047A"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57FB40C7" wp14:editId="5CF0F4AC">
                  <wp:extent cx="466725" cy="933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5B803" w14:textId="77777777" w:rsidR="00C75D2F" w:rsidRPr="00EE047A" w:rsidRDefault="00C75D2F" w:rsidP="00C94864">
            <w:pPr>
              <w:pStyle w:val="Header"/>
              <w:jc w:val="center"/>
              <w:rPr>
                <w:rFonts w:ascii="Houschka Pro" w:eastAsia="Times New Roman" w:hAnsi="Houschka Pro" w:cs="Times New Roman"/>
                <w:noProof/>
                <w:color w:val="000000" w:themeColor="text1"/>
                <w:sz w:val="24"/>
                <w:szCs w:val="24"/>
                <w:lang w:val="sr-Latn-RS"/>
              </w:rPr>
            </w:pPr>
            <w:r w:rsidRPr="00EE047A">
              <w:rPr>
                <w:rFonts w:ascii="Houschka Pro" w:eastAsia="Times New Roman" w:hAnsi="Houschka Pro" w:cs="Times New Roman"/>
                <w:noProof/>
                <w:color w:val="000000" w:themeColor="text1"/>
                <w:szCs w:val="24"/>
                <w:lang w:val="sr-Latn-RS"/>
              </w:rPr>
              <w:t>Vlada Republike Srbije</w:t>
            </w:r>
          </w:p>
        </w:tc>
        <w:tc>
          <w:tcPr>
            <w:tcW w:w="4320" w:type="dxa"/>
          </w:tcPr>
          <w:p w14:paraId="15D12CE0" w14:textId="77777777" w:rsidR="00C75D2F" w:rsidRPr="00EE047A" w:rsidRDefault="00C75D2F" w:rsidP="00C94864">
            <w:pPr>
              <w:pStyle w:val="Header"/>
              <w:rPr>
                <w:rFonts w:ascii="Houschka Pro" w:hAnsi="Houschka Pro"/>
                <w:noProof/>
                <w:sz w:val="16"/>
              </w:rPr>
            </w:pPr>
          </w:p>
          <w:p w14:paraId="14B3426D" w14:textId="77777777" w:rsidR="00C75D2F" w:rsidRPr="00EE047A" w:rsidRDefault="00C75D2F" w:rsidP="00C94864">
            <w:pPr>
              <w:pStyle w:val="Header"/>
              <w:rPr>
                <w:rFonts w:ascii="Houschka Pro" w:hAnsi="Houschka Pro"/>
                <w:noProof/>
                <w:sz w:val="16"/>
              </w:rPr>
            </w:pPr>
          </w:p>
          <w:p w14:paraId="3C081A27" w14:textId="77777777" w:rsidR="00C75D2F" w:rsidRPr="00EE047A" w:rsidRDefault="00C75D2F" w:rsidP="00C94864">
            <w:pPr>
              <w:pStyle w:val="Header"/>
              <w:jc w:val="center"/>
              <w:rPr>
                <w:rFonts w:ascii="Houschka Pro" w:hAnsi="Houschka Pro"/>
                <w:noProof/>
                <w:sz w:val="16"/>
              </w:rPr>
            </w:pPr>
            <w:r w:rsidRPr="00EE047A">
              <w:rPr>
                <w:rFonts w:ascii="Houschka Pro" w:hAnsi="Houschka Pro"/>
                <w:noProof/>
                <w:lang w:val="en-US"/>
              </w:rPr>
              <w:drawing>
                <wp:inline distT="0" distB="0" distL="0" distR="0" wp14:anchorId="22E75748" wp14:editId="200C351B">
                  <wp:extent cx="2589000" cy="609662"/>
                  <wp:effectExtent l="0" t="0" r="1905" b="0"/>
                  <wp:docPr id="6" name="Picture 6" descr="F:\Kopija mog foldera\SIPRU logo\Latinica\TIM logo lati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Kopija mog foldera\SIPRU logo\Latinica\TIM logo lati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05" cy="62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019BF" w14:textId="77777777" w:rsidR="00C75D2F" w:rsidRPr="00EE047A" w:rsidRDefault="00C75D2F" w:rsidP="00C94864">
            <w:pPr>
              <w:pStyle w:val="Header"/>
              <w:jc w:val="center"/>
              <w:rPr>
                <w:rFonts w:ascii="Houschka Pro" w:hAnsi="Houschka Pro"/>
                <w:lang w:val="sr-Latn-RS"/>
              </w:rPr>
            </w:pPr>
          </w:p>
        </w:tc>
        <w:tc>
          <w:tcPr>
            <w:tcW w:w="4138" w:type="dxa"/>
          </w:tcPr>
          <w:p w14:paraId="3948641E" w14:textId="77777777" w:rsidR="00C75D2F" w:rsidRPr="00EE047A" w:rsidRDefault="00C75D2F" w:rsidP="00C94864">
            <w:pPr>
              <w:pStyle w:val="Header"/>
              <w:rPr>
                <w:rFonts w:ascii="Houschka Pro" w:hAnsi="Houschka Pro"/>
                <w:noProof/>
              </w:rPr>
            </w:pPr>
          </w:p>
          <w:p w14:paraId="2935A16D" w14:textId="77777777" w:rsidR="00C75D2F" w:rsidRPr="00EE047A" w:rsidRDefault="00C75D2F" w:rsidP="00C94864">
            <w:pPr>
              <w:pStyle w:val="Header"/>
              <w:rPr>
                <w:rFonts w:ascii="Houschka Pro" w:hAnsi="Houschka Pro"/>
                <w:lang w:val="sr-Latn-RS"/>
              </w:rPr>
            </w:pPr>
            <w:r w:rsidRPr="00EE047A">
              <w:rPr>
                <w:rFonts w:ascii="Houschka Pro" w:hAnsi="Houschka Pro"/>
                <w:noProof/>
                <w:lang w:val="en-US"/>
              </w:rPr>
              <w:drawing>
                <wp:inline distT="0" distB="0" distL="0" distR="0" wp14:anchorId="0F5E1F62" wp14:editId="28E6AC86">
                  <wp:extent cx="19812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ADAF5" w14:textId="77777777" w:rsidR="00C75D2F" w:rsidRPr="00EE047A" w:rsidRDefault="00C75D2F" w:rsidP="00C92E69">
      <w:pPr>
        <w:jc w:val="both"/>
        <w:rPr>
          <w:rFonts w:ascii="Houschka Pro" w:hAnsi="Houschka Pro" w:cstheme="minorHAnsi"/>
          <w:b/>
          <w:bCs/>
          <w:lang w:val="sr-Latn-RS"/>
        </w:rPr>
      </w:pPr>
    </w:p>
    <w:p w14:paraId="58EEE116" w14:textId="77777777" w:rsidR="00C75D2F" w:rsidRPr="00EE047A" w:rsidRDefault="00C75D2F" w:rsidP="00C92E69">
      <w:pPr>
        <w:jc w:val="both"/>
        <w:rPr>
          <w:rFonts w:ascii="Houschka Pro" w:hAnsi="Houschka Pro" w:cstheme="minorHAnsi"/>
          <w:b/>
          <w:bCs/>
          <w:lang w:val="sr-Latn-RS"/>
        </w:rPr>
      </w:pPr>
    </w:p>
    <w:p w14:paraId="0BB4F53E" w14:textId="428D0B6E" w:rsidR="004C5670" w:rsidRPr="00EE047A" w:rsidRDefault="004C5670" w:rsidP="00C75D2F">
      <w:pPr>
        <w:jc w:val="center"/>
        <w:rPr>
          <w:rFonts w:ascii="Houschka Pro" w:hAnsi="Houschka Pro" w:cstheme="minorHAnsi"/>
          <w:b/>
          <w:bCs/>
          <w:sz w:val="28"/>
          <w:lang w:val="sr-Latn-RS"/>
        </w:rPr>
      </w:pPr>
      <w:r w:rsidRPr="00EE047A">
        <w:rPr>
          <w:rFonts w:ascii="Houschka Pro" w:hAnsi="Houschka Pro" w:cstheme="minorHAnsi"/>
          <w:b/>
          <w:bCs/>
          <w:sz w:val="28"/>
          <w:lang w:val="sr-Latn-RS"/>
        </w:rPr>
        <w:t xml:space="preserve">Ocena kretanja siromaštva, životnog standarda i odgovor na </w:t>
      </w:r>
      <w:r w:rsidR="00C92E69" w:rsidRPr="00EE047A">
        <w:rPr>
          <w:rFonts w:ascii="Houschka Pro" w:hAnsi="Houschka Pro" w:cstheme="minorHAnsi"/>
          <w:b/>
          <w:bCs/>
          <w:sz w:val="28"/>
          <w:lang w:val="sr-Latn-RS"/>
        </w:rPr>
        <w:t xml:space="preserve">posledice </w:t>
      </w:r>
      <w:r w:rsidRPr="00EE047A">
        <w:rPr>
          <w:rFonts w:ascii="Houschka Pro" w:hAnsi="Houschka Pro" w:cstheme="minorHAnsi"/>
          <w:b/>
          <w:bCs/>
          <w:sz w:val="28"/>
          <w:lang w:val="sr-Latn-RS"/>
        </w:rPr>
        <w:t>Covid</w:t>
      </w:r>
      <w:r w:rsidR="006635C3" w:rsidRPr="00EE047A">
        <w:rPr>
          <w:rFonts w:ascii="Houschka Pro" w:hAnsi="Houschka Pro" w:cstheme="minorHAnsi"/>
          <w:b/>
          <w:bCs/>
          <w:sz w:val="28"/>
          <w:lang w:val="sr-Latn-RS"/>
        </w:rPr>
        <w:t>-</w:t>
      </w:r>
      <w:r w:rsidRPr="00EE047A">
        <w:rPr>
          <w:rFonts w:ascii="Houschka Pro" w:hAnsi="Houschka Pro" w:cstheme="minorHAnsi"/>
          <w:b/>
          <w:bCs/>
          <w:sz w:val="28"/>
          <w:lang w:val="sr-Latn-RS"/>
        </w:rPr>
        <w:t>19</w:t>
      </w:r>
      <w:r w:rsidR="00C92E69" w:rsidRPr="00EE047A">
        <w:rPr>
          <w:rFonts w:ascii="Houschka Pro" w:hAnsi="Houschka Pro" w:cstheme="minorHAnsi"/>
          <w:b/>
          <w:bCs/>
          <w:sz w:val="28"/>
          <w:lang w:val="sr-Latn-RS"/>
        </w:rPr>
        <w:t xml:space="preserve"> pandemije</w:t>
      </w:r>
    </w:p>
    <w:p w14:paraId="141D492D" w14:textId="14816B8B" w:rsidR="00C75D2F" w:rsidRPr="00EE047A" w:rsidRDefault="00C75D2F" w:rsidP="00C92E69">
      <w:pPr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</w:p>
    <w:p w14:paraId="752F6D11" w14:textId="77777777" w:rsidR="00C75D2F" w:rsidRPr="00EE047A" w:rsidRDefault="00C75D2F" w:rsidP="00C92E69">
      <w:pPr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</w:p>
    <w:p w14:paraId="635F2C43" w14:textId="347553D1" w:rsidR="00362883" w:rsidRPr="00EE047A" w:rsidRDefault="0085250F" w:rsidP="00C92E69">
      <w:pPr>
        <w:jc w:val="both"/>
        <w:rPr>
          <w:rFonts w:ascii="Houschka Pro" w:hAnsi="Houschka Pro" w:cstheme="minorHAnsi"/>
          <w:b/>
          <w:bCs/>
          <w:color w:val="345095"/>
          <w:u w:val="single"/>
          <w:lang w:val="sr-Latn-RS"/>
        </w:rPr>
      </w:pP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Ocena kretanja apsolutnog siromaštva</w:t>
      </w:r>
    </w:p>
    <w:p w14:paraId="64F07D5D" w14:textId="77777777" w:rsidR="006635C3" w:rsidRPr="00EE047A" w:rsidRDefault="006635C3" w:rsidP="00C92E69">
      <w:pPr>
        <w:jc w:val="both"/>
        <w:rPr>
          <w:rFonts w:ascii="Houschka Pro" w:hAnsi="Houschka Pro" w:cstheme="minorHAnsi"/>
          <w:lang w:val="sr-Latn-RS"/>
        </w:rPr>
      </w:pPr>
    </w:p>
    <w:p w14:paraId="75DE0E15" w14:textId="747A8E88" w:rsidR="000C5AFB" w:rsidRPr="00EE047A" w:rsidRDefault="00362883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Prema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hyperlink r:id="rId11" w:history="1">
        <w:r w:rsidR="0085250F" w:rsidRPr="008535D5">
          <w:rPr>
            <w:rStyle w:val="Hyperlink"/>
            <w:rFonts w:ascii="Houschka Pro" w:hAnsi="Houschka Pro" w:cstheme="minorHAnsi"/>
            <w:sz w:val="22"/>
            <w:lang w:val="sr-Latn-RS"/>
          </w:rPr>
          <w:t>prvim</w:t>
        </w:r>
        <w:r w:rsidRPr="008535D5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 podacima Republičkog zavoda za statistiku</w:t>
        </w:r>
      </w:hyperlink>
      <w:r w:rsidRPr="00EE047A">
        <w:rPr>
          <w:rFonts w:ascii="Houschka Pro" w:hAnsi="Houschka Pro" w:cstheme="minorHAnsi"/>
          <w:sz w:val="22"/>
          <w:lang w:val="sr-Latn-RS"/>
        </w:rPr>
        <w:t>,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C92E69" w:rsidRPr="00EE047A">
        <w:rPr>
          <w:rFonts w:ascii="Houschka Pro" w:hAnsi="Houschka Pro" w:cstheme="minorHAnsi"/>
          <w:sz w:val="22"/>
          <w:lang w:val="sr-Latn-RS"/>
        </w:rPr>
        <w:t>u 2019. godini</w:t>
      </w:r>
      <w:r w:rsidR="00C17CC7" w:rsidRPr="00EE047A">
        <w:rPr>
          <w:rFonts w:ascii="Houschka Pro" w:hAnsi="Houschka Pro" w:cstheme="minorHAnsi"/>
          <w:sz w:val="22"/>
          <w:lang w:val="sr-Latn-RS"/>
        </w:rPr>
        <w:t>, kao ni u prethodnim godinama,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C92E69" w:rsidRPr="00EE047A">
        <w:rPr>
          <w:rFonts w:ascii="Houschka Pro" w:hAnsi="Houschka Pro" w:cstheme="minorHAnsi"/>
          <w:sz w:val="22"/>
          <w:lang w:val="sr-Latn-RS"/>
        </w:rPr>
        <w:t xml:space="preserve">nije došlo do povećanja </w:t>
      </w:r>
      <w:r w:rsidRPr="00EE047A">
        <w:rPr>
          <w:rFonts w:ascii="Houschka Pro" w:hAnsi="Houschka Pro" w:cstheme="minorHAnsi"/>
          <w:sz w:val="22"/>
          <w:lang w:val="sr-Latn-RS"/>
        </w:rPr>
        <w:t>stop</w:t>
      </w:r>
      <w:r w:rsidR="00C92E69" w:rsidRPr="00EE047A">
        <w:rPr>
          <w:rFonts w:ascii="Houschka Pro" w:hAnsi="Houschka Pro" w:cstheme="minorHAnsi"/>
          <w:sz w:val="22"/>
          <w:lang w:val="sr-Latn-RS"/>
        </w:rPr>
        <w:t>e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apsolutnog siromaštva</w:t>
      </w:r>
      <w:r w:rsidR="00C17CC7" w:rsidRPr="00EE047A">
        <w:rPr>
          <w:rFonts w:ascii="Houschka Pro" w:hAnsi="Houschka Pro" w:cstheme="minorHAnsi"/>
          <w:sz w:val="22"/>
          <w:lang w:val="sr-Latn-RS"/>
        </w:rPr>
        <w:t>.</w:t>
      </w:r>
      <w:r w:rsidR="00C92E69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97700D" w:rsidRPr="00EE047A">
        <w:rPr>
          <w:rFonts w:ascii="Houschka Pro" w:hAnsi="Houschka Pro" w:cstheme="minorHAnsi"/>
          <w:sz w:val="22"/>
          <w:lang w:val="sr-Latn-RS"/>
        </w:rPr>
        <w:t>Stopa apsolutnog siromaštva</w:t>
      </w:r>
      <w:r w:rsidR="00C92E69" w:rsidRPr="00EE047A">
        <w:rPr>
          <w:rFonts w:ascii="Houschka Pro" w:hAnsi="Houschka Pro" w:cstheme="minorHAnsi"/>
          <w:sz w:val="22"/>
          <w:lang w:val="sr-Latn-RS"/>
        </w:rPr>
        <w:t xml:space="preserve"> je u 2019. godini iznosila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7%</w:t>
      </w:r>
      <w:r w:rsidR="006635C3" w:rsidRPr="00EE047A">
        <w:rPr>
          <w:rFonts w:ascii="Houschka Pro" w:hAnsi="Houschka Pro" w:cstheme="minorHAnsi"/>
          <w:sz w:val="22"/>
          <w:lang w:val="sr-Latn-RS"/>
        </w:rPr>
        <w:t>,</w:t>
      </w:r>
      <w:r w:rsidR="00C92E69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97700D" w:rsidRPr="00EE047A">
        <w:rPr>
          <w:rFonts w:ascii="Houschka Pro" w:hAnsi="Houschka Pro" w:cstheme="minorHAnsi"/>
          <w:sz w:val="22"/>
          <w:lang w:val="sr-Latn-RS"/>
        </w:rPr>
        <w:t>što znači da o</w:t>
      </w:r>
      <w:r w:rsidR="00C92E69" w:rsidRPr="00EE047A">
        <w:rPr>
          <w:rFonts w:ascii="Houschka Pro" w:hAnsi="Houschka Pro" w:cstheme="minorHAnsi"/>
          <w:sz w:val="22"/>
          <w:lang w:val="sr-Latn-RS"/>
        </w:rPr>
        <w:t xml:space="preserve">kvirno </w:t>
      </w:r>
      <w:r w:rsidR="003306B5" w:rsidRPr="00EE047A">
        <w:rPr>
          <w:rFonts w:ascii="Houschka Pro" w:hAnsi="Houschka Pro" w:cstheme="minorHAnsi"/>
          <w:sz w:val="22"/>
          <w:lang w:val="sr-Latn-RS"/>
        </w:rPr>
        <w:t>480 hiljada lica nije</w:t>
      </w:r>
      <w:r w:rsidR="0097700D" w:rsidRPr="00EE047A">
        <w:rPr>
          <w:rFonts w:ascii="Houschka Pro" w:hAnsi="Houschka Pro" w:cstheme="minorHAnsi"/>
          <w:sz w:val="22"/>
          <w:lang w:val="sr-Latn-RS"/>
        </w:rPr>
        <w:t xml:space="preserve"> u stanju da zadovolji osnovne ž</w:t>
      </w:r>
      <w:r w:rsidR="003306B5" w:rsidRPr="00EE047A">
        <w:rPr>
          <w:rFonts w:ascii="Houschka Pro" w:hAnsi="Houschka Pro" w:cstheme="minorHAnsi"/>
          <w:sz w:val="22"/>
          <w:lang w:val="sr-Latn-RS"/>
        </w:rPr>
        <w:t>ivotne potrebe. U odnosu na prethodne godine, nije došlo do statistički značajne izmene ni u povećanju ni u smanjenju stope apsolutnog siromaštva.</w:t>
      </w:r>
      <w:r w:rsidR="00C17CC7" w:rsidRPr="00EE047A">
        <w:rPr>
          <w:rFonts w:ascii="Houschka Pro" w:hAnsi="Houschka Pro" w:cstheme="minorHAnsi"/>
          <w:sz w:val="22"/>
          <w:lang w:val="sr-Latn-RS"/>
        </w:rPr>
        <w:t xml:space="preserve"> </w:t>
      </w:r>
    </w:p>
    <w:p w14:paraId="4285530B" w14:textId="41BD1228" w:rsidR="006635C3" w:rsidRPr="00EE047A" w:rsidRDefault="003306B5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U odnosu na tip naselja s</w:t>
      </w:r>
      <w:r w:rsidR="00362883" w:rsidRPr="00EE047A">
        <w:rPr>
          <w:rFonts w:ascii="Houschka Pro" w:hAnsi="Houschka Pro" w:cstheme="minorHAnsi"/>
          <w:sz w:val="22"/>
          <w:lang w:val="sr-Latn-RS"/>
        </w:rPr>
        <w:t>iromaštvo ostaje učestalije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u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 van</w:t>
      </w:r>
      <w:r w:rsidR="00362883" w:rsidRPr="00EE047A">
        <w:rPr>
          <w:rFonts w:ascii="Houschka Pro" w:hAnsi="Houschka Pro" w:cstheme="minorHAnsi"/>
          <w:sz w:val="22"/>
          <w:lang w:val="sr-Latn-RS"/>
        </w:rPr>
        <w:t>gradski</w:t>
      </w:r>
      <w:r w:rsidRPr="00EE047A">
        <w:rPr>
          <w:rFonts w:ascii="Houschka Pro" w:hAnsi="Houschka Pro" w:cstheme="minorHAnsi"/>
          <w:sz w:val="22"/>
          <w:lang w:val="sr-Latn-RS"/>
        </w:rPr>
        <w:t>m</w:t>
      </w:r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 područj</w:t>
      </w:r>
      <w:r w:rsidRPr="00EE047A">
        <w:rPr>
          <w:rFonts w:ascii="Houschka Pro" w:hAnsi="Houschka Pro" w:cstheme="minorHAnsi"/>
          <w:sz w:val="22"/>
          <w:lang w:val="sr-Latn-RS"/>
        </w:rPr>
        <w:t>ima</w:t>
      </w:r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i primetne su </w:t>
      </w:r>
      <w:r w:rsidR="00362883" w:rsidRPr="00EE047A">
        <w:rPr>
          <w:rFonts w:ascii="Houschka Pro" w:hAnsi="Houschka Pro" w:cstheme="minorHAnsi"/>
          <w:sz w:val="22"/>
          <w:lang w:val="sr-Latn-RS"/>
        </w:rPr>
        <w:t>regionalne razlike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0C5AFB" w:rsidRPr="00EE047A">
        <w:rPr>
          <w:rFonts w:ascii="Houschka Pro" w:hAnsi="Houschka Pro" w:cstheme="minorHAnsi"/>
          <w:sz w:val="22"/>
          <w:lang w:val="sr-Latn-RS"/>
        </w:rPr>
        <w:t xml:space="preserve">(npr. </w:t>
      </w:r>
      <w:r w:rsidR="00C23279" w:rsidRPr="00EE047A">
        <w:rPr>
          <w:rFonts w:ascii="Houschka Pro" w:hAnsi="Houschka Pro" w:cstheme="minorHAnsi"/>
          <w:sz w:val="22"/>
          <w:lang w:val="sr-Latn-RS"/>
        </w:rPr>
        <w:t xml:space="preserve">siromaštvo u </w:t>
      </w:r>
      <w:r w:rsidR="006635C3" w:rsidRPr="00EE047A">
        <w:rPr>
          <w:rFonts w:ascii="Houschka Pro" w:hAnsi="Houschka Pro" w:cstheme="minorHAnsi"/>
          <w:sz w:val="22"/>
          <w:lang w:val="sr-Latn-RS"/>
        </w:rPr>
        <w:t>B</w:t>
      </w:r>
      <w:r w:rsidR="00C23279" w:rsidRPr="00EE047A">
        <w:rPr>
          <w:rFonts w:ascii="Houschka Pro" w:hAnsi="Houschka Pro" w:cstheme="minorHAnsi"/>
          <w:sz w:val="22"/>
          <w:lang w:val="sr-Latn-RS"/>
        </w:rPr>
        <w:t xml:space="preserve">eogradskom regionu je tri puta manje zastupljeno nego u </w:t>
      </w:r>
      <w:r w:rsidR="006635C3" w:rsidRPr="00EE047A">
        <w:rPr>
          <w:rFonts w:ascii="Houschka Pro" w:hAnsi="Houschka Pro" w:cstheme="minorHAnsi"/>
          <w:sz w:val="22"/>
          <w:lang w:val="sr-Latn-RS"/>
        </w:rPr>
        <w:t>R</w:t>
      </w:r>
      <w:r w:rsidR="00C23279" w:rsidRPr="00EE047A">
        <w:rPr>
          <w:rFonts w:ascii="Houschka Pro" w:hAnsi="Houschka Pro" w:cstheme="minorHAnsi"/>
          <w:sz w:val="22"/>
          <w:lang w:val="sr-Latn-RS"/>
        </w:rPr>
        <w:t>egionu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 J</w:t>
      </w:r>
      <w:r w:rsidR="00C23279" w:rsidRPr="00EE047A">
        <w:rPr>
          <w:rFonts w:ascii="Houschka Pro" w:hAnsi="Houschka Pro" w:cstheme="minorHAnsi"/>
          <w:sz w:val="22"/>
          <w:lang w:val="sr-Latn-RS"/>
        </w:rPr>
        <w:t>už</w:t>
      </w:r>
      <w:r w:rsidR="006635C3" w:rsidRPr="00EE047A">
        <w:rPr>
          <w:rFonts w:ascii="Houschka Pro" w:hAnsi="Houschka Pro" w:cstheme="minorHAnsi"/>
          <w:sz w:val="22"/>
          <w:lang w:val="sr-Latn-RS"/>
        </w:rPr>
        <w:t>ne i Istočne Srbije</w:t>
      </w:r>
      <w:r w:rsidR="00C23279" w:rsidRPr="00EE047A">
        <w:rPr>
          <w:rFonts w:ascii="Houschka Pro" w:hAnsi="Houschka Pro" w:cstheme="minorHAnsi"/>
          <w:sz w:val="22"/>
          <w:lang w:val="sr-Latn-RS"/>
        </w:rPr>
        <w:t>)</w:t>
      </w:r>
      <w:r w:rsidR="00362883" w:rsidRPr="00EE047A">
        <w:rPr>
          <w:rFonts w:ascii="Houschka Pro" w:hAnsi="Houschka Pro" w:cstheme="minorHAnsi"/>
          <w:sz w:val="22"/>
          <w:lang w:val="sr-Latn-RS"/>
        </w:rPr>
        <w:t>.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C23279" w:rsidRPr="00EE047A">
        <w:rPr>
          <w:rFonts w:ascii="Houschka Pro" w:hAnsi="Houschka Pro" w:cstheme="minorHAnsi"/>
          <w:sz w:val="22"/>
          <w:lang w:val="sr-Latn-RS"/>
        </w:rPr>
        <w:t>Posmatrano prema starosno</w:t>
      </w:r>
      <w:r w:rsidR="006635C3" w:rsidRPr="00EE047A">
        <w:rPr>
          <w:rFonts w:ascii="Houschka Pro" w:hAnsi="Houschka Pro" w:cstheme="minorHAnsi"/>
          <w:sz w:val="22"/>
          <w:lang w:val="sr-Latn-RS"/>
        </w:rPr>
        <w:t>j strukturi siromaštvo je iznad</w:t>
      </w:r>
      <w:r w:rsidR="00C23279" w:rsidRPr="00EE047A">
        <w:rPr>
          <w:rFonts w:ascii="Houschka Pro" w:hAnsi="Houschka Pro" w:cstheme="minorHAnsi"/>
          <w:sz w:val="22"/>
          <w:lang w:val="sr-Latn-RS"/>
        </w:rPr>
        <w:t xml:space="preserve">prosečno zastupljeno kod dece, mladih i starijih od 65 godina. </w:t>
      </w:r>
      <w:r w:rsidR="00EE047A">
        <w:rPr>
          <w:rFonts w:ascii="Houschka Pro" w:hAnsi="Houschka Pro" w:cstheme="minorHAnsi"/>
          <w:sz w:val="22"/>
          <w:lang w:val="sr-Latn-RS"/>
        </w:rPr>
        <w:t>Posmatrano prema polu, 7,2</w:t>
      </w:r>
      <w:r w:rsidR="000C5AFB" w:rsidRPr="00EE047A">
        <w:rPr>
          <w:rFonts w:ascii="Houschka Pro" w:hAnsi="Houschka Pro" w:cstheme="minorHAnsi"/>
          <w:sz w:val="22"/>
          <w:lang w:val="sr-Latn-RS"/>
        </w:rPr>
        <w:t>% žena je siromašno, dok je 6,9% muškaraca u istom statusu.</w:t>
      </w:r>
    </w:p>
    <w:p w14:paraId="2D236CD6" w14:textId="352B4804" w:rsidR="00C75D2F" w:rsidRPr="00EE047A" w:rsidRDefault="00C23279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 xml:space="preserve">Obrazovanje i status na tržištu rada najznačajniji su faktori koji utiču na siromaštvo u domaćinstvu. U domaćinstvima u kojima nosilac ima makar srednju školu, siromaštvo je 4,5 puta manje zastupljeno nego kod domaćinstava u kojima nosilac nema završenu osnovnu školu. Kada nosilac ima višu školu pojava apsolutnog siromaštva je preko 17 puta manja nego kod domaćinstava u kojima nosilac nema završenu osnovnu školu. </w:t>
      </w:r>
      <w:r w:rsidR="0097700D" w:rsidRPr="00EE047A">
        <w:rPr>
          <w:rFonts w:ascii="Houschka Pro" w:hAnsi="Houschka Pro" w:cstheme="minorHAnsi"/>
          <w:sz w:val="22"/>
          <w:lang w:val="sr-Latn-RS"/>
        </w:rPr>
        <w:t xml:space="preserve">U odnosu na </w:t>
      </w:r>
      <w:r w:rsidR="009B3845" w:rsidRPr="00EE047A">
        <w:rPr>
          <w:rFonts w:ascii="Houschka Pro" w:hAnsi="Houschka Pro" w:cstheme="minorHAnsi"/>
          <w:sz w:val="22"/>
          <w:lang w:val="sr-Latn-RS"/>
        </w:rPr>
        <w:t>2018. godinu</w:t>
      </w:r>
      <w:r w:rsidR="0097700D" w:rsidRPr="00EE047A">
        <w:rPr>
          <w:rFonts w:ascii="Houschka Pro" w:hAnsi="Houschka Pro" w:cstheme="minorHAnsi"/>
          <w:sz w:val="22"/>
          <w:lang w:val="sr-Latn-RS"/>
        </w:rPr>
        <w:t xml:space="preserve">, </w:t>
      </w:r>
      <w:r w:rsidR="009B3845" w:rsidRPr="00EE047A">
        <w:rPr>
          <w:rFonts w:ascii="Houschka Pro" w:hAnsi="Houschka Pro" w:cstheme="minorHAnsi"/>
          <w:sz w:val="22"/>
          <w:lang w:val="sr-Latn-RS"/>
        </w:rPr>
        <w:t xml:space="preserve">procenat apsolutno siromašnih u 2019. godini je u blagom padu kod </w:t>
      </w:r>
      <w:r w:rsidR="00906EC5" w:rsidRPr="00EE047A">
        <w:rPr>
          <w:rFonts w:ascii="Houschka Pro" w:hAnsi="Houschka Pro" w:cstheme="minorHAnsi"/>
          <w:sz w:val="22"/>
          <w:lang w:val="sr-Latn-RS"/>
        </w:rPr>
        <w:t>svi</w:t>
      </w:r>
      <w:r w:rsidR="006635C3" w:rsidRPr="00EE047A">
        <w:rPr>
          <w:rFonts w:ascii="Houschka Pro" w:hAnsi="Houschka Pro" w:cstheme="minorHAnsi"/>
          <w:sz w:val="22"/>
          <w:lang w:val="sr-Latn-RS"/>
        </w:rPr>
        <w:t>h</w:t>
      </w:r>
      <w:r w:rsidR="00906EC5" w:rsidRPr="00EE047A">
        <w:rPr>
          <w:rFonts w:ascii="Houschka Pro" w:hAnsi="Houschka Pro" w:cstheme="minorHAnsi"/>
          <w:sz w:val="22"/>
          <w:lang w:val="sr-Latn-RS"/>
        </w:rPr>
        <w:t xml:space="preserve"> lica čiji se nosilac domaćinstva nalazi na tržištu rada (bilo da je nosilac domaćinstva u svojstvu </w:t>
      </w:r>
      <w:r w:rsidR="009B3845" w:rsidRPr="00EE047A">
        <w:rPr>
          <w:rFonts w:ascii="Houschka Pro" w:hAnsi="Houschka Pro" w:cstheme="minorHAnsi"/>
          <w:sz w:val="22"/>
          <w:lang w:val="sr-Latn-RS"/>
        </w:rPr>
        <w:t>samozaposle</w:t>
      </w:r>
      <w:r w:rsidR="00906EC5" w:rsidRPr="00EE047A">
        <w:rPr>
          <w:rFonts w:ascii="Houschka Pro" w:hAnsi="Houschka Pro" w:cstheme="minorHAnsi"/>
          <w:sz w:val="22"/>
          <w:lang w:val="sr-Latn-RS"/>
        </w:rPr>
        <w:t>nog</w:t>
      </w:r>
      <w:r w:rsidR="009B3845" w:rsidRPr="00EE047A">
        <w:rPr>
          <w:rFonts w:ascii="Houschka Pro" w:hAnsi="Houschka Pro" w:cstheme="minorHAnsi"/>
          <w:sz w:val="22"/>
          <w:lang w:val="sr-Latn-RS"/>
        </w:rPr>
        <w:t>, zaposlen</w:t>
      </w:r>
      <w:r w:rsidR="00906EC5" w:rsidRPr="00EE047A">
        <w:rPr>
          <w:rFonts w:ascii="Houschka Pro" w:hAnsi="Houschka Pro" w:cstheme="minorHAnsi"/>
          <w:sz w:val="22"/>
          <w:lang w:val="sr-Latn-RS"/>
        </w:rPr>
        <w:t>og</w:t>
      </w:r>
      <w:r w:rsidR="009B3845" w:rsidRPr="00EE047A">
        <w:rPr>
          <w:rFonts w:ascii="Houschka Pro" w:hAnsi="Houschka Pro" w:cstheme="minorHAnsi"/>
          <w:sz w:val="22"/>
          <w:lang w:val="sr-Latn-RS"/>
        </w:rPr>
        <w:t xml:space="preserve"> i</w:t>
      </w:r>
      <w:r w:rsidR="00906EC5" w:rsidRPr="00EE047A">
        <w:rPr>
          <w:rFonts w:ascii="Houschka Pro" w:hAnsi="Houschka Pro" w:cstheme="minorHAnsi"/>
          <w:sz w:val="22"/>
          <w:lang w:val="sr-Latn-RS"/>
        </w:rPr>
        <w:t>li</w:t>
      </w:r>
      <w:r w:rsidR="009B3845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6F2372" w:rsidRPr="00EE047A">
        <w:rPr>
          <w:rFonts w:ascii="Houschka Pro" w:hAnsi="Houschka Pro" w:cstheme="minorHAnsi"/>
          <w:sz w:val="22"/>
          <w:lang w:val="sr-Latn-RS"/>
        </w:rPr>
        <w:t>nezaposlen</w:t>
      </w:r>
      <w:r w:rsidR="00906EC5" w:rsidRPr="00EE047A">
        <w:rPr>
          <w:rFonts w:ascii="Houschka Pro" w:hAnsi="Houschka Pro" w:cstheme="minorHAnsi"/>
          <w:sz w:val="22"/>
          <w:lang w:val="sr-Latn-RS"/>
        </w:rPr>
        <w:t>og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lica</w:t>
      </w:r>
      <w:r w:rsidR="00906EC5" w:rsidRPr="00EE047A">
        <w:rPr>
          <w:rFonts w:ascii="Houschka Pro" w:hAnsi="Houschka Pro" w:cstheme="minorHAnsi"/>
          <w:sz w:val="22"/>
          <w:lang w:val="sr-Latn-RS"/>
        </w:rPr>
        <w:t>)</w:t>
      </w:r>
      <w:r w:rsidR="009B3845" w:rsidRPr="00EE047A">
        <w:rPr>
          <w:rFonts w:ascii="Houschka Pro" w:hAnsi="Houschka Pro" w:cstheme="minorHAnsi"/>
          <w:sz w:val="22"/>
          <w:lang w:val="sr-Latn-RS"/>
        </w:rPr>
        <w:t>.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906EC5" w:rsidRPr="00EE047A">
        <w:rPr>
          <w:rFonts w:ascii="Houschka Pro" w:hAnsi="Houschka Pro" w:cstheme="minorHAnsi"/>
          <w:sz w:val="22"/>
          <w:lang w:val="sr-Latn-RS"/>
        </w:rPr>
        <w:t>Lica koja žive u domaćinstvima čiji je nosilac van tržišta rada (neaktivan)</w:t>
      </w:r>
      <w:r w:rsidR="006F2372" w:rsidRPr="00EE047A">
        <w:rPr>
          <w:rFonts w:ascii="Houschka Pro" w:hAnsi="Houschka Pro" w:cstheme="minorHAnsi"/>
          <w:sz w:val="22"/>
          <w:lang w:val="sr-Latn-RS"/>
        </w:rPr>
        <w:t>, kao i građan</w:t>
      </w:r>
      <w:r w:rsidR="00906EC5" w:rsidRPr="00EE047A">
        <w:rPr>
          <w:rFonts w:ascii="Houschka Pro" w:hAnsi="Houschka Pro" w:cstheme="minorHAnsi"/>
          <w:sz w:val="22"/>
          <w:lang w:val="sr-Latn-RS"/>
        </w:rPr>
        <w:t>i</w:t>
      </w:r>
      <w:r w:rsidR="006F2372" w:rsidRPr="00EE047A">
        <w:rPr>
          <w:rFonts w:ascii="Houschka Pro" w:hAnsi="Houschka Pro" w:cstheme="minorHAnsi"/>
          <w:sz w:val="22"/>
          <w:lang w:val="sr-Latn-RS"/>
        </w:rPr>
        <w:t>/k</w:t>
      </w:r>
      <w:r w:rsidR="00906EC5" w:rsidRPr="00EE047A">
        <w:rPr>
          <w:rFonts w:ascii="Houschka Pro" w:hAnsi="Houschka Pro" w:cstheme="minorHAnsi"/>
          <w:sz w:val="22"/>
          <w:lang w:val="sr-Latn-RS"/>
        </w:rPr>
        <w:t>e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1D6F92">
        <w:rPr>
          <w:rFonts w:ascii="Houschka Pro" w:hAnsi="Houschka Pro" w:cstheme="minorHAnsi"/>
          <w:sz w:val="22"/>
          <w:lang w:val="sr-Latn-RS"/>
        </w:rPr>
        <w:t xml:space="preserve">u domaćinstvima u kojima </w:t>
      </w:r>
      <w:r w:rsidR="006F2372" w:rsidRPr="00EE047A">
        <w:rPr>
          <w:rFonts w:ascii="Houschka Pro" w:hAnsi="Houschka Pro" w:cstheme="minorHAnsi"/>
          <w:sz w:val="22"/>
          <w:lang w:val="sr-Latn-RS"/>
        </w:rPr>
        <w:t>su</w:t>
      </w:r>
      <w:r w:rsidR="001D6F92">
        <w:rPr>
          <w:rFonts w:ascii="Houschka Pro" w:hAnsi="Houschka Pro" w:cstheme="minorHAnsi"/>
          <w:sz w:val="22"/>
          <w:lang w:val="sr-Latn-RS"/>
        </w:rPr>
        <w:t xml:space="preserve"> nosioci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pen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zioneri </w:t>
      </w:r>
      <w:r w:rsidR="00906EC5" w:rsidRPr="00EE047A">
        <w:rPr>
          <w:rFonts w:ascii="Houschka Pro" w:hAnsi="Houschka Pro" w:cstheme="minorHAnsi"/>
          <w:sz w:val="22"/>
          <w:lang w:val="sr-Latn-RS"/>
        </w:rPr>
        <w:t>beleže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već</w:t>
      </w:r>
      <w:r w:rsidR="00906EC5" w:rsidRPr="00EE047A">
        <w:rPr>
          <w:rFonts w:ascii="Houschka Pro" w:hAnsi="Houschka Pro" w:cstheme="minorHAnsi"/>
          <w:sz w:val="22"/>
          <w:lang w:val="sr-Latn-RS"/>
        </w:rPr>
        <w:t>e apsolutno siromaštvo</w:t>
      </w:r>
      <w:r w:rsidR="006F2372" w:rsidRPr="00EE047A">
        <w:rPr>
          <w:rFonts w:ascii="Houschka Pro" w:hAnsi="Houschka Pro" w:cstheme="minorHAnsi"/>
          <w:sz w:val="22"/>
          <w:lang w:val="sr-Latn-RS"/>
        </w:rPr>
        <w:t xml:space="preserve"> u 2019. u odnosu na 2018. godinu.</w:t>
      </w:r>
    </w:p>
    <w:p w14:paraId="230DD11B" w14:textId="4EF1072C" w:rsidR="00362883" w:rsidRPr="00EE047A" w:rsidRDefault="0085250F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Ocena kretanja relativnog siromaštva, kretanje prihoda i zarada</w:t>
      </w:r>
    </w:p>
    <w:p w14:paraId="6843DAD1" w14:textId="77777777" w:rsidR="00C75D2F" w:rsidRPr="00EE047A" w:rsidRDefault="007B5053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Podaci</w:t>
      </w:r>
      <w:r w:rsidR="003A37D2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85250F" w:rsidRPr="00EE047A">
        <w:rPr>
          <w:rFonts w:ascii="Houschka Pro" w:hAnsi="Houschka Pro" w:cstheme="minorHAnsi"/>
          <w:sz w:val="22"/>
          <w:lang w:val="sr-Latn-RS"/>
        </w:rPr>
        <w:t>Republičk</w:t>
      </w:r>
      <w:r w:rsidR="003A37D2" w:rsidRPr="00EE047A">
        <w:rPr>
          <w:rFonts w:ascii="Houschka Pro" w:hAnsi="Houschka Pro" w:cstheme="minorHAnsi"/>
          <w:sz w:val="22"/>
          <w:lang w:val="sr-Latn-RS"/>
        </w:rPr>
        <w:t>og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zavod</w:t>
      </w:r>
      <w:r w:rsidR="003A37D2" w:rsidRPr="00EE047A">
        <w:rPr>
          <w:rFonts w:ascii="Houschka Pro" w:hAnsi="Houschka Pro" w:cstheme="minorHAnsi"/>
          <w:sz w:val="22"/>
          <w:lang w:val="sr-Latn-RS"/>
        </w:rPr>
        <w:t>a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za statistiku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ukazuju na smanjivanje udela lica koja su u riziku od siromaštva za 1,1 procentni poen (23,2% u 2019. godini u odnosu na 24,3% u 2018. godini), što znači da je okvirno </w:t>
      </w:r>
      <w:r w:rsidR="003A37D2" w:rsidRPr="00EE047A">
        <w:rPr>
          <w:rFonts w:ascii="Houschka Pro" w:hAnsi="Houschka Pro" w:cstheme="minorHAnsi"/>
          <w:sz w:val="22"/>
          <w:lang w:val="sr-Latn-RS"/>
        </w:rPr>
        <w:t>1,6 milion</w:t>
      </w:r>
      <w:r w:rsidRPr="00EE047A">
        <w:rPr>
          <w:rFonts w:ascii="Houschka Pro" w:hAnsi="Houschka Pro" w:cstheme="minorHAnsi"/>
          <w:sz w:val="22"/>
          <w:lang w:val="sr-Latn-RS"/>
        </w:rPr>
        <w:t>a</w:t>
      </w:r>
      <w:r w:rsidR="003A37D2" w:rsidRPr="00EE047A">
        <w:rPr>
          <w:rFonts w:ascii="Houschka Pro" w:hAnsi="Houschka Pro" w:cstheme="minorHAnsi"/>
          <w:sz w:val="22"/>
          <w:lang w:val="sr-Latn-RS"/>
        </w:rPr>
        <w:t xml:space="preserve"> lica u riziku od siromaštva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u 2019. godini</w:t>
      </w:r>
      <w:r w:rsidR="003A37D2" w:rsidRPr="00EE047A">
        <w:rPr>
          <w:rFonts w:ascii="Houschka Pro" w:hAnsi="Houschka Pro" w:cstheme="minorHAnsi"/>
          <w:sz w:val="22"/>
          <w:lang w:val="sr-Latn-RS"/>
        </w:rPr>
        <w:t xml:space="preserve">.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S</w:t>
      </w:r>
      <w:r w:rsidR="006635C3" w:rsidRPr="00EE047A">
        <w:rPr>
          <w:rFonts w:ascii="Houschka Pro" w:hAnsi="Houschka Pro" w:cstheme="minorHAnsi"/>
          <w:sz w:val="22"/>
          <w:lang w:val="sr-Latn-RS"/>
        </w:rPr>
        <w:t xml:space="preserve">topa rizika od siromaštva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i socijalne isključenosti je takođe niža (31,7% u 2019. godini u odnosu na 34,3% u 2018. godi) i u nivou je </w:t>
      </w:r>
      <w:r w:rsidR="006635C3" w:rsidRPr="00EE047A">
        <w:rPr>
          <w:rFonts w:ascii="Houschka Pro" w:hAnsi="Houschka Pro" w:cstheme="minorHAnsi"/>
          <w:sz w:val="22"/>
          <w:lang w:val="sr-Latn-RS"/>
        </w:rPr>
        <w:t>pojedinih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članica E</w:t>
      </w:r>
      <w:r w:rsidR="006635C3" w:rsidRPr="00EE047A">
        <w:rPr>
          <w:rFonts w:ascii="Houschka Pro" w:hAnsi="Houschka Pro" w:cstheme="minorHAnsi"/>
          <w:sz w:val="22"/>
          <w:lang w:val="sr-Latn-RS"/>
        </w:rPr>
        <w:t>vropske unije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(k</w:t>
      </w:r>
      <w:r w:rsidR="006635C3" w:rsidRPr="00EE047A">
        <w:rPr>
          <w:rFonts w:ascii="Houschka Pro" w:hAnsi="Houschka Pro" w:cstheme="minorHAnsi"/>
          <w:sz w:val="22"/>
          <w:lang w:val="sr-Latn-RS"/>
        </w:rPr>
        <w:t>ao što su Grčka, Bugarska i Rumu</w:t>
      </w:r>
      <w:r w:rsidRPr="00EE047A">
        <w:rPr>
          <w:rFonts w:ascii="Houschka Pro" w:hAnsi="Houschka Pro" w:cstheme="minorHAnsi"/>
          <w:sz w:val="22"/>
          <w:lang w:val="sr-Latn-RS"/>
        </w:rPr>
        <w:t>nija). P</w:t>
      </w:r>
      <w:r w:rsidR="0085250F" w:rsidRPr="00EE047A">
        <w:rPr>
          <w:rFonts w:ascii="Houschka Pro" w:hAnsi="Houschka Pro" w:cstheme="minorHAnsi"/>
          <w:sz w:val="22"/>
          <w:lang w:val="sr-Latn-RS"/>
        </w:rPr>
        <w:t>rag rizika od siromaštva</w:t>
      </w:r>
      <w:r w:rsidR="00BC2D80" w:rsidRPr="00EE047A">
        <w:rPr>
          <w:rStyle w:val="FootnoteReference"/>
          <w:rFonts w:ascii="Houschka Pro" w:hAnsi="Houschka Pro" w:cstheme="minorHAnsi"/>
          <w:sz w:val="22"/>
          <w:lang w:val="sr-Latn-RS"/>
        </w:rPr>
        <w:footnoteReference w:id="1"/>
      </w:r>
      <w:r w:rsidR="0046042A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u </w:t>
      </w:r>
      <w:r w:rsidRPr="00EE047A">
        <w:rPr>
          <w:rFonts w:ascii="Houschka Pro" w:hAnsi="Houschka Pro" w:cstheme="minorHAnsi"/>
          <w:sz w:val="22"/>
          <w:lang w:val="sr-Latn-RS"/>
        </w:rPr>
        <w:lastRenderedPageBreak/>
        <w:t>2019. godini iznosi</w:t>
      </w:r>
      <w:r w:rsidR="0046042A" w:rsidRPr="00EE047A">
        <w:rPr>
          <w:rFonts w:ascii="Houschka Pro" w:hAnsi="Houschka Pro" w:cstheme="minorHAnsi"/>
          <w:sz w:val="22"/>
          <w:lang w:val="sr-Latn-RS"/>
        </w:rPr>
        <w:t xml:space="preserve"> 19.381 dinar mesečno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po potrošačkoj jedinici. U istovremenom riziku od siromaštva i izrazitoj materijalnoj ugrožen</w:t>
      </w:r>
      <w:r w:rsidR="0046042A" w:rsidRPr="00EE047A">
        <w:rPr>
          <w:rFonts w:ascii="Houschka Pro" w:hAnsi="Houschka Pro" w:cstheme="minorHAnsi"/>
          <w:sz w:val="22"/>
          <w:lang w:val="sr-Latn-RS"/>
        </w:rPr>
        <w:t>osti nalazi se 8,9% populacije.</w:t>
      </w:r>
    </w:p>
    <w:p w14:paraId="39EE18E4" w14:textId="76AC6D6E" w:rsidR="00362883" w:rsidRPr="00EE047A" w:rsidRDefault="003A37D2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Ostvareni godišnji r</w:t>
      </w:r>
      <w:r w:rsidR="00362883" w:rsidRPr="00EE047A">
        <w:rPr>
          <w:rFonts w:ascii="Houschka Pro" w:hAnsi="Houschka Pro" w:cstheme="minorHAnsi"/>
          <w:sz w:val="22"/>
          <w:lang w:val="sr-Latn-RS"/>
        </w:rPr>
        <w:t>ast medijalnog prihoda</w:t>
      </w:r>
      <w:r w:rsidR="00841BC7" w:rsidRPr="00EE047A">
        <w:rPr>
          <w:rFonts w:ascii="Houschka Pro" w:hAnsi="Houschka Pro" w:cstheme="minorHAnsi"/>
          <w:sz w:val="22"/>
          <w:lang w:val="sr-Latn-RS"/>
        </w:rPr>
        <w:t xml:space="preserve"> (medijalni prihod je prihod tzv. „</w:t>
      </w:r>
      <w:r w:rsidR="00841BC7" w:rsidRPr="00EE047A">
        <w:rPr>
          <w:rFonts w:ascii="Houschka Pro" w:hAnsi="Houschka Pro" w:cstheme="minorHAnsi"/>
          <w:i/>
          <w:iCs/>
          <w:sz w:val="22"/>
          <w:lang w:val="sr-Latn-RS"/>
        </w:rPr>
        <w:t>središnjeg“</w:t>
      </w:r>
      <w:r w:rsidR="0046042A" w:rsidRPr="00EE047A">
        <w:rPr>
          <w:rFonts w:ascii="Houschka Pro" w:hAnsi="Houschka Pro" w:cstheme="minorHAnsi"/>
          <w:sz w:val="22"/>
          <w:lang w:val="sr-Latn-RS"/>
        </w:rPr>
        <w:t xml:space="preserve"> pojedinca, tj.</w:t>
      </w:r>
      <w:r w:rsidR="00841BC7" w:rsidRPr="00EE047A">
        <w:rPr>
          <w:rFonts w:ascii="Houschka Pro" w:hAnsi="Houschka Pro" w:cstheme="minorHAnsi"/>
          <w:sz w:val="22"/>
          <w:lang w:val="sr-Latn-RS"/>
        </w:rPr>
        <w:t xml:space="preserve"> prihod pojedinca koji deli populaciju na polovinu – polovina populacije ima prihode manje od njega, a druga polovina više prihode)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prema </w:t>
      </w:r>
      <w:r w:rsidR="00502CDF" w:rsidRPr="00EE047A">
        <w:rPr>
          <w:rFonts w:ascii="Houschka Pro" w:hAnsi="Houschka Pro" w:cstheme="minorHAnsi"/>
          <w:sz w:val="22"/>
          <w:lang w:val="sr-Latn-RS"/>
        </w:rPr>
        <w:t>Anketi o prihodima i uslovima života (</w:t>
      </w:r>
      <w:r w:rsidRPr="00EE047A">
        <w:rPr>
          <w:rFonts w:ascii="Houschka Pro" w:hAnsi="Houschka Pro" w:cstheme="minorHAnsi"/>
          <w:sz w:val="22"/>
          <w:lang w:val="sr-Latn-RS"/>
        </w:rPr>
        <w:t>SILC</w:t>
      </w:r>
      <w:r w:rsidR="00502CDF" w:rsidRPr="00EE047A">
        <w:rPr>
          <w:rFonts w:ascii="Houschka Pro" w:hAnsi="Houschka Pro" w:cstheme="minorHAnsi"/>
          <w:sz w:val="22"/>
          <w:lang w:val="sr-Latn-RS"/>
        </w:rPr>
        <w:t>)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u 2019</w:t>
      </w:r>
      <w:r w:rsidR="00502CDF" w:rsidRPr="00EE047A">
        <w:rPr>
          <w:rFonts w:ascii="Houschka Pro" w:hAnsi="Houschka Pro" w:cstheme="minorHAnsi"/>
          <w:sz w:val="22"/>
          <w:lang w:val="sr-Latn-RS"/>
        </w:rPr>
        <w:t>. godini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u odnosu na </w:t>
      </w:r>
      <w:r w:rsidR="00A418BD" w:rsidRPr="00EE047A">
        <w:rPr>
          <w:rFonts w:ascii="Houschka Pro" w:hAnsi="Houschka Pro" w:cstheme="minorHAnsi"/>
          <w:sz w:val="22"/>
          <w:lang w:val="sr-Latn-RS"/>
        </w:rPr>
        <w:t xml:space="preserve">SILC iz </w:t>
      </w:r>
      <w:r w:rsidRPr="00EE047A">
        <w:rPr>
          <w:rFonts w:ascii="Houschka Pro" w:hAnsi="Houschka Pro" w:cstheme="minorHAnsi"/>
          <w:sz w:val="22"/>
          <w:lang w:val="sr-Latn-RS"/>
        </w:rPr>
        <w:t>2018</w:t>
      </w:r>
      <w:r w:rsidR="00A418BD" w:rsidRPr="00EE047A">
        <w:rPr>
          <w:rFonts w:ascii="Houschka Pro" w:hAnsi="Houschka Pro" w:cstheme="minorHAnsi"/>
          <w:sz w:val="22"/>
          <w:lang w:val="sr-Latn-RS"/>
        </w:rPr>
        <w:t>. godine</w:t>
      </w:r>
      <w:r w:rsidRPr="00EE047A">
        <w:rPr>
          <w:rFonts w:ascii="Houschka Pro" w:hAnsi="Houschka Pro" w:cstheme="minorHAnsi"/>
          <w:sz w:val="22"/>
          <w:lang w:val="sr-Latn-RS"/>
        </w:rPr>
        <w:t>,</w:t>
      </w:r>
      <w:r w:rsidR="0046042A" w:rsidRPr="00EE047A">
        <w:rPr>
          <w:rFonts w:ascii="Houschka Pro" w:hAnsi="Houschka Pro" w:cstheme="minorHAnsi"/>
          <w:sz w:val="22"/>
          <w:lang w:val="sr-Latn-RS"/>
        </w:rPr>
        <w:t xml:space="preserve"> je čak 16,6%</w:t>
      </w:r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 u nominalnom iznosu</w:t>
      </w:r>
      <w:r w:rsidR="00A418BD" w:rsidRPr="00EE047A">
        <w:rPr>
          <w:rStyle w:val="FootnoteReference"/>
          <w:rFonts w:ascii="Houschka Pro" w:hAnsi="Houschka Pro" w:cstheme="minorHAnsi"/>
          <w:sz w:val="22"/>
          <w:lang w:val="sr-Latn-RS"/>
        </w:rPr>
        <w:footnoteReference w:id="2"/>
      </w:r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. U istom periodu, Anketa o potrošnji domaćinstava beleži </w:t>
      </w:r>
      <w:hyperlink r:id="rId12" w:history="1">
        <w:r w:rsidR="00362883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>rast pros</w:t>
        </w:r>
        <w:r w:rsidR="0046042A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>ečnih mesečnih prihoda u novcu i</w:t>
        </w:r>
        <w:r w:rsidR="00362883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 naturi za 3,8% i rast izdataka za ličnu potrošnju domaćinstava od 3,5%,</w:t>
        </w:r>
      </w:hyperlink>
      <w:r w:rsidR="00A418BD" w:rsidRPr="00EE047A">
        <w:rPr>
          <w:rFonts w:ascii="Houschka Pro" w:hAnsi="Houschka Pro" w:cstheme="minorHAnsi"/>
          <w:sz w:val="22"/>
          <w:lang w:val="sr-Latn-RS"/>
        </w:rPr>
        <w:t xml:space="preserve"> nominalno. </w:t>
      </w:r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Prema podacima Ministarstva finansija, u istom periodu ostvaren je </w:t>
      </w:r>
      <w:hyperlink r:id="rId13" w:history="1">
        <w:r w:rsidR="00362883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>rast realnih neto zarada od 4,4%, a penzija 3,8%</w:t>
        </w:r>
      </w:hyperlink>
      <w:r w:rsidR="00362883" w:rsidRPr="00EE047A">
        <w:rPr>
          <w:rFonts w:ascii="Houschka Pro" w:hAnsi="Houschka Pro" w:cstheme="minorHAnsi"/>
          <w:sz w:val="22"/>
          <w:lang w:val="sr-Latn-RS"/>
        </w:rPr>
        <w:t xml:space="preserve">. </w:t>
      </w:r>
      <w:r w:rsidR="00A418BD" w:rsidRPr="00EE047A">
        <w:rPr>
          <w:rFonts w:ascii="Houschka Pro" w:hAnsi="Houschka Pro" w:cstheme="minorHAnsi"/>
          <w:sz w:val="22"/>
          <w:lang w:val="sr-Latn-RS"/>
        </w:rPr>
        <w:t>U nominalnom iznosu neto zarada je u posmatranom periodu porasla 6,5%</w:t>
      </w:r>
      <w:r w:rsidR="00A418BD" w:rsidRPr="00EE047A">
        <w:rPr>
          <w:rStyle w:val="FootnoteReference"/>
          <w:rFonts w:ascii="Houschka Pro" w:hAnsi="Houschka Pro" w:cstheme="minorHAnsi"/>
          <w:sz w:val="22"/>
          <w:lang w:val="sr-Latn-RS"/>
        </w:rPr>
        <w:footnoteReference w:id="3"/>
      </w:r>
      <w:r w:rsidR="00A418BD" w:rsidRPr="00EE047A">
        <w:rPr>
          <w:rFonts w:ascii="Houschka Pro" w:hAnsi="Houschka Pro" w:cstheme="minorHAnsi"/>
          <w:sz w:val="22"/>
          <w:lang w:val="sr-Latn-RS"/>
        </w:rPr>
        <w:t xml:space="preserve">. </w:t>
      </w:r>
      <w:r w:rsidR="00E32495" w:rsidRPr="00EE047A">
        <w:rPr>
          <w:rFonts w:ascii="Houschka Pro" w:hAnsi="Houschka Pro" w:cstheme="minorHAnsi"/>
          <w:sz w:val="22"/>
          <w:lang w:val="sr-Latn-RS"/>
        </w:rPr>
        <w:t>Po</w:t>
      </w:r>
      <w:r w:rsidR="0046042A" w:rsidRPr="00EE047A">
        <w:rPr>
          <w:rFonts w:ascii="Houschka Pro" w:hAnsi="Houschka Pro" w:cstheme="minorHAnsi"/>
          <w:sz w:val="22"/>
          <w:lang w:val="sr-Latn-RS"/>
        </w:rPr>
        <w:t>d</w:t>
      </w:r>
      <w:r w:rsidR="00E32495" w:rsidRPr="00EE047A">
        <w:rPr>
          <w:rFonts w:ascii="Houschka Pro" w:hAnsi="Houschka Pro" w:cstheme="minorHAnsi"/>
          <w:sz w:val="22"/>
          <w:lang w:val="sr-Latn-RS"/>
        </w:rPr>
        <w:t xml:space="preserve">sećamo da je </w:t>
      </w:r>
      <w:hyperlink r:id="rId14" w:history="1">
        <w:r w:rsidR="00E32495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>u SILC-u u</w:t>
        </w:r>
        <w:r w:rsidR="002F3C99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>očen značajan udeo domaćinstava prvog decila kod kog se beleži nulti</w:t>
        </w:r>
        <w:r w:rsidR="00E32495" w:rsidRPr="00EE047A">
          <w:rPr>
            <w:rStyle w:val="Hyperlink"/>
            <w:rFonts w:ascii="Houschka Pro" w:hAnsi="Houschka Pro" w:cstheme="minorHAnsi"/>
            <w:sz w:val="22"/>
            <w:lang w:val="sr-Latn-RS"/>
          </w:rPr>
          <w:t xml:space="preserve"> prihod (blizu 30% domaćinstava u prvom decilu beleži nulti dohodak, SILC 2017)</w:t>
        </w:r>
      </w:hyperlink>
      <w:r w:rsidR="00E32495" w:rsidRPr="00EE047A">
        <w:rPr>
          <w:rFonts w:ascii="Houschka Pro" w:hAnsi="Houschka Pro" w:cstheme="minorHAnsi"/>
          <w:sz w:val="22"/>
          <w:lang w:val="sr-Latn-RS"/>
        </w:rPr>
        <w:t xml:space="preserve">, kao i da su </w:t>
      </w:r>
      <w:r w:rsidR="002F3C99" w:rsidRPr="00EE047A">
        <w:rPr>
          <w:rFonts w:ascii="Houschka Pro" w:hAnsi="Houschka Pro" w:cstheme="minorHAnsi"/>
          <w:sz w:val="22"/>
          <w:lang w:val="sr-Latn-RS"/>
        </w:rPr>
        <w:t xml:space="preserve">tokom ekspertskih sastanaka sa stručnom zajednicom i predstavnicima Republičkog zavoda za statistiku krajem 2018. i početkom 2019. godine, </w:t>
      </w:r>
      <w:r w:rsidR="00E32495" w:rsidRPr="00EE047A">
        <w:rPr>
          <w:rFonts w:ascii="Houschka Pro" w:hAnsi="Houschka Pro" w:cstheme="minorHAnsi"/>
          <w:sz w:val="22"/>
          <w:lang w:val="sr-Latn-RS"/>
        </w:rPr>
        <w:t xml:space="preserve">najavljena moguća unapređenja u „snimanju“ dohotka </w:t>
      </w:r>
      <w:r w:rsidR="002F3C99" w:rsidRPr="00EE047A">
        <w:rPr>
          <w:rFonts w:ascii="Houschka Pro" w:hAnsi="Houschka Pro" w:cstheme="minorHAnsi"/>
          <w:sz w:val="22"/>
          <w:lang w:val="sr-Latn-RS"/>
        </w:rPr>
        <w:t>posebno domaćinst</w:t>
      </w:r>
      <w:r w:rsidR="00E32495" w:rsidRPr="00EE047A">
        <w:rPr>
          <w:rFonts w:ascii="Houschka Pro" w:hAnsi="Houschka Pro" w:cstheme="minorHAnsi"/>
          <w:sz w:val="22"/>
          <w:lang w:val="sr-Latn-RS"/>
        </w:rPr>
        <w:t>ava sa veoma niskim i nultim prihodom.</w:t>
      </w:r>
      <w:r w:rsidR="002F3C99" w:rsidRPr="00EE047A">
        <w:rPr>
          <w:rFonts w:ascii="Houschka Pro" w:hAnsi="Houschka Pro" w:cstheme="minorHAnsi"/>
          <w:lang w:val="sr-Latn-RS"/>
        </w:rPr>
        <w:t xml:space="preserve"> </w:t>
      </w:r>
    </w:p>
    <w:p w14:paraId="496A79F3" w14:textId="56807D65" w:rsidR="00BC2D80" w:rsidRPr="00EE047A" w:rsidRDefault="0085250F" w:rsidP="00C75D2F">
      <w:pPr>
        <w:spacing w:after="240"/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 xml:space="preserve">Ocena kretanja broja administrativno siromašnih </w:t>
      </w:r>
    </w:p>
    <w:p w14:paraId="528FCA7C" w14:textId="373EB1C6" w:rsidR="00BC2D80" w:rsidRPr="00EE047A" w:rsidRDefault="00BC2D80" w:rsidP="00C75D2F">
      <w:pPr>
        <w:spacing w:after="240"/>
        <w:jc w:val="both"/>
        <w:rPr>
          <w:rFonts w:ascii="Houschka Pro" w:hAnsi="Houschka Pro" w:cstheme="minorHAnsi"/>
          <w:bCs/>
          <w:sz w:val="22"/>
          <w:u w:val="single"/>
          <w:lang w:val="sr-Latn-RS"/>
        </w:rPr>
      </w:pPr>
      <w:r w:rsidRPr="00EE047A">
        <w:rPr>
          <w:rFonts w:ascii="Houschka Pro" w:hAnsi="Houschka Pro" w:cstheme="minorHAnsi"/>
          <w:bCs/>
          <w:sz w:val="22"/>
          <w:u w:val="single"/>
          <w:lang w:val="sr-Latn-RS"/>
        </w:rPr>
        <w:t>Penzije i socijalni transferi (</w:t>
      </w:r>
      <w:r w:rsidR="001D6F92">
        <w:rPr>
          <w:rFonts w:ascii="Houschka Pro" w:hAnsi="Houschka Pro" w:cstheme="minorHAnsi"/>
          <w:bCs/>
          <w:sz w:val="22"/>
          <w:u w:val="single"/>
          <w:lang w:val="sr-Latn-RS"/>
        </w:rPr>
        <w:t xml:space="preserve">među kojima </w:t>
      </w:r>
      <w:r w:rsidRPr="00EE047A">
        <w:rPr>
          <w:rFonts w:ascii="Houschka Pro" w:hAnsi="Houschka Pro" w:cstheme="minorHAnsi"/>
          <w:bCs/>
          <w:sz w:val="22"/>
          <w:u w:val="single"/>
          <w:lang w:val="sr-Latn-RS"/>
        </w:rPr>
        <w:t>novčana socijalna pomoć i dečiji dodatak) značajno utiču na smanjenje stope rizika od siromaštva</w:t>
      </w:r>
      <w:r w:rsidR="00BF1C5F" w:rsidRPr="00EE047A">
        <w:rPr>
          <w:rFonts w:ascii="Houschka Pro" w:hAnsi="Houschka Pro" w:cstheme="minorHAnsi"/>
          <w:bCs/>
          <w:sz w:val="22"/>
          <w:u w:val="single"/>
          <w:lang w:val="sr-Latn-RS"/>
        </w:rPr>
        <w:t>. B</w:t>
      </w:r>
      <w:r w:rsidRPr="00EE047A">
        <w:rPr>
          <w:rFonts w:ascii="Houschka Pro" w:hAnsi="Houschka Pro" w:cstheme="minorHAnsi"/>
          <w:bCs/>
          <w:sz w:val="22"/>
          <w:u w:val="single"/>
          <w:lang w:val="sr-Latn-RS"/>
        </w:rPr>
        <w:t>ez socijalnih transfera stopa rizika siromaštva u 2019. godini bila bi viša za pet procentnih poena (28,3% u odnosu na 23,2%), dok bi bez socijalnih transfera i pe</w:t>
      </w:r>
      <w:r w:rsidR="0046042A" w:rsidRPr="00EE047A">
        <w:rPr>
          <w:rFonts w:ascii="Houschka Pro" w:hAnsi="Houschka Pro" w:cstheme="minorHAnsi"/>
          <w:bCs/>
          <w:sz w:val="22"/>
          <w:u w:val="single"/>
          <w:lang w:val="sr-Latn-RS"/>
        </w:rPr>
        <w:t>nzija stopa rizika siromaštva</w:t>
      </w:r>
      <w:r w:rsidRPr="00EE047A">
        <w:rPr>
          <w:rFonts w:ascii="Houschka Pro" w:hAnsi="Houschka Pro" w:cstheme="minorHAnsi"/>
          <w:bCs/>
          <w:sz w:val="22"/>
          <w:u w:val="single"/>
          <w:lang w:val="sr-Latn-RS"/>
        </w:rPr>
        <w:t xml:space="preserve"> bila viša za dvadeset i tri procentna poena (46,6% u odnosu na 23,2%).</w:t>
      </w:r>
    </w:p>
    <w:p w14:paraId="48297359" w14:textId="21C2456D" w:rsidR="004C22D6" w:rsidRPr="00EE047A" w:rsidRDefault="001445C6" w:rsidP="00C75D2F">
      <w:pPr>
        <w:pStyle w:val="NormalWeb"/>
        <w:spacing w:after="240" w:afterAutospacing="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Prema podacima Republičkog zavoda za statistiku, došlo je do smanjena b</w:t>
      </w:r>
      <w:r w:rsidR="00CA69B3" w:rsidRPr="00EE047A">
        <w:rPr>
          <w:rFonts w:ascii="Houschka Pro" w:hAnsi="Houschka Pro" w:cstheme="minorHAnsi"/>
          <w:sz w:val="22"/>
          <w:lang w:val="sr-Latn-RS"/>
        </w:rPr>
        <w:t>roja porodica koj</w:t>
      </w:r>
      <w:r w:rsidR="00FD024D" w:rsidRPr="00EE047A">
        <w:rPr>
          <w:rFonts w:ascii="Houschka Pro" w:hAnsi="Houschka Pro" w:cstheme="minorHAnsi"/>
          <w:sz w:val="22"/>
          <w:lang w:val="sr-Latn-RS"/>
        </w:rPr>
        <w:t>e</w:t>
      </w:r>
      <w:r w:rsidR="00CA69B3" w:rsidRPr="00EE047A">
        <w:rPr>
          <w:rFonts w:ascii="Houschka Pro" w:hAnsi="Houschka Pro" w:cstheme="minorHAnsi"/>
          <w:sz w:val="22"/>
          <w:lang w:val="sr-Latn-RS"/>
        </w:rPr>
        <w:t xml:space="preserve"> ostvaruju pravo na novčanu socijalnu pomoć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(92.673 u 2019. godini, u odnosu na 98.754 u 2018. godini)</w:t>
      </w:r>
      <w:r w:rsidR="00CA69B3" w:rsidRPr="00EE047A">
        <w:rPr>
          <w:rFonts w:ascii="Houschka Pro" w:hAnsi="Houschka Pro" w:cstheme="minorHAnsi"/>
          <w:sz w:val="22"/>
          <w:lang w:val="sr-Latn-RS"/>
        </w:rPr>
        <w:t xml:space="preserve"> i </w:t>
      </w:r>
      <w:r w:rsidR="0085250F" w:rsidRPr="00EE047A">
        <w:rPr>
          <w:rFonts w:ascii="Houschka Pro" w:hAnsi="Houschka Pro" w:cstheme="minorHAnsi"/>
          <w:sz w:val="22"/>
          <w:lang w:val="sr-Latn-RS"/>
        </w:rPr>
        <w:t>broj</w:t>
      </w:r>
      <w:r w:rsidR="00CA69B3" w:rsidRPr="00EE047A">
        <w:rPr>
          <w:rFonts w:ascii="Houschka Pro" w:hAnsi="Houschka Pro" w:cstheme="minorHAnsi"/>
          <w:sz w:val="22"/>
          <w:lang w:val="sr-Latn-RS"/>
        </w:rPr>
        <w:t>a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dece koja ostvaruj</w:t>
      </w:r>
      <w:r w:rsidR="00CA69B3" w:rsidRPr="00EE047A">
        <w:rPr>
          <w:rFonts w:ascii="Houschka Pro" w:hAnsi="Houschka Pro" w:cstheme="minorHAnsi"/>
          <w:sz w:val="22"/>
          <w:lang w:val="sr-Latn-RS"/>
        </w:rPr>
        <w:t>u</w:t>
      </w:r>
      <w:r w:rsidR="0085250F" w:rsidRPr="00EE047A">
        <w:rPr>
          <w:rFonts w:ascii="Houschka Pro" w:hAnsi="Houschka Pro" w:cstheme="minorHAnsi"/>
          <w:sz w:val="22"/>
          <w:lang w:val="sr-Latn-RS"/>
        </w:rPr>
        <w:t xml:space="preserve"> pravo na deč</w:t>
      </w:r>
      <w:r w:rsidR="007B4E39" w:rsidRPr="00EE047A">
        <w:rPr>
          <w:rFonts w:ascii="Houschka Pro" w:hAnsi="Houschka Pro" w:cstheme="minorHAnsi"/>
          <w:sz w:val="22"/>
          <w:lang w:val="sr-Latn-RS"/>
        </w:rPr>
        <w:t>i</w:t>
      </w:r>
      <w:r w:rsidR="0085250F" w:rsidRPr="00EE047A">
        <w:rPr>
          <w:rFonts w:ascii="Houschka Pro" w:hAnsi="Houschka Pro" w:cstheme="minorHAnsi"/>
          <w:sz w:val="22"/>
          <w:lang w:val="sr-Latn-RS"/>
        </w:rPr>
        <w:t>ji dodatak</w:t>
      </w:r>
      <w:r w:rsidRPr="00EE047A">
        <w:rPr>
          <w:rFonts w:ascii="Houschka Pro" w:hAnsi="Houschka Pro" w:cstheme="minorHAnsi"/>
          <w:sz w:val="22"/>
          <w:lang w:val="sr-Latn-RS"/>
        </w:rPr>
        <w:t xml:space="preserve"> (226.289 u 2019. godini, u odnosu na 225.886 u 2018. godini)</w:t>
      </w:r>
      <w:r w:rsidR="004C22D6" w:rsidRPr="00EE047A">
        <w:rPr>
          <w:rFonts w:ascii="Houschka Pro" w:hAnsi="Houschka Pro" w:cstheme="minorHAnsi"/>
          <w:sz w:val="22"/>
          <w:lang w:val="sr-Latn-RS"/>
        </w:rPr>
        <w:t xml:space="preserve">. Ova dva davanja </w:t>
      </w:r>
      <w:r w:rsidR="00FD024D" w:rsidRPr="00EE047A">
        <w:rPr>
          <w:rFonts w:ascii="Houschka Pro" w:hAnsi="Houschka Pro" w:cstheme="minorHAnsi"/>
          <w:sz w:val="22"/>
          <w:lang w:val="sr-Latn-RS"/>
        </w:rPr>
        <w:t xml:space="preserve">su najznačajniji vid podrške </w:t>
      </w:r>
      <w:r w:rsidR="003056FA" w:rsidRPr="00EE047A">
        <w:rPr>
          <w:rFonts w:ascii="Houschka Pro" w:hAnsi="Houschka Pro" w:cstheme="minorHAnsi"/>
          <w:sz w:val="22"/>
          <w:lang w:val="sr-Latn-RS"/>
        </w:rPr>
        <w:t>siromašnim</w:t>
      </w:r>
      <w:r w:rsidR="004C22D6" w:rsidRPr="00EE047A">
        <w:rPr>
          <w:rFonts w:ascii="Houschka Pro" w:hAnsi="Houschka Pro" w:cstheme="minorHAnsi"/>
          <w:sz w:val="22"/>
          <w:lang w:val="sr-Latn-RS"/>
        </w:rPr>
        <w:t xml:space="preserve">a </w:t>
      </w:r>
      <w:r w:rsidR="003056FA" w:rsidRPr="00EE047A">
        <w:rPr>
          <w:rFonts w:ascii="Houschka Pro" w:hAnsi="Houschka Pro" w:cstheme="minorHAnsi"/>
          <w:sz w:val="22"/>
          <w:lang w:val="sr-Latn-RS"/>
        </w:rPr>
        <w:t>koj</w:t>
      </w:r>
      <w:r w:rsidR="00FD024D" w:rsidRPr="00EE047A">
        <w:rPr>
          <w:rFonts w:ascii="Houschka Pro" w:hAnsi="Houschka Pro" w:cstheme="minorHAnsi"/>
          <w:sz w:val="22"/>
          <w:lang w:val="sr-Latn-RS"/>
        </w:rPr>
        <w:t>i</w:t>
      </w:r>
      <w:r w:rsidR="003056FA" w:rsidRPr="00EE047A">
        <w:rPr>
          <w:rFonts w:ascii="Houschka Pro" w:hAnsi="Houschka Pro" w:cstheme="minorHAnsi"/>
          <w:sz w:val="22"/>
          <w:lang w:val="sr-Latn-RS"/>
        </w:rPr>
        <w:t xml:space="preserve"> se finansiraju sa nacionalnog nivoa. </w:t>
      </w:r>
      <w:r w:rsidR="00FD024D" w:rsidRPr="00EE047A">
        <w:rPr>
          <w:rFonts w:ascii="Houschka Pro" w:hAnsi="Houschka Pro" w:cstheme="minorHAnsi"/>
          <w:sz w:val="22"/>
          <w:lang w:val="sr-Latn-RS"/>
        </w:rPr>
        <w:t>U narednom periodu važno je razmotriti povećanje obuhvata i iznosa socijalnih transfera radi efektivnog uticaja na smanjenje siromaštva.</w:t>
      </w:r>
    </w:p>
    <w:p w14:paraId="5452EA15" w14:textId="11F8BE75" w:rsidR="00CA69B3" w:rsidRPr="00EE047A" w:rsidRDefault="00CA69B3" w:rsidP="00C75D2F">
      <w:pPr>
        <w:pStyle w:val="NormalWeb"/>
        <w:spacing w:before="0" w:beforeAutospacing="0" w:after="0" w:afterAutospacing="0"/>
        <w:jc w:val="both"/>
        <w:rPr>
          <w:rFonts w:ascii="Houschka Pro" w:hAnsi="Houschka Pro" w:cstheme="minorHAnsi"/>
          <w:b/>
          <w:bCs/>
          <w:lang w:val="sr-Latn-RS"/>
        </w:rPr>
      </w:pPr>
      <w:r w:rsidRPr="00EE047A">
        <w:rPr>
          <w:rFonts w:ascii="Houschka Pro" w:hAnsi="Houschka Pro" w:cstheme="minorHAnsi"/>
          <w:b/>
          <w:bCs/>
          <w:sz w:val="22"/>
          <w:lang w:val="sr-Latn-RS"/>
        </w:rPr>
        <w:t>Kretanje broja korisnika dečjeg dodatka i novčane socijalne pomoći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66"/>
        <w:gridCol w:w="955"/>
        <w:gridCol w:w="956"/>
        <w:gridCol w:w="956"/>
        <w:gridCol w:w="956"/>
        <w:gridCol w:w="956"/>
        <w:gridCol w:w="956"/>
      </w:tblGrid>
      <w:tr w:rsidR="00CA69B3" w:rsidRPr="00EE047A" w14:paraId="24DADF86" w14:textId="77777777" w:rsidTr="007B4E39">
        <w:trPr>
          <w:trHeight w:val="300"/>
          <w:jc w:val="center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60BBDD32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sz w:val="20"/>
                <w:szCs w:val="20"/>
                <w:lang w:val="sr-Latn-RS" w:eastAsia="en-GB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221BD1A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360648B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23FDD0A9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5B3AA4A8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73CBA2E2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6634C0D8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10D70B58" w14:textId="77777777" w:rsidR="00CA69B3" w:rsidRPr="00EE047A" w:rsidRDefault="00CA69B3" w:rsidP="00C92E69">
            <w:pPr>
              <w:jc w:val="both"/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b/>
                <w:bCs/>
                <w:color w:val="000000"/>
                <w:sz w:val="20"/>
                <w:szCs w:val="20"/>
                <w:lang w:val="sr-Latn-RS" w:eastAsia="en-GB"/>
              </w:rPr>
              <w:t>2019</w:t>
            </w:r>
          </w:p>
        </w:tc>
      </w:tr>
      <w:tr w:rsidR="004C22D6" w:rsidRPr="00EE047A" w14:paraId="18D24050" w14:textId="77777777" w:rsidTr="007B4E39">
        <w:trPr>
          <w:trHeight w:val="300"/>
          <w:jc w:val="center"/>
        </w:trPr>
        <w:tc>
          <w:tcPr>
            <w:tcW w:w="2549" w:type="dxa"/>
            <w:shd w:val="clear" w:color="auto" w:fill="auto"/>
            <w:noWrap/>
            <w:hideMark/>
          </w:tcPr>
          <w:p w14:paraId="7BBDE620" w14:textId="58623AA9" w:rsidR="004C22D6" w:rsidRPr="00EE047A" w:rsidRDefault="004C22D6" w:rsidP="007B4E39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 w:rsidRPr="00EE047A">
              <w:rPr>
                <w:rFonts w:ascii="Houschka Pro" w:hAnsi="Houschka Pro" w:cstheme="minorHAnsi"/>
                <w:sz w:val="21"/>
                <w:szCs w:val="21"/>
                <w:lang w:val="sr-Latn-RS"/>
              </w:rPr>
              <w:t>Broj korisnika dečijeg dodatka (0-17 godina)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3F3260A5" w14:textId="62D3766F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320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762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AB28012" w14:textId="171CFA80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310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617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CE7FC1E" w14:textId="3E4CBD4A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297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987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ABFF2F9" w14:textId="2106911B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286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354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0D91FD5" w14:textId="0799BCE6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270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460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4A7255E" w14:textId="2FF07E4D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225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886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B514BB6" w14:textId="5E60326C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226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289</w:t>
            </w:r>
          </w:p>
        </w:tc>
      </w:tr>
      <w:tr w:rsidR="004C22D6" w:rsidRPr="00EE047A" w14:paraId="44585BBC" w14:textId="77777777" w:rsidTr="007B4E39">
        <w:trPr>
          <w:trHeight w:val="300"/>
          <w:jc w:val="center"/>
        </w:trPr>
        <w:tc>
          <w:tcPr>
            <w:tcW w:w="2549" w:type="dxa"/>
            <w:shd w:val="clear" w:color="auto" w:fill="auto"/>
            <w:noWrap/>
            <w:hideMark/>
          </w:tcPr>
          <w:p w14:paraId="54FA0392" w14:textId="2D7BE9C4" w:rsidR="004C22D6" w:rsidRPr="00EE047A" w:rsidRDefault="004C22D6" w:rsidP="007B4E39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 w:rsidRPr="00EE047A">
              <w:rPr>
                <w:rFonts w:ascii="Houschka Pro" w:hAnsi="Houschka Pro" w:cstheme="minorHAnsi"/>
                <w:sz w:val="21"/>
                <w:szCs w:val="21"/>
                <w:lang w:val="sr-Latn-RS"/>
              </w:rPr>
              <w:t>Broj korisnika novčane socijalne pomoći</w:t>
            </w:r>
            <w:r w:rsidR="001D6F92">
              <w:rPr>
                <w:rFonts w:ascii="Houschka Pro" w:hAnsi="Houschka Pro" w:cstheme="minorHAnsi"/>
                <w:sz w:val="21"/>
                <w:szCs w:val="21"/>
                <w:lang w:val="sr-Latn-RS"/>
              </w:rPr>
              <w:t xml:space="preserve"> (domaćinstva)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14:paraId="1667CEF5" w14:textId="65736600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106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954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77B5B75" w14:textId="4DC2B493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107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570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27051CC" w14:textId="41964E75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105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064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9FEE516" w14:textId="13F98EC1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106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439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2A75EFF" w14:textId="67E642B3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104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276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9F44CF5" w14:textId="382A1309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98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754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C391145" w14:textId="4129098D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92</w:t>
            </w:r>
            <w:r w:rsidR="00EA5709"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.</w:t>
            </w: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673</w:t>
            </w:r>
          </w:p>
        </w:tc>
      </w:tr>
      <w:tr w:rsidR="004C22D6" w:rsidRPr="00EE047A" w14:paraId="1417C52C" w14:textId="77777777" w:rsidTr="007B4E39">
        <w:trPr>
          <w:trHeight w:val="300"/>
          <w:jc w:val="center"/>
        </w:trPr>
        <w:tc>
          <w:tcPr>
            <w:tcW w:w="2549" w:type="dxa"/>
            <w:shd w:val="clear" w:color="auto" w:fill="F2F2F2" w:themeFill="background1" w:themeFillShade="F2"/>
            <w:noWrap/>
            <w:hideMark/>
          </w:tcPr>
          <w:p w14:paraId="0CC402B5" w14:textId="422F6ACC" w:rsidR="004C22D6" w:rsidRPr="00EE047A" w:rsidRDefault="004C22D6" w:rsidP="007B4E39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 w:rsidRPr="00EE047A">
              <w:rPr>
                <w:rFonts w:ascii="Houschka Pro" w:hAnsi="Houschka Pro" w:cstheme="minorHAnsi"/>
                <w:sz w:val="21"/>
                <w:szCs w:val="21"/>
                <w:lang w:val="sr-Latn-RS"/>
              </w:rPr>
              <w:t>Udeo korisnika dečijeg dodatka u ukupnoj populaciji dece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56A89133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24,8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1BD73B41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24,3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2B08EB68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23,3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03BB081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22,6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CEEEF6C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21,3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563E2AB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17,6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3FB8B31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17,7</w:t>
            </w:r>
          </w:p>
        </w:tc>
      </w:tr>
      <w:tr w:rsidR="004C22D6" w:rsidRPr="00EE047A" w14:paraId="2EC8B3C2" w14:textId="77777777" w:rsidTr="007B4E39">
        <w:trPr>
          <w:trHeight w:val="300"/>
          <w:jc w:val="center"/>
        </w:trPr>
        <w:tc>
          <w:tcPr>
            <w:tcW w:w="2549" w:type="dxa"/>
            <w:shd w:val="clear" w:color="auto" w:fill="F2F2F2" w:themeFill="background1" w:themeFillShade="F2"/>
            <w:noWrap/>
            <w:hideMark/>
          </w:tcPr>
          <w:p w14:paraId="6EF3F1E3" w14:textId="7747781F" w:rsidR="004C22D6" w:rsidRPr="00EE047A" w:rsidRDefault="004C22D6" w:rsidP="007B4E39">
            <w:pPr>
              <w:rPr>
                <w:rFonts w:ascii="Houschka Pro" w:eastAsia="Times New Roman" w:hAnsi="Houschka Pro" w:cstheme="minorHAnsi"/>
                <w:color w:val="000000"/>
                <w:sz w:val="21"/>
                <w:szCs w:val="21"/>
                <w:lang w:val="sr-Latn-RS" w:eastAsia="en-GB"/>
              </w:rPr>
            </w:pPr>
            <w:r w:rsidRPr="00EE047A">
              <w:rPr>
                <w:rFonts w:ascii="Houschka Pro" w:hAnsi="Houschka Pro" w:cstheme="minorHAnsi"/>
                <w:sz w:val="21"/>
                <w:szCs w:val="21"/>
                <w:lang w:val="sr-Latn-RS"/>
              </w:rPr>
              <w:t>Udeo korisnika novčane socijalne pomoći u ukupnoj populaciji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center"/>
            <w:hideMark/>
          </w:tcPr>
          <w:p w14:paraId="1F93878E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3,7</w:t>
            </w:r>
          </w:p>
        </w:tc>
        <w:tc>
          <w:tcPr>
            <w:tcW w:w="955" w:type="dxa"/>
            <w:shd w:val="clear" w:color="auto" w:fill="F2F2F2" w:themeFill="background1" w:themeFillShade="F2"/>
            <w:noWrap/>
            <w:vAlign w:val="center"/>
            <w:hideMark/>
          </w:tcPr>
          <w:p w14:paraId="79C41040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3,7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71B053E5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48F60B8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5B7E354E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3,5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13CFCF99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14:paraId="265BE764" w14:textId="77777777" w:rsidR="004C22D6" w:rsidRPr="00EE047A" w:rsidRDefault="004C22D6" w:rsidP="007B4E39">
            <w:pPr>
              <w:jc w:val="center"/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</w:pPr>
            <w:r w:rsidRPr="00EE047A">
              <w:rPr>
                <w:rFonts w:ascii="Houschka Pro" w:eastAsia="Times New Roman" w:hAnsi="Houschka Pro" w:cstheme="minorHAnsi"/>
                <w:color w:val="000000"/>
                <w:sz w:val="18"/>
                <w:szCs w:val="20"/>
                <w:lang w:val="sr-Latn-RS" w:eastAsia="en-GB"/>
              </w:rPr>
              <w:t>3,1</w:t>
            </w:r>
          </w:p>
        </w:tc>
      </w:tr>
    </w:tbl>
    <w:p w14:paraId="4404E07C" w14:textId="4FD71B4D" w:rsidR="00CA69B3" w:rsidRPr="00EE047A" w:rsidRDefault="004C5670" w:rsidP="00C92E69">
      <w:pPr>
        <w:pStyle w:val="NormalWeb"/>
        <w:spacing w:before="0" w:beforeAutospacing="0" w:after="0" w:afterAutospacing="0"/>
        <w:ind w:left="720"/>
        <w:jc w:val="both"/>
        <w:rPr>
          <w:rFonts w:ascii="Houschka Pro" w:hAnsi="Houschka Pro" w:cstheme="minorHAnsi"/>
          <w:i/>
          <w:iCs/>
          <w:sz w:val="22"/>
          <w:szCs w:val="22"/>
          <w:lang w:val="sr-Latn-RS"/>
        </w:rPr>
      </w:pPr>
      <w:r w:rsidRPr="00EE047A">
        <w:rPr>
          <w:rFonts w:ascii="Houschka Pro" w:hAnsi="Houschka Pro" w:cstheme="minorHAnsi"/>
          <w:i/>
          <w:iCs/>
          <w:sz w:val="20"/>
          <w:szCs w:val="22"/>
          <w:lang w:val="sr-Latn-RS"/>
        </w:rPr>
        <w:t xml:space="preserve">Izvor: DevInfo, </w:t>
      </w:r>
      <w:r w:rsidR="007B4E39" w:rsidRPr="00EE047A">
        <w:rPr>
          <w:rFonts w:ascii="Houschka Pro" w:hAnsi="Houschka Pro" w:cstheme="minorHAnsi"/>
          <w:i/>
          <w:iCs/>
          <w:sz w:val="20"/>
          <w:szCs w:val="22"/>
          <w:lang w:val="sr-Latn-RS"/>
        </w:rPr>
        <w:t>Republički zavod za statistiku</w:t>
      </w:r>
    </w:p>
    <w:p w14:paraId="5B9C9EA5" w14:textId="2582E838" w:rsidR="00841BC7" w:rsidRPr="00EE047A" w:rsidRDefault="00841BC7" w:rsidP="00C75D2F">
      <w:pPr>
        <w:pStyle w:val="NormalWeb"/>
        <w:spacing w:after="240" w:afterAutospacing="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lastRenderedPageBreak/>
        <w:t xml:space="preserve">Broj dece koja ostvaruju pravo na dečiji dodatak u periodu od 2013-2019. godine u apsolutnim iznosima smanjen </w:t>
      </w:r>
      <w:r w:rsidR="007B4E39" w:rsidRPr="00EE047A">
        <w:rPr>
          <w:rFonts w:ascii="Houschka Pro" w:hAnsi="Houschka Pro" w:cstheme="minorHAnsi"/>
          <w:sz w:val="22"/>
          <w:lang w:val="sr-Latn-RS"/>
        </w:rPr>
        <w:t xml:space="preserve">je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za preko 94 hiljade dece, a broj porodica koja ostvaruju pravo na novčanu socijalnu pomoć smanjen </w:t>
      </w:r>
      <w:r w:rsidR="007B4E39" w:rsidRPr="00EE047A">
        <w:rPr>
          <w:rFonts w:ascii="Houschka Pro" w:hAnsi="Houschka Pro" w:cstheme="minorHAnsi"/>
          <w:sz w:val="22"/>
          <w:lang w:val="sr-Latn-RS"/>
        </w:rPr>
        <w:t xml:space="preserve">je </w:t>
      </w:r>
      <w:r w:rsidRPr="00EE047A">
        <w:rPr>
          <w:rFonts w:ascii="Houschka Pro" w:hAnsi="Houschka Pro" w:cstheme="minorHAnsi"/>
          <w:sz w:val="22"/>
          <w:lang w:val="sr-Latn-RS"/>
        </w:rPr>
        <w:t>za preko 14 hiljada.</w:t>
      </w:r>
      <w:r w:rsidRPr="00EE047A">
        <w:rPr>
          <w:rFonts w:ascii="Houschka Pro" w:hAnsi="Houschka Pro" w:cstheme="minorHAnsi"/>
          <w:lang w:val="sr-Latn-RS"/>
        </w:rPr>
        <w:t xml:space="preserve"> </w:t>
      </w:r>
    </w:p>
    <w:p w14:paraId="2BE75494" w14:textId="46C270C5" w:rsidR="00474495" w:rsidRPr="00EE047A" w:rsidRDefault="00474495" w:rsidP="00C75D2F">
      <w:pPr>
        <w:spacing w:after="240"/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 xml:space="preserve">Ocena kretanja osnovnih indikatora siromaštva nakon jednokratnih univerzalnih mera primenjenih tokom </w:t>
      </w:r>
      <w:r w:rsidR="007B4E39"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Covid-</w:t>
      </w: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19 pandemije uz ocenu efekata targetiranih mera</w:t>
      </w:r>
    </w:p>
    <w:p w14:paraId="2ECB117C" w14:textId="6C7C76E7" w:rsidR="007B4E39" w:rsidRPr="00EE047A" w:rsidRDefault="003B0A40" w:rsidP="00C75D2F">
      <w:pPr>
        <w:spacing w:after="240"/>
        <w:jc w:val="both"/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</w:pP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Sa ciljem da se ispita kretanje siromaštva tokom pandemije nastale 2020. godine i 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stekne uvid u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efekt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e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relevantnih 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mera Vlade Republike Srbije na budžetske izdatke i osnovne pokazatelje siromaštva i nejednakosti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,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Tim za socijalno uključivanje i smanjenje siromaštva je 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pripremio procenu na osnovu analize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poda</w:t>
      </w:r>
      <w:r w:rsidR="00E9220F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taka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Ankete o prihodima i uslo</w:t>
      </w:r>
      <w:r w:rsidR="007B4E39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vima života (SILC 2017) i Ankete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 xml:space="preserve"> o potrošnji domaćinstava (APD 2018). </w:t>
      </w:r>
    </w:p>
    <w:p w14:paraId="161C9B89" w14:textId="257ADC1A" w:rsidR="00474495" w:rsidRPr="00EE047A" w:rsidRDefault="003B0A40" w:rsidP="00C75D2F">
      <w:pPr>
        <w:spacing w:after="240"/>
        <w:jc w:val="both"/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</w:pP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Osim efekata dve mere direktne podrške prihodima/potrošnji lica i to (1) Uredbe o jednokratnoj isplati 100 evra svim punoletnim građanima, i (2) Odluke o dodeli 4.000 dinara svim penzionerima, istovremeno su analizirani efekti 16 targetiranih</w:t>
      </w:r>
      <w:r w:rsidRPr="00EE047A">
        <w:rPr>
          <w:rFonts w:ascii="Houschka Pro" w:eastAsia="Times New Roman" w:hAnsi="Houschka Pro" w:cstheme="minorHAnsi"/>
          <w:bCs/>
          <w:color w:val="000000"/>
          <w:sz w:val="22"/>
          <w:lang w:val="sr-Latn-RS" w:eastAsia="en-GB"/>
        </w:rPr>
        <w:t xml:space="preserve"> mera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, sa ciljem da se uporede efekti mera kako na izdatke (procenjivani su ukupni troškovi mere), tako i na 4 osnovna indikatora siromaštva i nejednakosti (stopu rizika od siromaštva, Gini, kvintilni odnos i relativni jaz rizika od siromaštva). Efekti svake mere su praćeni i po decilima, pa je analizirano kako bi efekti mera bi</w:t>
      </w:r>
      <w:r w:rsidR="00881818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l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i distribuirani u svih 10 decila prosečnih prihoda/potroš</w:t>
      </w:r>
      <w:r w:rsidR="007B4E39"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nje. Tar</w:t>
      </w:r>
      <w:r w:rsidRPr="00EE047A">
        <w:rPr>
          <w:rFonts w:ascii="Houschka Pro" w:eastAsia="Times New Roman" w:hAnsi="Houschka Pro" w:cstheme="minorHAnsi"/>
          <w:color w:val="000000"/>
          <w:sz w:val="22"/>
          <w:lang w:val="sr-Latn-RS" w:eastAsia="en-GB"/>
        </w:rPr>
        <w:t>getirane mere se, prevashodno, odnose na davanja korisnicima novčane socijalne pomoći i korisnicima dečijeg dodatka, osobama sa invaliditetom, te dodatnu pomoć penzionerima i starijima sa niskim mesečnim primanjima i deci u porodicama sa više dece.  </w:t>
      </w:r>
    </w:p>
    <w:p w14:paraId="16244376" w14:textId="2CBB62A2" w:rsidR="007B4E39" w:rsidRPr="00EE047A" w:rsidRDefault="00387D01" w:rsidP="00C75D2F">
      <w:pPr>
        <w:spacing w:after="240"/>
        <w:jc w:val="both"/>
        <w:rPr>
          <w:rFonts w:ascii="Houschka Pro" w:hAnsi="Houschka Pro" w:cstheme="minorHAnsi"/>
          <w:sz w:val="22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 xml:space="preserve">Jedna od ključnih sprovedenih mera bila je isplata jednokratne novčane pomoći u iznosu od 100 evra u dinarskoj protivvrednosti svim punoletnim državljanima Republike Srbije. Prema procenama Ministarstva finansija, 6.145.529 punoletnih građana je primilo ovu vrstu novčane pomoći, koja je državu „koštala“ </w:t>
      </w:r>
      <w:r w:rsidRPr="00EE047A">
        <w:rPr>
          <w:rFonts w:ascii="Houschka Pro" w:hAnsi="Houschka Pro" w:cstheme="minorHAnsi"/>
          <w:bCs/>
          <w:sz w:val="22"/>
          <w:lang w:val="sr-Latn-RS"/>
        </w:rPr>
        <w:t>72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3 milijarde dinara</w:t>
      </w:r>
      <w:r w:rsidRPr="00EE047A">
        <w:rPr>
          <w:rFonts w:ascii="Houschka Pro" w:hAnsi="Houschka Pro" w:cstheme="minorHAnsi"/>
          <w:sz w:val="22"/>
          <w:lang w:val="sr-Latn-RS"/>
        </w:rPr>
        <w:t xml:space="preserve">. </w:t>
      </w:r>
    </w:p>
    <w:p w14:paraId="78133CBC" w14:textId="0B18156E" w:rsidR="00C75D2F" w:rsidRPr="00EE047A" w:rsidRDefault="00387D01" w:rsidP="00C75D2F">
      <w:pPr>
        <w:spacing w:after="240"/>
        <w:jc w:val="both"/>
        <w:rPr>
          <w:rFonts w:ascii="Houschka Pro" w:hAnsi="Houschka Pro" w:cstheme="minorHAnsi"/>
          <w:bCs/>
          <w:sz w:val="22"/>
          <w:lang w:val="sr-Latn-RS"/>
        </w:rPr>
      </w:pPr>
      <w:r w:rsidRPr="00EE047A">
        <w:rPr>
          <w:rFonts w:ascii="Houschka Pro" w:hAnsi="Houschka Pro" w:cstheme="minorHAnsi"/>
          <w:bCs/>
          <w:sz w:val="22"/>
          <w:lang w:val="sr-Latn-RS"/>
        </w:rPr>
        <w:t>Ovak</w:t>
      </w:r>
      <w:r w:rsidR="007B4E39" w:rsidRPr="00EE047A">
        <w:rPr>
          <w:rFonts w:ascii="Houschka Pro" w:hAnsi="Houschka Pro" w:cstheme="minorHAnsi"/>
          <w:bCs/>
          <w:sz w:val="22"/>
          <w:lang w:val="sr-Latn-RS"/>
        </w:rPr>
        <w:t>va mera rezultirala je smanjenjem</w:t>
      </w:r>
      <w:r w:rsidRPr="00EE047A">
        <w:rPr>
          <w:rFonts w:ascii="Houschka Pro" w:hAnsi="Houschka Pro" w:cstheme="minorHAnsi"/>
          <w:bCs/>
          <w:sz w:val="22"/>
          <w:lang w:val="sr-Latn-RS"/>
        </w:rPr>
        <w:t xml:space="preserve"> stope rizika od siromaštva za 1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1 procentni poen (sa 25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7 na 24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6), prema podacima SILC istraživanja za 2017. godinu. Posledično, ovakav potez se odrazio i na mere nejednakosti raspodele dohotka. Gini koeficijent, kao najčešće korišćena mera nejednakosti raspodele dohotka, se smanjio sa 37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8 na 36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3, a kvintilni odnos S80/S20 se smanjio za 1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3 (sa 9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4 na 8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</w:t>
      </w:r>
      <w:r w:rsidRPr="00EE047A">
        <w:rPr>
          <w:rFonts w:ascii="Houschka Pro" w:hAnsi="Houschka Pro" w:cstheme="minorHAnsi"/>
          <w:bCs/>
          <w:sz w:val="22"/>
          <w:lang w:val="sr-Latn-RS"/>
        </w:rPr>
        <w:t>1).</w:t>
      </w:r>
      <w:r w:rsidR="00542219" w:rsidRPr="00EE047A">
        <w:rPr>
          <w:rFonts w:ascii="Houschka Pro" w:hAnsi="Houschka Pro" w:cstheme="minorHAnsi"/>
          <w:bCs/>
          <w:sz w:val="22"/>
          <w:lang w:val="sr-Latn-RS"/>
        </w:rPr>
        <w:t xml:space="preserve"> Istovremeno, dolazi do smanjenja apsolutnog siromaštva sa 7,1% na 4% (prema podacima APD iz 2018, uz pretpostavku da je sav primljeni iznos pomoći usmeren na potrošnju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>, što je u najsiromašnije</w:t>
      </w:r>
      <w:r w:rsidR="00C75D2F" w:rsidRPr="00EE047A">
        <w:rPr>
          <w:rFonts w:ascii="Houschka Pro" w:hAnsi="Houschka Pro" w:cstheme="minorHAnsi"/>
          <w:bCs/>
          <w:sz w:val="22"/>
          <w:lang w:val="sr-Latn-RS"/>
        </w:rPr>
        <w:t>m</w:t>
      </w:r>
      <w:r w:rsidR="0019706B" w:rsidRPr="00EE047A">
        <w:rPr>
          <w:rFonts w:ascii="Houschka Pro" w:hAnsi="Houschka Pro" w:cstheme="minorHAnsi"/>
          <w:bCs/>
          <w:sz w:val="22"/>
          <w:lang w:val="sr-Latn-RS"/>
        </w:rPr>
        <w:t xml:space="preserve"> decilu realna pretpostavka</w:t>
      </w:r>
      <w:r w:rsidR="00542219" w:rsidRPr="00EE047A">
        <w:rPr>
          <w:rFonts w:ascii="Houschka Pro" w:hAnsi="Houschka Pro" w:cstheme="minorHAnsi"/>
          <w:bCs/>
          <w:sz w:val="22"/>
          <w:lang w:val="sr-Latn-RS"/>
        </w:rPr>
        <w:t>).</w:t>
      </w:r>
    </w:p>
    <w:p w14:paraId="25B0972B" w14:textId="09D2B73E" w:rsidR="00474495" w:rsidRPr="00EE047A" w:rsidRDefault="0019706B" w:rsidP="00C75D2F">
      <w:pPr>
        <w:spacing w:after="240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A</w:t>
      </w:r>
      <w:r w:rsidR="00BE726C" w:rsidRPr="00EE047A">
        <w:rPr>
          <w:rFonts w:ascii="Houschka Pro" w:hAnsi="Houschka Pro" w:cstheme="minorHAnsi"/>
          <w:sz w:val="22"/>
          <w:lang w:val="sr-Latn-RS"/>
        </w:rPr>
        <w:t xml:space="preserve">nalize na osnovu postojećih podataka </w:t>
      </w:r>
      <w:r w:rsidRPr="00EE047A">
        <w:rPr>
          <w:rFonts w:ascii="Houschka Pro" w:hAnsi="Houschka Pro" w:cstheme="minorHAnsi"/>
          <w:sz w:val="22"/>
          <w:lang w:val="sr-Latn-RS"/>
        </w:rPr>
        <w:t xml:space="preserve">dodatno </w:t>
      </w:r>
      <w:r w:rsidR="00BE726C" w:rsidRPr="00EE047A">
        <w:rPr>
          <w:rFonts w:ascii="Houschka Pro" w:hAnsi="Houschka Pro" w:cstheme="minorHAnsi"/>
          <w:sz w:val="22"/>
          <w:lang w:val="sr-Latn-RS"/>
        </w:rPr>
        <w:t>pokazuju</w:t>
      </w:r>
      <w:r w:rsidR="00542219" w:rsidRPr="00EE047A">
        <w:rPr>
          <w:rFonts w:ascii="Houschka Pro" w:hAnsi="Houschka Pro" w:cstheme="minorHAnsi"/>
          <w:sz w:val="22"/>
          <w:lang w:val="sr-Latn-RS"/>
        </w:rPr>
        <w:t xml:space="preserve"> da su se isti ili slični efekti na osnovne pokazatelje životnog standarda mogli postići i uz značajno manje budžetske rashode</w:t>
      </w:r>
      <w:r w:rsidR="00C75D2F" w:rsidRPr="00EE047A">
        <w:rPr>
          <w:rFonts w:ascii="Houschka Pro" w:hAnsi="Houschka Pro" w:cstheme="minorHAnsi"/>
          <w:sz w:val="22"/>
          <w:lang w:val="sr-Latn-RS"/>
        </w:rPr>
        <w:t>,</w:t>
      </w:r>
      <w:r w:rsidR="00542219" w:rsidRPr="00EE047A">
        <w:rPr>
          <w:rFonts w:ascii="Houschka Pro" w:hAnsi="Houschka Pro" w:cstheme="minorHAnsi"/>
          <w:sz w:val="22"/>
          <w:lang w:val="sr-Latn-RS"/>
        </w:rPr>
        <w:t xml:space="preserve"> uz primenu targetiranih mera. </w:t>
      </w:r>
      <w:r w:rsidR="00982FC7" w:rsidRPr="00EE047A">
        <w:rPr>
          <w:rFonts w:ascii="Houschka Pro" w:hAnsi="Houschka Pro" w:cstheme="minorHAnsi"/>
          <w:sz w:val="22"/>
          <w:lang w:val="sr-Latn-RS"/>
        </w:rPr>
        <w:t>U</w:t>
      </w:r>
      <w:r w:rsidR="00542219" w:rsidRPr="00EE047A">
        <w:rPr>
          <w:rFonts w:ascii="Houschka Pro" w:hAnsi="Houschka Pro" w:cstheme="minorHAnsi"/>
          <w:sz w:val="22"/>
          <w:lang w:val="sr-Latn-RS"/>
        </w:rPr>
        <w:t>većanje novčane socijalne pomoći i/ili dečijeg dodatka</w:t>
      </w:r>
      <w:r w:rsidR="00BE726C" w:rsidRPr="00EE047A">
        <w:rPr>
          <w:rFonts w:ascii="Houschka Pro" w:hAnsi="Houschka Pro" w:cstheme="minorHAnsi"/>
          <w:sz w:val="22"/>
          <w:lang w:val="sr-Latn-RS"/>
        </w:rPr>
        <w:t xml:space="preserve"> od </w:t>
      </w:r>
      <w:r w:rsidR="00542219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BE726C" w:rsidRPr="00EE047A">
        <w:rPr>
          <w:rFonts w:ascii="Houschka Pro" w:hAnsi="Houschka Pro" w:cstheme="minorHAnsi"/>
          <w:sz w:val="22"/>
          <w:lang w:val="sr-Latn-RS"/>
        </w:rPr>
        <w:t xml:space="preserve">20% </w:t>
      </w:r>
      <w:r w:rsidR="00542219" w:rsidRPr="00EE047A">
        <w:rPr>
          <w:rFonts w:ascii="Houschka Pro" w:hAnsi="Houschka Pro" w:cstheme="minorHAnsi"/>
          <w:sz w:val="22"/>
          <w:lang w:val="sr-Latn-RS"/>
        </w:rPr>
        <w:t>postojećim korisnicima</w:t>
      </w:r>
      <w:r w:rsidR="00BE726C" w:rsidRPr="00EE047A">
        <w:rPr>
          <w:rFonts w:ascii="Houschka Pro" w:hAnsi="Houschka Pro" w:cstheme="minorHAnsi"/>
          <w:sz w:val="22"/>
          <w:lang w:val="sr-Latn-RS"/>
        </w:rPr>
        <w:t xml:space="preserve"> u periodu trajanja vanrednog stanja (3 meseca) nije dovoljno za značajnije efekte</w:t>
      </w:r>
      <w:r w:rsidR="00BE726C" w:rsidRPr="00EE047A" w:rsidDel="00BE726C">
        <w:rPr>
          <w:rFonts w:ascii="Houschka Pro" w:hAnsi="Houschka Pro" w:cstheme="minorHAnsi"/>
          <w:sz w:val="22"/>
          <w:lang w:val="sr-Latn-RS"/>
        </w:rPr>
        <w:t xml:space="preserve"> </w:t>
      </w:r>
      <w:r w:rsidR="00542219" w:rsidRPr="00EE047A">
        <w:rPr>
          <w:rFonts w:ascii="Houschka Pro" w:hAnsi="Houschka Pro" w:cstheme="minorHAnsi"/>
          <w:sz w:val="22"/>
          <w:lang w:val="sr-Latn-RS"/>
        </w:rPr>
        <w:t>na siromaštvo i nejednakost</w:t>
      </w:r>
      <w:r w:rsidR="000D7B44" w:rsidRPr="00EE047A">
        <w:rPr>
          <w:rFonts w:ascii="Houschka Pro" w:hAnsi="Houschka Pro" w:cstheme="minorHAnsi"/>
          <w:sz w:val="22"/>
          <w:lang w:val="sr-Latn-RS"/>
        </w:rPr>
        <w:t xml:space="preserve"> ni prema konceptu apsolutnog, ni prema konceptu relativnog siromaštva. Veoma nis</w:t>
      </w:r>
      <w:r w:rsidR="009E220E" w:rsidRPr="00EE047A">
        <w:rPr>
          <w:rFonts w:ascii="Houschka Pro" w:hAnsi="Houschka Pro" w:cstheme="minorHAnsi"/>
          <w:sz w:val="22"/>
          <w:lang w:val="sr-Latn-RS"/>
        </w:rPr>
        <w:t>k</w:t>
      </w:r>
      <w:r w:rsidR="000D7B44" w:rsidRPr="00EE047A">
        <w:rPr>
          <w:rFonts w:ascii="Houschka Pro" w:hAnsi="Houschka Pro" w:cstheme="minorHAnsi"/>
          <w:sz w:val="22"/>
          <w:lang w:val="sr-Latn-RS"/>
        </w:rPr>
        <w:t>i iznosi davanja, daleko ispod linije apsolutnog, kao i relativnog praga siromaštva, uz mali broj korisnika, potvrđuje ovakve nalaze</w:t>
      </w:r>
      <w:r w:rsidR="00BE726C" w:rsidRPr="00EE047A">
        <w:rPr>
          <w:rFonts w:ascii="Houschka Pro" w:hAnsi="Houschka Pro" w:cstheme="minorHAnsi"/>
          <w:sz w:val="22"/>
          <w:lang w:val="sr-Latn-RS"/>
        </w:rPr>
        <w:t xml:space="preserve"> i ukazuje na potrebu za povećanjem iznosa davanja i proširenjem obima korisnika u cilju optimalne </w:t>
      </w:r>
      <w:r w:rsidR="00875BF5">
        <w:rPr>
          <w:rFonts w:ascii="Houschka Pro" w:hAnsi="Houschka Pro" w:cstheme="minorHAnsi"/>
          <w:sz w:val="22"/>
          <w:lang w:val="sr-Latn-RS"/>
        </w:rPr>
        <w:t>zaštite ugroženih kroz</w:t>
      </w:r>
      <w:r w:rsidR="00875BF5" w:rsidRPr="00EE047A">
        <w:rPr>
          <w:rFonts w:ascii="Houschka Pro" w:hAnsi="Houschka Pro" w:cstheme="minorHAnsi"/>
          <w:sz w:val="22"/>
          <w:lang w:val="sr-Latn-RS"/>
        </w:rPr>
        <w:t xml:space="preserve"> </w:t>
      </w:r>
      <w:r w:rsidR="00F860CA">
        <w:rPr>
          <w:rFonts w:ascii="Houschka Pro" w:hAnsi="Houschka Pro" w:cstheme="minorHAnsi"/>
          <w:sz w:val="22"/>
          <w:lang w:val="sr-Latn-RS"/>
        </w:rPr>
        <w:t>socijalnе transferе</w:t>
      </w:r>
      <w:r w:rsidR="00BE726C" w:rsidRPr="00EE047A">
        <w:rPr>
          <w:rFonts w:ascii="Houschka Pro" w:hAnsi="Houschka Pro" w:cstheme="minorHAnsi"/>
          <w:sz w:val="22"/>
          <w:lang w:val="sr-Latn-RS"/>
        </w:rPr>
        <w:t>.</w:t>
      </w:r>
    </w:p>
    <w:p w14:paraId="65A15EDC" w14:textId="793AD918" w:rsidR="004C5670" w:rsidRPr="00EE047A" w:rsidRDefault="0085250F" w:rsidP="00C92E69">
      <w:pPr>
        <w:jc w:val="both"/>
        <w:rPr>
          <w:rFonts w:ascii="Houschka Pro" w:hAnsi="Houschka Pro" w:cstheme="minorHAnsi"/>
          <w:b/>
          <w:bCs/>
          <w:u w:val="single"/>
          <w:lang w:val="sr-Latn-RS"/>
        </w:rPr>
      </w:pP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Ocena kretanja rashoda namenjenih zaštiti najugroženi</w:t>
      </w:r>
      <w:r w:rsidR="00C75D2F"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jih tokom Covid-</w:t>
      </w:r>
      <w:r w:rsidRPr="00EE047A">
        <w:rPr>
          <w:rFonts w:ascii="Houschka Pro" w:hAnsi="Houschka Pro" w:cstheme="minorHAnsi"/>
          <w:b/>
          <w:bCs/>
          <w:color w:val="345095"/>
          <w:u w:val="single"/>
          <w:lang w:val="sr-Latn-RS"/>
        </w:rPr>
        <w:t>19 pandemije</w:t>
      </w:r>
    </w:p>
    <w:p w14:paraId="23FD43EC" w14:textId="61A764EE" w:rsidR="00F10A5F" w:rsidRPr="00EE047A" w:rsidRDefault="0019706B" w:rsidP="00C92E69">
      <w:pPr>
        <w:pStyle w:val="NormalWeb"/>
        <w:jc w:val="both"/>
        <w:rPr>
          <w:rFonts w:ascii="Houschka Pro" w:hAnsi="Houschka Pro" w:cstheme="minorHAnsi"/>
          <w:sz w:val="22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Prema podacima Ministarstva finansija, t</w:t>
      </w:r>
      <w:r w:rsidR="00F10A5F" w:rsidRPr="00EE047A">
        <w:rPr>
          <w:rFonts w:ascii="Houschka Pro" w:hAnsi="Houschka Pro" w:cstheme="minorHAnsi"/>
          <w:sz w:val="22"/>
          <w:lang w:val="sr-Latn-RS"/>
        </w:rPr>
        <w:t>okom trajanja vanrednog stanja i pandemije izazvane Covid</w:t>
      </w:r>
      <w:r w:rsidR="00C75D2F" w:rsidRPr="00EE047A">
        <w:rPr>
          <w:rFonts w:ascii="Houschka Pro" w:hAnsi="Houschka Pro" w:cstheme="minorHAnsi"/>
          <w:sz w:val="22"/>
          <w:lang w:val="sr-Latn-RS"/>
        </w:rPr>
        <w:t>-</w:t>
      </w:r>
      <w:r w:rsidR="00F10A5F" w:rsidRPr="00EE047A">
        <w:rPr>
          <w:rFonts w:ascii="Houschka Pro" w:hAnsi="Houschka Pro" w:cstheme="minorHAnsi"/>
          <w:sz w:val="22"/>
          <w:lang w:val="sr-Latn-RS"/>
        </w:rPr>
        <w:t xml:space="preserve">19 virusom, nije bilo rasta izdataka u kategoriji </w:t>
      </w:r>
      <w:r w:rsidR="00F10A5F" w:rsidRPr="00EE047A">
        <w:rPr>
          <w:rFonts w:ascii="Houschka Pro" w:hAnsi="Houschka Pro" w:cstheme="minorHAnsi"/>
          <w:i/>
          <w:iCs/>
          <w:sz w:val="22"/>
          <w:lang w:val="sr-Latn-RS"/>
        </w:rPr>
        <w:t>socijalna pomoć</w:t>
      </w:r>
      <w:r w:rsidR="004C5670" w:rsidRPr="00EE047A">
        <w:rPr>
          <w:rFonts w:ascii="Houschka Pro" w:hAnsi="Houschka Pro" w:cstheme="minorHAnsi"/>
          <w:sz w:val="22"/>
          <w:lang w:val="sr-Latn-RS"/>
        </w:rPr>
        <w:t>. M</w:t>
      </w:r>
      <w:r w:rsidR="003B4731" w:rsidRPr="00EE047A">
        <w:rPr>
          <w:rFonts w:ascii="Houschka Pro" w:hAnsi="Houschka Pro" w:cstheme="minorHAnsi"/>
          <w:sz w:val="22"/>
          <w:lang w:val="sr-Latn-RS"/>
        </w:rPr>
        <w:t xml:space="preserve">esečni rashodi u prvih šest meseci 2020. godine su u proseku </w:t>
      </w:r>
      <w:r w:rsidR="004C5670" w:rsidRPr="00EE047A">
        <w:rPr>
          <w:rFonts w:ascii="Houschka Pro" w:hAnsi="Houschka Pro" w:cstheme="minorHAnsi"/>
          <w:sz w:val="22"/>
          <w:lang w:val="sr-Latn-RS"/>
        </w:rPr>
        <w:t xml:space="preserve">bili stabilni i </w:t>
      </w:r>
      <w:r w:rsidR="003B4731" w:rsidRPr="00EE047A">
        <w:rPr>
          <w:rFonts w:ascii="Houschka Pro" w:hAnsi="Houschka Pro" w:cstheme="minorHAnsi"/>
          <w:sz w:val="22"/>
          <w:lang w:val="sr-Latn-RS"/>
        </w:rPr>
        <w:t xml:space="preserve">iznosili </w:t>
      </w:r>
      <w:r w:rsidR="004C5670" w:rsidRPr="00EE047A">
        <w:rPr>
          <w:rFonts w:ascii="Houschka Pro" w:hAnsi="Houschka Pro" w:cstheme="minorHAnsi"/>
          <w:sz w:val="22"/>
          <w:lang w:val="sr-Latn-RS"/>
        </w:rPr>
        <w:t xml:space="preserve">oko </w:t>
      </w:r>
      <w:r w:rsidR="003B4731" w:rsidRPr="00EE047A">
        <w:rPr>
          <w:rFonts w:ascii="Houschka Pro" w:hAnsi="Houschka Pro" w:cstheme="minorHAnsi"/>
          <w:sz w:val="22"/>
          <w:lang w:val="sr-Latn-RS"/>
        </w:rPr>
        <w:t>12,6 milijardi dinara. Jedina rashodna stavka u okviru grupe rashoda „</w:t>
      </w:r>
      <w:r w:rsidR="003B4731" w:rsidRPr="00EE047A">
        <w:rPr>
          <w:rFonts w:ascii="Houschka Pro" w:hAnsi="Houschka Pro" w:cstheme="minorHAnsi"/>
          <w:i/>
          <w:iCs/>
          <w:sz w:val="22"/>
          <w:lang w:val="sr-Latn-RS"/>
        </w:rPr>
        <w:t>socijalna pomoć i transferi stanovništvu</w:t>
      </w:r>
      <w:r w:rsidR="003B4731" w:rsidRPr="00EE047A">
        <w:rPr>
          <w:rFonts w:ascii="Houschka Pro" w:hAnsi="Houschka Pro" w:cstheme="minorHAnsi"/>
          <w:sz w:val="22"/>
          <w:lang w:val="sr-Latn-RS"/>
        </w:rPr>
        <w:t xml:space="preserve">“ koja je imala karakteristike </w:t>
      </w:r>
      <w:r w:rsidR="003B4731" w:rsidRPr="00EE047A">
        <w:rPr>
          <w:rFonts w:ascii="Houschka Pro" w:hAnsi="Houschka Pro" w:cstheme="minorHAnsi"/>
          <w:sz w:val="22"/>
          <w:lang w:val="sr-Latn-RS"/>
        </w:rPr>
        <w:lastRenderedPageBreak/>
        <w:t>senzitivnosti na krizu jeste „ostali transferi stanovništvu“ koja je u aprilu 2020. godine uvećana za preko šest milijardi dinara, u odnosu na prosečne mesečne vrednosti u prvih šest meseci 2020. godine</w:t>
      </w:r>
      <w:r w:rsidR="00404290" w:rsidRPr="00EE047A">
        <w:rPr>
          <w:rStyle w:val="FootnoteReference"/>
          <w:rFonts w:ascii="Houschka Pro" w:hAnsi="Houschka Pro" w:cstheme="minorHAnsi"/>
          <w:sz w:val="22"/>
          <w:lang w:val="sr-Latn-RS"/>
        </w:rPr>
        <w:footnoteReference w:id="4"/>
      </w:r>
      <w:r w:rsidR="003B4731" w:rsidRPr="00EE047A">
        <w:rPr>
          <w:rFonts w:ascii="Houschka Pro" w:hAnsi="Houschka Pro" w:cstheme="minorHAnsi"/>
          <w:sz w:val="22"/>
          <w:lang w:val="sr-Latn-RS"/>
        </w:rPr>
        <w:t xml:space="preserve">. </w:t>
      </w:r>
    </w:p>
    <w:p w14:paraId="40362E48" w14:textId="6D02B1D0" w:rsidR="00404290" w:rsidRPr="00EE047A" w:rsidRDefault="004C5670" w:rsidP="00C92E69">
      <w:pPr>
        <w:pStyle w:val="NormalWeb"/>
        <w:jc w:val="both"/>
        <w:rPr>
          <w:rFonts w:ascii="Houschka Pro" w:hAnsi="Houschka Pro" w:cstheme="minorHAnsi"/>
          <w:lang w:val="sr-Latn-RS"/>
        </w:rPr>
      </w:pPr>
      <w:r w:rsidRPr="00EE047A">
        <w:rPr>
          <w:rFonts w:ascii="Houschka Pro" w:hAnsi="Houschka Pro" w:cstheme="minorHAnsi"/>
          <w:sz w:val="22"/>
          <w:lang w:val="sr-Latn-RS"/>
        </w:rPr>
        <w:t>U višegodišnjem trendu, zabrinjava kretanje visine ra</w:t>
      </w:r>
      <w:bookmarkStart w:id="0" w:name="_GoBack"/>
      <w:bookmarkEnd w:id="0"/>
      <w:r w:rsidRPr="00EE047A">
        <w:rPr>
          <w:rFonts w:ascii="Houschka Pro" w:hAnsi="Houschka Pro" w:cstheme="minorHAnsi"/>
          <w:sz w:val="22"/>
          <w:lang w:val="sr-Latn-RS"/>
        </w:rPr>
        <w:t xml:space="preserve">shoda u okviru kategorije </w:t>
      </w:r>
      <w:r w:rsidRPr="00EE047A">
        <w:rPr>
          <w:rFonts w:ascii="Houschka Pro" w:hAnsi="Houschka Pro" w:cstheme="minorHAnsi"/>
          <w:i/>
          <w:iCs/>
          <w:sz w:val="22"/>
          <w:lang w:val="sr-Latn-RS"/>
        </w:rPr>
        <w:t>socijalna pomoć</w:t>
      </w:r>
      <w:r w:rsidRPr="00EE047A">
        <w:rPr>
          <w:rFonts w:ascii="Houschka Pro" w:hAnsi="Houschka Pro" w:cstheme="minorHAnsi"/>
          <w:sz w:val="22"/>
          <w:lang w:val="sr-Latn-RS"/>
        </w:rPr>
        <w:t>. Smanjenje udela ove kategorije u BDP</w:t>
      </w:r>
      <w:r w:rsidR="0019706B" w:rsidRPr="00EE047A">
        <w:rPr>
          <w:rFonts w:ascii="Houschka Pro" w:hAnsi="Houschka Pro" w:cstheme="minorHAnsi"/>
          <w:sz w:val="22"/>
          <w:lang w:val="sr-Latn-RS"/>
        </w:rPr>
        <w:t>-</w:t>
      </w:r>
      <w:r w:rsidRPr="00EE047A">
        <w:rPr>
          <w:rFonts w:ascii="Houschka Pro" w:hAnsi="Houschka Pro" w:cstheme="minorHAnsi"/>
          <w:sz w:val="22"/>
          <w:lang w:val="sr-Latn-RS"/>
        </w:rPr>
        <w:t>u je st</w:t>
      </w:r>
      <w:r w:rsidR="00404290" w:rsidRPr="00EE047A">
        <w:rPr>
          <w:rFonts w:ascii="Houschka Pro" w:hAnsi="Houschka Pro" w:cstheme="minorHAnsi"/>
          <w:sz w:val="22"/>
          <w:lang w:val="sr-Latn-RS"/>
        </w:rPr>
        <w:t>abilno, tako da je sa 3,9% BDP koliko je učešće ove kategorije iznosilo u 2015. godini, u 2019. godini ovo učešće svega 3,1%.</w:t>
      </w:r>
      <w:r w:rsidR="00404290" w:rsidRPr="00EE047A">
        <w:rPr>
          <w:rFonts w:ascii="Houschka Pro" w:hAnsi="Houschka Pro" w:cstheme="minorHAnsi"/>
          <w:lang w:val="sr-Latn-RS"/>
        </w:rPr>
        <w:t xml:space="preserve"> </w:t>
      </w:r>
    </w:p>
    <w:p w14:paraId="725F27CE" w14:textId="66650385" w:rsidR="00701042" w:rsidRPr="00EE047A" w:rsidRDefault="009A7A32" w:rsidP="00C92E69">
      <w:pPr>
        <w:pStyle w:val="NormalWeb"/>
        <w:spacing w:before="0" w:beforeAutospacing="0" w:after="0" w:afterAutospacing="0"/>
        <w:jc w:val="both"/>
        <w:rPr>
          <w:rFonts w:ascii="Houschka Pro" w:hAnsi="Houschka Pro" w:cstheme="minorHAnsi"/>
          <w:b/>
          <w:bCs/>
          <w:lang w:val="sr-Latn-RS"/>
        </w:rPr>
      </w:pPr>
      <w:r w:rsidRPr="00EE047A">
        <w:rPr>
          <w:rFonts w:ascii="Houschka Pro" w:hAnsi="Houschka Pro"/>
          <w:noProof/>
          <w:lang w:eastAsia="en-US"/>
        </w:rPr>
        <w:drawing>
          <wp:inline distT="0" distB="0" distL="0" distR="0" wp14:anchorId="3E2E85C8" wp14:editId="2031966D">
            <wp:extent cx="5829300" cy="36099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D94E8A4-B02B-DA4C-B680-14474F9357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35CAB" w:rsidRPr="00EE047A">
        <w:rPr>
          <w:rFonts w:ascii="Houschka Pro" w:hAnsi="Houschka Pro" w:cstheme="minorHAnsi"/>
          <w:b/>
          <w:bCs/>
          <w:lang w:val="sr-Latn-RS"/>
        </w:rPr>
        <w:br w:type="textWrapping" w:clear="all"/>
      </w:r>
      <w:r w:rsidR="004C5670" w:rsidRPr="00EE047A">
        <w:rPr>
          <w:rFonts w:ascii="Houschka Pro" w:hAnsi="Houschka Pro" w:cstheme="minorHAnsi"/>
          <w:i/>
          <w:iCs/>
          <w:sz w:val="22"/>
          <w:szCs w:val="22"/>
          <w:lang w:val="sr-Latn-RS"/>
        </w:rPr>
        <w:t>Izvor: M</w:t>
      </w:r>
      <w:r w:rsidR="00C75D2F" w:rsidRPr="00EE047A">
        <w:rPr>
          <w:rFonts w:ascii="Houschka Pro" w:hAnsi="Houschka Pro" w:cstheme="minorHAnsi"/>
          <w:i/>
          <w:iCs/>
          <w:sz w:val="22"/>
          <w:szCs w:val="22"/>
          <w:lang w:val="sr-Latn-RS"/>
        </w:rPr>
        <w:t>inistarstvo finansija</w:t>
      </w:r>
      <w:r w:rsidR="004C5670" w:rsidRPr="00EE047A">
        <w:rPr>
          <w:rFonts w:ascii="Houschka Pro" w:hAnsi="Houschka Pro" w:cstheme="minorHAnsi"/>
          <w:i/>
          <w:iCs/>
          <w:sz w:val="22"/>
          <w:szCs w:val="22"/>
          <w:lang w:val="sr-Latn-RS"/>
        </w:rPr>
        <w:t>, Bilten javnih finansija</w:t>
      </w:r>
    </w:p>
    <w:sectPr w:rsidR="00701042" w:rsidRPr="00EE047A" w:rsidSect="00E3736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1EB3" w16cex:dateUtc="2020-10-16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E02A6C" w16cid:durableId="23341E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2F09" w14:textId="77777777" w:rsidR="00DA7ABA" w:rsidRDefault="00DA7ABA" w:rsidP="00404290">
      <w:r>
        <w:separator/>
      </w:r>
    </w:p>
  </w:endnote>
  <w:endnote w:type="continuationSeparator" w:id="0">
    <w:p w14:paraId="40B84427" w14:textId="77777777" w:rsidR="00DA7ABA" w:rsidRDefault="00DA7ABA" w:rsidP="004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uschka Pro">
    <w:altName w:val="Times New Roman"/>
    <w:panose1 w:val="02000603000000020003"/>
    <w:charset w:val="00"/>
    <w:family w:val="swiss"/>
    <w:notTrueType/>
    <w:pitch w:val="variable"/>
    <w:sig w:usb0="800002A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E32C" w14:textId="77777777" w:rsidR="00DA7ABA" w:rsidRDefault="00DA7ABA" w:rsidP="00404290">
      <w:r>
        <w:separator/>
      </w:r>
    </w:p>
  </w:footnote>
  <w:footnote w:type="continuationSeparator" w:id="0">
    <w:p w14:paraId="534B234D" w14:textId="77777777" w:rsidR="00DA7ABA" w:rsidRDefault="00DA7ABA" w:rsidP="00404290">
      <w:r>
        <w:continuationSeparator/>
      </w:r>
    </w:p>
  </w:footnote>
  <w:footnote w:id="1">
    <w:p w14:paraId="4EA8409B" w14:textId="6D30F5CF" w:rsidR="00BC2D80" w:rsidRPr="00A418BD" w:rsidRDefault="00BC2D80" w:rsidP="00A418BD">
      <w:pPr>
        <w:pStyle w:val="FootnoteText"/>
        <w:jc w:val="both"/>
        <w:rPr>
          <w:rFonts w:ascii="Houschka Pro" w:hAnsi="Houschka Pro"/>
          <w:sz w:val="18"/>
          <w:lang w:val="sr-Latn-RS"/>
        </w:rPr>
      </w:pPr>
      <w:r w:rsidRPr="00A418BD">
        <w:rPr>
          <w:rStyle w:val="FootnoteReference"/>
          <w:rFonts w:ascii="Houschka Pro" w:hAnsi="Houschka Pro"/>
          <w:sz w:val="18"/>
          <w:lang w:val="sr-Latn-RS"/>
        </w:rPr>
        <w:footnoteRef/>
      </w:r>
      <w:r w:rsidRPr="00A418BD">
        <w:rPr>
          <w:rFonts w:ascii="Houschka Pro" w:hAnsi="Houschka Pro"/>
          <w:sz w:val="18"/>
          <w:lang w:val="sr-Latn-RS"/>
        </w:rPr>
        <w:t xml:space="preserve"> Prag rizika od siromaštva (relativna linija siromaštva) predstavlja 60% medijane nacionalnog</w:t>
      </w:r>
      <w:r w:rsidR="0046042A" w:rsidRPr="00A418BD">
        <w:rPr>
          <w:rFonts w:ascii="Houschka Pro" w:hAnsi="Houschka Pro"/>
          <w:sz w:val="18"/>
          <w:lang w:val="sr-Latn-RS"/>
        </w:rPr>
        <w:t xml:space="preserve"> </w:t>
      </w:r>
      <w:r w:rsidRPr="00A418BD">
        <w:rPr>
          <w:rFonts w:ascii="Houschka Pro" w:hAnsi="Houschka Pro"/>
          <w:sz w:val="18"/>
          <w:lang w:val="sr-Latn-RS"/>
        </w:rPr>
        <w:t>ekvivalentnog prihoda i izražava se u dinarima.</w:t>
      </w:r>
    </w:p>
  </w:footnote>
  <w:footnote w:id="2">
    <w:p w14:paraId="6E2F1511" w14:textId="4C36F75F" w:rsidR="00A418BD" w:rsidRPr="00A418BD" w:rsidRDefault="00A418BD" w:rsidP="00A418BD">
      <w:pPr>
        <w:pStyle w:val="FootnoteText"/>
        <w:jc w:val="both"/>
        <w:rPr>
          <w:rFonts w:ascii="Houschka Pro" w:hAnsi="Houschka Pro"/>
          <w:sz w:val="18"/>
          <w:lang w:val="sr-Latn-RS"/>
        </w:rPr>
      </w:pPr>
      <w:r w:rsidRPr="00A418BD">
        <w:rPr>
          <w:rStyle w:val="FootnoteReference"/>
          <w:rFonts w:ascii="Houschka Pro" w:hAnsi="Houschka Pro"/>
          <w:sz w:val="18"/>
          <w:lang w:val="sr-Latn-RS"/>
        </w:rPr>
        <w:footnoteRef/>
      </w:r>
      <w:r w:rsidRPr="00A418BD">
        <w:rPr>
          <w:rFonts w:ascii="Houschka Pro" w:hAnsi="Houschka Pro"/>
          <w:sz w:val="18"/>
          <w:lang w:val="sr-Latn-RS"/>
        </w:rPr>
        <w:t xml:space="preserve"> Referentni period za prihode je 2018. godina, tako da se poređenje rasta prihoda odnosi na prihode ostvarene u 2017. i 2018. godini.</w:t>
      </w:r>
    </w:p>
  </w:footnote>
  <w:footnote w:id="3">
    <w:p w14:paraId="0766EF3F" w14:textId="2DF3BF0D" w:rsidR="00A418BD" w:rsidRPr="00A418BD" w:rsidRDefault="00A418BD">
      <w:pPr>
        <w:pStyle w:val="FootnoteText"/>
        <w:rPr>
          <w:rFonts w:ascii="Houschka Pro" w:hAnsi="Houschka Pro"/>
          <w:sz w:val="18"/>
          <w:lang w:val="sr-Latn-RS"/>
        </w:rPr>
      </w:pPr>
      <w:r w:rsidRPr="00A418BD">
        <w:rPr>
          <w:rFonts w:ascii="Houschka Pro" w:hAnsi="Houschka Pro"/>
          <w:sz w:val="18"/>
          <w:lang w:val="sr-Latn-RS"/>
        </w:rPr>
        <w:footnoteRef/>
      </w:r>
      <w:r w:rsidRPr="00A418BD">
        <w:rPr>
          <w:rFonts w:ascii="Houschka Pro" w:hAnsi="Houschka Pro"/>
          <w:sz w:val="18"/>
          <w:lang w:val="sr-Latn-RS"/>
        </w:rPr>
        <w:t xml:space="preserve"> Prema podacima RZS, za period I-XII2018/I-XII2019, </w:t>
      </w:r>
      <w:hyperlink r:id="rId1" w:history="1">
        <w:r w:rsidRPr="003D35B7">
          <w:rPr>
            <w:rStyle w:val="Hyperlink"/>
            <w:rFonts w:ascii="Houschka Pro" w:hAnsi="Houschka Pro"/>
            <w:sz w:val="18"/>
            <w:lang w:val="sr-Latn-RS"/>
          </w:rPr>
          <w:t>https://publikacije.stat.gov.rs/G2019/Pdf/G20191041.pdf</w:t>
        </w:r>
      </w:hyperlink>
      <w:r>
        <w:rPr>
          <w:rFonts w:ascii="Houschka Pro" w:hAnsi="Houschka Pro"/>
          <w:sz w:val="18"/>
          <w:lang w:val="sr-Latn-RS"/>
        </w:rPr>
        <w:t xml:space="preserve"> </w:t>
      </w:r>
    </w:p>
  </w:footnote>
  <w:footnote w:id="4">
    <w:p w14:paraId="77D266E2" w14:textId="133281B6" w:rsidR="00404290" w:rsidRPr="00A418BD" w:rsidRDefault="00404290" w:rsidP="00A418BD">
      <w:pPr>
        <w:pStyle w:val="FootnoteText"/>
        <w:jc w:val="both"/>
        <w:rPr>
          <w:rFonts w:ascii="Houschka Pro" w:hAnsi="Houschka Pro"/>
          <w:sz w:val="18"/>
          <w:lang w:val="sr-Latn-RS"/>
        </w:rPr>
      </w:pPr>
      <w:r w:rsidRPr="00A418BD">
        <w:rPr>
          <w:rStyle w:val="FootnoteReference"/>
          <w:rFonts w:ascii="Houschka Pro" w:hAnsi="Houschka Pro"/>
          <w:sz w:val="18"/>
          <w:lang w:val="sr-Latn-RS"/>
        </w:rPr>
        <w:footnoteRef/>
      </w:r>
      <w:r w:rsidRPr="00A418BD">
        <w:rPr>
          <w:rFonts w:ascii="Houschka Pro" w:hAnsi="Houschka Pro"/>
          <w:sz w:val="18"/>
          <w:lang w:val="sr-Latn-RS"/>
        </w:rPr>
        <w:t xml:space="preserve"> Prema podacima Ministarstva finansija, Bilten javnih finansija, avgust 2020.</w:t>
      </w:r>
      <w:r w:rsidR="00C75D2F" w:rsidRPr="00A418BD">
        <w:rPr>
          <w:rFonts w:ascii="Houschka Pro" w:hAnsi="Houschka Pro"/>
          <w:sz w:val="18"/>
          <w:lang w:val="sr-Latn-RS"/>
        </w:rPr>
        <w:t xml:space="preserve"> godine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270"/>
    <w:multiLevelType w:val="hybridMultilevel"/>
    <w:tmpl w:val="F05A39D2"/>
    <w:lvl w:ilvl="0" w:tplc="AA9E01D0">
      <w:start w:val="22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B3"/>
    <w:rsid w:val="0002587D"/>
    <w:rsid w:val="00035CAB"/>
    <w:rsid w:val="00090F06"/>
    <w:rsid w:val="000A3C23"/>
    <w:rsid w:val="000B1BBD"/>
    <w:rsid w:val="000C5AFB"/>
    <w:rsid w:val="000D2675"/>
    <w:rsid w:val="000D7B44"/>
    <w:rsid w:val="000E54C1"/>
    <w:rsid w:val="000E5B3A"/>
    <w:rsid w:val="001330DE"/>
    <w:rsid w:val="001445C6"/>
    <w:rsid w:val="00153937"/>
    <w:rsid w:val="0019706B"/>
    <w:rsid w:val="001D306D"/>
    <w:rsid w:val="001D6F92"/>
    <w:rsid w:val="001D73A6"/>
    <w:rsid w:val="001D7A91"/>
    <w:rsid w:val="001E0941"/>
    <w:rsid w:val="002269AF"/>
    <w:rsid w:val="00283C48"/>
    <w:rsid w:val="002F16B3"/>
    <w:rsid w:val="002F3C99"/>
    <w:rsid w:val="003056FA"/>
    <w:rsid w:val="003306B5"/>
    <w:rsid w:val="00362883"/>
    <w:rsid w:val="0037365F"/>
    <w:rsid w:val="00387D01"/>
    <w:rsid w:val="003A02E3"/>
    <w:rsid w:val="003A37D2"/>
    <w:rsid w:val="003B0A40"/>
    <w:rsid w:val="003B4731"/>
    <w:rsid w:val="00404290"/>
    <w:rsid w:val="0045135F"/>
    <w:rsid w:val="0046042A"/>
    <w:rsid w:val="00474495"/>
    <w:rsid w:val="004C22D6"/>
    <w:rsid w:val="004C5670"/>
    <w:rsid w:val="00502CDF"/>
    <w:rsid w:val="00542219"/>
    <w:rsid w:val="005E5BD9"/>
    <w:rsid w:val="005E6EE0"/>
    <w:rsid w:val="006635C3"/>
    <w:rsid w:val="006943FA"/>
    <w:rsid w:val="006F2372"/>
    <w:rsid w:val="00701042"/>
    <w:rsid w:val="0074081F"/>
    <w:rsid w:val="007B4E39"/>
    <w:rsid w:val="007B5053"/>
    <w:rsid w:val="0082627C"/>
    <w:rsid w:val="00841BC7"/>
    <w:rsid w:val="0085250F"/>
    <w:rsid w:val="008535D5"/>
    <w:rsid w:val="00875BF5"/>
    <w:rsid w:val="00881818"/>
    <w:rsid w:val="008924EE"/>
    <w:rsid w:val="008B4FC8"/>
    <w:rsid w:val="00906EC5"/>
    <w:rsid w:val="0097700D"/>
    <w:rsid w:val="00982FC7"/>
    <w:rsid w:val="009A7A32"/>
    <w:rsid w:val="009B0636"/>
    <w:rsid w:val="009B3845"/>
    <w:rsid w:val="009E220E"/>
    <w:rsid w:val="00A2012B"/>
    <w:rsid w:val="00A418BD"/>
    <w:rsid w:val="00AC63DA"/>
    <w:rsid w:val="00AE50C0"/>
    <w:rsid w:val="00B148A7"/>
    <w:rsid w:val="00B63CA6"/>
    <w:rsid w:val="00BB1C7D"/>
    <w:rsid w:val="00BC2D80"/>
    <w:rsid w:val="00BE726C"/>
    <w:rsid w:val="00BF1C5F"/>
    <w:rsid w:val="00C17CC7"/>
    <w:rsid w:val="00C23279"/>
    <w:rsid w:val="00C75D2F"/>
    <w:rsid w:val="00C92E69"/>
    <w:rsid w:val="00CA69B3"/>
    <w:rsid w:val="00CE4523"/>
    <w:rsid w:val="00D62575"/>
    <w:rsid w:val="00DA7ABA"/>
    <w:rsid w:val="00DA7D0E"/>
    <w:rsid w:val="00DB3111"/>
    <w:rsid w:val="00DD2EFC"/>
    <w:rsid w:val="00E14A7F"/>
    <w:rsid w:val="00E20763"/>
    <w:rsid w:val="00E25705"/>
    <w:rsid w:val="00E32495"/>
    <w:rsid w:val="00E37361"/>
    <w:rsid w:val="00E80CA8"/>
    <w:rsid w:val="00E84326"/>
    <w:rsid w:val="00E9220F"/>
    <w:rsid w:val="00EA5709"/>
    <w:rsid w:val="00EE047A"/>
    <w:rsid w:val="00F10A5F"/>
    <w:rsid w:val="00F21569"/>
    <w:rsid w:val="00F860CA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564C"/>
  <w15:chartTrackingRefBased/>
  <w15:docId w15:val="{A63FF751-0BEF-FB44-9573-18AB3FD1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E5B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1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1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73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2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D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E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6C"/>
  </w:style>
  <w:style w:type="character" w:styleId="PageNumber">
    <w:name w:val="page number"/>
    <w:basedOn w:val="DefaultParagraphFont"/>
    <w:uiPriority w:val="99"/>
    <w:semiHidden/>
    <w:unhideWhenUsed/>
    <w:rsid w:val="00BE726C"/>
  </w:style>
  <w:style w:type="paragraph" w:styleId="Revision">
    <w:name w:val="Revision"/>
    <w:hidden/>
    <w:uiPriority w:val="99"/>
    <w:semiHidden/>
    <w:rsid w:val="00906EC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4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D2F"/>
    <w:pPr>
      <w:tabs>
        <w:tab w:val="center" w:pos="4536"/>
        <w:tab w:val="right" w:pos="9072"/>
      </w:tabs>
      <w:spacing w:before="120"/>
    </w:pPr>
    <w:rPr>
      <w:rFonts w:ascii="Times New Roman" w:eastAsia="Calibri" w:hAnsi="Times New Roman" w:cs="Arial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C75D2F"/>
    <w:rPr>
      <w:rFonts w:ascii="Times New Roman" w:eastAsia="Calibri" w:hAnsi="Times New Roman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5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4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fin.gov.rs/wp-content/uploads/2020/09/Tabela-1-Osnovni-makroekonomski-indikatori-20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kacije.stat.gov.rs/G2019/Pdf/G2019108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jalnoukljucivanje.gov.rs/wp-content/uploads/2020/10/APD_Apsolutno_siromastvo_2006-2019_lat.xls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ocijalnoukljucivanje.gov.rs/wp-content/uploads/2020/07/Analiza_dohotka_najsiromasnijih_decila_stanovnistva_Srbije_Fokus_na_poljoprivredu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kacije.stat.gov.rs/G2019/Pdf/G2019104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paJo\Documents\SIPRU%20Corona\Sajt\Vesti\39.%20Medjunarodni%20dan%20siromastva\2.%20paket\Saopstenje%20SIPR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>
                <a:solidFill>
                  <a:schemeClr val="tx1"/>
                </a:solidFill>
                <a:latin typeface="+mn-lt"/>
              </a:rPr>
              <a:t>Javni rashodi - Socijalna pomoć i transferi, milijarde dinara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'[Saopstenje SIPRU.xlsx]Sheet2'!$V$2</c:f>
              <c:strCache>
                <c:ptCount val="1"/>
                <c:pt idx="0">
                  <c:v>Penzije</c:v>
                </c:pt>
              </c:strCache>
            </c:strRef>
          </c:tx>
          <c:spPr>
            <a:solidFill>
              <a:schemeClr val="accent1"/>
            </a:solidFill>
            <a:ln w="25400">
              <a:noFill/>
            </a:ln>
            <a:effectLst/>
          </c:spPr>
          <c:cat>
            <c:strRef>
              <c:f>'[Saopstenje SIPRU.xlsx]Sheet2'!$W$1:$AB$1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Mart</c:v>
                </c:pt>
                <c:pt idx="3">
                  <c:v>April</c:v>
                </c:pt>
                <c:pt idx="4">
                  <c:v>Maj</c:v>
                </c:pt>
                <c:pt idx="5">
                  <c:v>Jun</c:v>
                </c:pt>
              </c:strCache>
            </c:strRef>
          </c:cat>
          <c:val>
            <c:numRef>
              <c:f>'[Saopstenje SIPRU.xlsx]Sheet2'!$W$2:$AB$2</c:f>
              <c:numCache>
                <c:formatCode>_ * #,##0.0_)_ ;_ * \(#,##0.0\)_ ;_ * "-"_)_ ;_ @_ </c:formatCode>
                <c:ptCount val="6"/>
                <c:pt idx="0">
                  <c:v>47.092400000000005</c:v>
                </c:pt>
                <c:pt idx="1">
                  <c:v>48.8386</c:v>
                </c:pt>
                <c:pt idx="2">
                  <c:v>48.9283</c:v>
                </c:pt>
                <c:pt idx="3">
                  <c:v>48.940199999999997</c:v>
                </c:pt>
                <c:pt idx="4">
                  <c:v>48.767499999999998</c:v>
                </c:pt>
                <c:pt idx="5">
                  <c:v>48.6404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5-4FF1-BDA1-1EA3B4591600}"/>
            </c:ext>
          </c:extLst>
        </c:ser>
        <c:ser>
          <c:idx val="1"/>
          <c:order val="1"/>
          <c:tx>
            <c:strRef>
              <c:f>'[Saopstenje SIPRU.xlsx]Sheet2'!$V$3</c:f>
              <c:strCache>
                <c:ptCount val="1"/>
                <c:pt idx="0">
                  <c:v>Naknade nezaposlenim licima 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/>
          </c:spPr>
          <c:cat>
            <c:strRef>
              <c:f>'[Saopstenje SIPRU.xlsx]Sheet2'!$W$1:$AB$1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Mart</c:v>
                </c:pt>
                <c:pt idx="3">
                  <c:v>April</c:v>
                </c:pt>
                <c:pt idx="4">
                  <c:v>Maj</c:v>
                </c:pt>
                <c:pt idx="5">
                  <c:v>Jun</c:v>
                </c:pt>
              </c:strCache>
            </c:strRef>
          </c:cat>
          <c:val>
            <c:numRef>
              <c:f>'[Saopstenje SIPRU.xlsx]Sheet2'!$W$3:$AB$3</c:f>
              <c:numCache>
                <c:formatCode>_ * #,##0.0_)_ ;_ * \(#,##0.0\)_ ;_ * "-"_)_ ;_ @_ </c:formatCode>
                <c:ptCount val="6"/>
                <c:pt idx="0">
                  <c:v>0.63790000000000002</c:v>
                </c:pt>
                <c:pt idx="1">
                  <c:v>0.68229999999999991</c:v>
                </c:pt>
                <c:pt idx="2">
                  <c:v>0.67320000000000002</c:v>
                </c:pt>
                <c:pt idx="3">
                  <c:v>0.63109999999999999</c:v>
                </c:pt>
                <c:pt idx="4">
                  <c:v>0.64129999999999998</c:v>
                </c:pt>
                <c:pt idx="5">
                  <c:v>0.6825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C5-4FF1-BDA1-1EA3B4591600}"/>
            </c:ext>
          </c:extLst>
        </c:ser>
        <c:ser>
          <c:idx val="2"/>
          <c:order val="2"/>
          <c:tx>
            <c:strRef>
              <c:f>'[Saopstenje SIPRU.xlsx]Sheet2'!$V$4</c:f>
              <c:strCache>
                <c:ptCount val="1"/>
                <c:pt idx="0">
                  <c:v>Naknade za bolovanja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strRef>
              <c:f>'[Saopstenje SIPRU.xlsx]Sheet2'!$W$1:$AB$1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Mart</c:v>
                </c:pt>
                <c:pt idx="3">
                  <c:v>April</c:v>
                </c:pt>
                <c:pt idx="4">
                  <c:v>Maj</c:v>
                </c:pt>
                <c:pt idx="5">
                  <c:v>Jun</c:v>
                </c:pt>
              </c:strCache>
            </c:strRef>
          </c:cat>
          <c:val>
            <c:numRef>
              <c:f>'[Saopstenje SIPRU.xlsx]Sheet2'!$W$4:$AB$4</c:f>
              <c:numCache>
                <c:formatCode>_ * #,##0.0_)_ ;_ * \(#,##0.0\)_ ;_ * "-"_)_ ;_ @_ </c:formatCode>
                <c:ptCount val="6"/>
                <c:pt idx="0">
                  <c:v>0.91079999999999994</c:v>
                </c:pt>
                <c:pt idx="1">
                  <c:v>0.84639999999999993</c:v>
                </c:pt>
                <c:pt idx="2">
                  <c:v>0.89629999999999999</c:v>
                </c:pt>
                <c:pt idx="3">
                  <c:v>0.63339999999999996</c:v>
                </c:pt>
                <c:pt idx="4">
                  <c:v>0.6362000000000001</c:v>
                </c:pt>
                <c:pt idx="5">
                  <c:v>1.1832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C5-4FF1-BDA1-1EA3B4591600}"/>
            </c:ext>
          </c:extLst>
        </c:ser>
        <c:ser>
          <c:idx val="3"/>
          <c:order val="3"/>
          <c:tx>
            <c:strRef>
              <c:f>'[Saopstenje SIPRU.xlsx]Sheet2'!$V$5</c:f>
              <c:strCache>
                <c:ptCount val="1"/>
                <c:pt idx="0">
                  <c:v>Socijalna pomoć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cat>
            <c:strRef>
              <c:f>'[Saopstenje SIPRU.xlsx]Sheet2'!$W$1:$AB$1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Mart</c:v>
                </c:pt>
                <c:pt idx="3">
                  <c:v>April</c:v>
                </c:pt>
                <c:pt idx="4">
                  <c:v>Maj</c:v>
                </c:pt>
                <c:pt idx="5">
                  <c:v>Jun</c:v>
                </c:pt>
              </c:strCache>
            </c:strRef>
          </c:cat>
          <c:val>
            <c:numRef>
              <c:f>'[Saopstenje SIPRU.xlsx]Sheet2'!$W$5:$AB$5</c:f>
              <c:numCache>
                <c:formatCode>_ * #,##0.0_)_ ;_ * \(#,##0.0\)_ ;_ * "-"_)_ ;_ @_ </c:formatCode>
                <c:ptCount val="6"/>
                <c:pt idx="0">
                  <c:v>11.9504</c:v>
                </c:pt>
                <c:pt idx="1">
                  <c:v>13.0626</c:v>
                </c:pt>
                <c:pt idx="2">
                  <c:v>12.728399999999999</c:v>
                </c:pt>
                <c:pt idx="3">
                  <c:v>12.989100000000001</c:v>
                </c:pt>
                <c:pt idx="4">
                  <c:v>12.490399999999999</c:v>
                </c:pt>
                <c:pt idx="5">
                  <c:v>12.457799999999999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C5-4FF1-BDA1-1EA3B4591600}"/>
            </c:ext>
          </c:extLst>
        </c:ser>
        <c:ser>
          <c:idx val="4"/>
          <c:order val="4"/>
          <c:tx>
            <c:strRef>
              <c:f>'[Saopstenje SIPRU.xlsx]Sheet2'!$V$6</c:f>
              <c:strCache>
                <c:ptCount val="1"/>
                <c:pt idx="0">
                  <c:v>Ostali transferi domaćinstvima 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cat>
            <c:strRef>
              <c:f>'[Saopstenje SIPRU.xlsx]Sheet2'!$W$1:$AB$1</c:f>
              <c:strCache>
                <c:ptCount val="6"/>
                <c:pt idx="0">
                  <c:v>Januar</c:v>
                </c:pt>
                <c:pt idx="1">
                  <c:v>Februar</c:v>
                </c:pt>
                <c:pt idx="2">
                  <c:v>Mart</c:v>
                </c:pt>
                <c:pt idx="3">
                  <c:v>April</c:v>
                </c:pt>
                <c:pt idx="4">
                  <c:v>Maj</c:v>
                </c:pt>
                <c:pt idx="5">
                  <c:v>Jun</c:v>
                </c:pt>
              </c:strCache>
            </c:strRef>
          </c:cat>
          <c:val>
            <c:numRef>
              <c:f>'[Saopstenje SIPRU.xlsx]Sheet2'!$W$6:$AB$6</c:f>
              <c:numCache>
                <c:formatCode>_ * #,##0.0_)_ ;_ * \(#,##0.0\)_ ;_ * "-"_)_ ;_ @_ </c:formatCode>
                <c:ptCount val="6"/>
                <c:pt idx="0">
                  <c:v>2.4485999999999999</c:v>
                </c:pt>
                <c:pt idx="1">
                  <c:v>2.5393000000000003</c:v>
                </c:pt>
                <c:pt idx="2">
                  <c:v>2.4041999999999999</c:v>
                </c:pt>
                <c:pt idx="3">
                  <c:v>8.8574000000000002</c:v>
                </c:pt>
                <c:pt idx="4">
                  <c:v>2.3044000000000002</c:v>
                </c:pt>
                <c:pt idx="5">
                  <c:v>2.8210000000000002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C5-4FF1-BDA1-1EA3B4591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2052480"/>
        <c:axId val="1362056832"/>
      </c:areaChart>
      <c:catAx>
        <c:axId val="13620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2056832"/>
        <c:crosses val="autoZero"/>
        <c:auto val="1"/>
        <c:lblAlgn val="ctr"/>
        <c:lblOffset val="100"/>
        <c:noMultiLvlLbl val="0"/>
      </c:catAx>
      <c:valAx>
        <c:axId val="136205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,##0.0_)_ ;_ * \(#,##0.0\)_ ;_ * &quot;-&quot;_)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20524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3F080-4799-4FD8-B6CC-34AFA5B3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Mladenovic</dc:creator>
  <cp:keywords/>
  <dc:description/>
  <cp:lastModifiedBy>Jovana Ilic</cp:lastModifiedBy>
  <cp:revision>3</cp:revision>
  <cp:lastPrinted>2020-10-21T14:05:00Z</cp:lastPrinted>
  <dcterms:created xsi:type="dcterms:W3CDTF">2020-10-21T14:05:00Z</dcterms:created>
  <dcterms:modified xsi:type="dcterms:W3CDTF">2020-10-21T14:10:00Z</dcterms:modified>
</cp:coreProperties>
</file>