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650A7" w14:textId="1320D150" w:rsidR="00620341" w:rsidRPr="008167D4" w:rsidRDefault="00337231" w:rsidP="00460E47">
      <w:pPr>
        <w:pStyle w:val="Naslov"/>
        <w:jc w:val="center"/>
        <w:rPr>
          <w:rFonts w:ascii="Arial" w:hAnsi="Arial" w:cs="Arial"/>
          <w:noProof/>
          <w:color w:val="2F5496" w:themeColor="accent1" w:themeShade="BF"/>
          <w:lang w:val="sr-Latn-RS"/>
        </w:rPr>
      </w:pPr>
      <w:r w:rsidRPr="008167D4">
        <w:rPr>
          <w:rFonts w:ascii="Arial" w:hAnsi="Arial" w:cs="Arial"/>
          <w:noProof/>
          <w:color w:val="2F5496" w:themeColor="accent1" w:themeShade="BF"/>
          <w:sz w:val="44"/>
          <w:szCs w:val="44"/>
          <w:lang w:val="sr-Latn-RS"/>
        </w:rPr>
        <w:t>DECILNA RASPODELA POTROŠNjE I PRIHODA U REPUBLICI SRBIJI U 201</w:t>
      </w:r>
      <w:r w:rsidR="00460A92">
        <w:rPr>
          <w:rFonts w:ascii="Arial" w:hAnsi="Arial" w:cs="Arial"/>
          <w:noProof/>
          <w:color w:val="2F5496" w:themeColor="accent1" w:themeShade="BF"/>
          <w:sz w:val="44"/>
          <w:szCs w:val="44"/>
          <w:lang w:val="sr-Latn-RS"/>
        </w:rPr>
        <w:t>9</w:t>
      </w:r>
      <w:r w:rsidRPr="008167D4">
        <w:rPr>
          <w:rFonts w:ascii="Arial" w:hAnsi="Arial" w:cs="Arial"/>
          <w:noProof/>
          <w:color w:val="2F5496" w:themeColor="accent1" w:themeShade="BF"/>
          <w:sz w:val="44"/>
          <w:szCs w:val="44"/>
          <w:lang w:val="sr-Latn-RS"/>
        </w:rPr>
        <w:t>. GODINI</w:t>
      </w:r>
    </w:p>
    <w:p w14:paraId="08311E97" w14:textId="77777777" w:rsidR="00620341" w:rsidRPr="008167D4" w:rsidRDefault="00620341" w:rsidP="00CC7346">
      <w:pPr>
        <w:shd w:val="clear" w:color="auto" w:fill="FFFFFF"/>
        <w:spacing w:before="120" w:after="120"/>
        <w:jc w:val="both"/>
        <w:rPr>
          <w:rFonts w:ascii="Arial" w:hAnsi="Arial" w:cs="Arial"/>
          <w:noProof/>
          <w:sz w:val="21"/>
          <w:lang w:val="sr-Latn-RS"/>
        </w:rPr>
      </w:pPr>
    </w:p>
    <w:p w14:paraId="4F171C48" w14:textId="66C05C80" w:rsidR="0048214E" w:rsidRPr="008167D4" w:rsidRDefault="00337231" w:rsidP="00CC7346">
      <w:pPr>
        <w:shd w:val="clear" w:color="auto" w:fill="FFFFFF"/>
        <w:spacing w:before="120" w:after="120"/>
        <w:jc w:val="both"/>
        <w:rPr>
          <w:rFonts w:ascii="Arial" w:hAnsi="Arial" w:cs="Arial"/>
          <w:noProof/>
          <w:sz w:val="21"/>
          <w:lang w:val="sr-Latn-RS"/>
        </w:rPr>
      </w:pPr>
      <w:r w:rsidRPr="008167D4">
        <w:rPr>
          <w:rFonts w:ascii="Arial" w:hAnsi="Arial" w:cs="Arial"/>
          <w:noProof/>
          <w:sz w:val="21"/>
          <w:lang w:val="sr-Latn-RS"/>
        </w:rPr>
        <w:t>Decilna raspodela potrošnje/prihoda u 201</w:t>
      </w:r>
      <w:r w:rsidR="00115526">
        <w:rPr>
          <w:rFonts w:ascii="Arial" w:hAnsi="Arial" w:cs="Arial"/>
          <w:noProof/>
          <w:sz w:val="21"/>
          <w:lang w:val="sr-Latn-RS"/>
        </w:rPr>
        <w:t>9</w:t>
      </w:r>
      <w:r w:rsidRPr="008167D4">
        <w:rPr>
          <w:rFonts w:ascii="Arial" w:hAnsi="Arial" w:cs="Arial"/>
          <w:noProof/>
          <w:sz w:val="21"/>
          <w:lang w:val="sr-Latn-RS"/>
        </w:rPr>
        <w:t xml:space="preserve">. godini, potvrđuje opšte trendove raspodele koji su bili prisutni i u </w:t>
      </w:r>
      <w:hyperlink r:id="rId7" w:history="1">
        <w:r w:rsidRPr="008167D4">
          <w:rPr>
            <w:rStyle w:val="Hiperveza"/>
            <w:rFonts w:ascii="Arial" w:hAnsi="Arial" w:cs="Arial"/>
            <w:noProof/>
            <w:sz w:val="21"/>
            <w:lang w:val="sr-Latn-RS"/>
          </w:rPr>
          <w:t>prethodnom periodu</w:t>
        </w:r>
      </w:hyperlink>
      <w:r w:rsidRPr="008167D4">
        <w:rPr>
          <w:rFonts w:ascii="Arial" w:hAnsi="Arial" w:cs="Arial"/>
          <w:noProof/>
          <w:sz w:val="21"/>
          <w:lang w:val="sr-Latn-RS"/>
        </w:rPr>
        <w:t xml:space="preserve">, </w:t>
      </w:r>
      <w:r w:rsidRPr="009A48CE">
        <w:rPr>
          <w:rFonts w:ascii="Arial" w:hAnsi="Arial" w:cs="Arial"/>
          <w:noProof/>
          <w:sz w:val="21"/>
          <w:lang w:val="sr-Latn-RS"/>
        </w:rPr>
        <w:t xml:space="preserve">ali i ukazuje na </w:t>
      </w:r>
      <w:r w:rsidR="009A48CE">
        <w:rPr>
          <w:rFonts w:ascii="Arial" w:hAnsi="Arial" w:cs="Arial"/>
          <w:noProof/>
          <w:sz w:val="21"/>
          <w:lang w:val="sr-Latn-RS"/>
        </w:rPr>
        <w:t xml:space="preserve">veoma blago poboljšanje </w:t>
      </w:r>
      <w:r w:rsidRPr="009A48CE">
        <w:rPr>
          <w:rFonts w:ascii="Arial" w:hAnsi="Arial" w:cs="Arial"/>
          <w:noProof/>
          <w:sz w:val="21"/>
          <w:lang w:val="sr-Latn-RS"/>
        </w:rPr>
        <w:t xml:space="preserve">položaja siromašnijeg dela stanovništva u odnosu na </w:t>
      </w:r>
      <w:hyperlink r:id="rId8" w:history="1">
        <w:r w:rsidRPr="00477A60">
          <w:rPr>
            <w:rStyle w:val="Hiperveza"/>
            <w:rFonts w:ascii="Arial" w:hAnsi="Arial" w:cs="Arial"/>
            <w:noProof/>
            <w:sz w:val="21"/>
            <w:lang w:val="sr-Latn-RS"/>
          </w:rPr>
          <w:t>prethodnu godinu</w:t>
        </w:r>
      </w:hyperlink>
      <w:r w:rsidRPr="008167D4">
        <w:rPr>
          <w:rFonts w:ascii="Arial" w:hAnsi="Arial" w:cs="Arial"/>
          <w:noProof/>
          <w:sz w:val="21"/>
          <w:lang w:val="sr-Latn-RS"/>
        </w:rPr>
        <w:t>.</w:t>
      </w:r>
      <w:r w:rsidR="00477A60">
        <w:rPr>
          <w:rFonts w:ascii="Arial" w:hAnsi="Arial" w:cs="Arial"/>
          <w:noProof/>
          <w:sz w:val="21"/>
          <w:lang w:val="sr-Latn-RS"/>
        </w:rPr>
        <w:t xml:space="preserve"> Ipak, dugoročnije posmatrano, može se zaključiti da u poslednjih četiri do pet godina postoji primetna stagnacija položaja najsiromašnijeg dela stanovništva, prema nekoliko pokazatelja. </w:t>
      </w:r>
    </w:p>
    <w:p w14:paraId="689AC63B" w14:textId="69BB67A0" w:rsidR="00742FCC" w:rsidRPr="00217E3A" w:rsidRDefault="00337231" w:rsidP="00CC7346">
      <w:pPr>
        <w:spacing w:before="480" w:after="240"/>
        <w:jc w:val="both"/>
        <w:rPr>
          <w:rFonts w:ascii="Arial" w:hAnsi="Arial" w:cs="Arial"/>
          <w:b/>
          <w:noProof/>
          <w:sz w:val="26"/>
          <w:szCs w:val="26"/>
          <w:lang w:val="en-US"/>
        </w:rPr>
      </w:pPr>
      <w:r w:rsidRPr="008167D4">
        <w:rPr>
          <w:rFonts w:ascii="Arial" w:hAnsi="Arial" w:cs="Arial"/>
          <w:b/>
          <w:noProof/>
          <w:sz w:val="26"/>
          <w:szCs w:val="26"/>
          <w:lang w:val="sr-Latn-RS"/>
        </w:rPr>
        <w:t>Prosečna decilna potrošnja</w:t>
      </w:r>
      <w:r w:rsidR="0048214E" w:rsidRPr="008167D4">
        <w:rPr>
          <w:rFonts w:ascii="Arial" w:hAnsi="Arial" w:cs="Arial"/>
          <w:b/>
          <w:noProof/>
          <w:sz w:val="26"/>
          <w:szCs w:val="26"/>
          <w:lang w:val="sr-Latn-RS"/>
        </w:rPr>
        <w:t xml:space="preserve"> </w:t>
      </w:r>
      <w:r w:rsidR="00B10229">
        <w:rPr>
          <w:rFonts w:ascii="Arial" w:hAnsi="Arial" w:cs="Arial"/>
          <w:b/>
          <w:noProof/>
          <w:sz w:val="26"/>
          <w:szCs w:val="26"/>
          <w:lang w:val="sr-Latn-RS"/>
        </w:rPr>
        <w:t>-</w:t>
      </w:r>
      <w:r w:rsidR="00B10229">
        <w:rPr>
          <w:rFonts w:ascii="Arial" w:hAnsi="Arial" w:cs="Arial"/>
          <w:noProof/>
          <w:sz w:val="21"/>
          <w:lang w:val="sr-Latn-RS"/>
        </w:rPr>
        <w:t xml:space="preserve"> Nakon pada prosečne potrošnje prvih pet decila u 2018. godini u odnosu na 2017. godinu, u 2019. godini se beleži porast prosečne potrošnje u svim decilima, osim u desetom decilu. Ipak, u 2019. godini u odnosu na 2017. godinu, relativno posmatrano deseti decil beleži najveći porast prosečne potrošnje</w:t>
      </w:r>
      <w:r w:rsidR="00477A60">
        <w:rPr>
          <w:rFonts w:ascii="Arial" w:hAnsi="Arial" w:cs="Arial"/>
          <w:noProof/>
          <w:sz w:val="21"/>
          <w:lang w:val="sr-Latn-RS"/>
        </w:rPr>
        <w:t>, dok najsiromašniji decil beleži prilično sličan nivo iz 2017. godine</w:t>
      </w:r>
      <w:r w:rsidR="00B10229">
        <w:rPr>
          <w:rFonts w:ascii="Arial" w:hAnsi="Arial" w:cs="Arial"/>
          <w:noProof/>
          <w:sz w:val="21"/>
          <w:lang w:val="sr-Latn-RS"/>
        </w:rPr>
        <w:t>.</w:t>
      </w:r>
    </w:p>
    <w:p w14:paraId="721690A8" w14:textId="4BD2F882" w:rsidR="00742FCC" w:rsidRPr="008167D4" w:rsidRDefault="00337231" w:rsidP="00CC7346">
      <w:pPr>
        <w:shd w:val="clear" w:color="auto" w:fill="FFFFFF"/>
        <w:spacing w:before="120" w:after="120"/>
        <w:jc w:val="both"/>
        <w:rPr>
          <w:rFonts w:ascii="Arial" w:hAnsi="Arial" w:cs="Arial"/>
          <w:noProof/>
          <w:sz w:val="21"/>
          <w:lang w:val="sr-Latn-RS"/>
        </w:rPr>
      </w:pPr>
      <w:r w:rsidRPr="008167D4">
        <w:rPr>
          <w:rFonts w:ascii="Arial" w:hAnsi="Arial" w:cs="Arial"/>
          <w:noProof/>
          <w:sz w:val="21"/>
          <w:lang w:val="sr-Latn-RS"/>
        </w:rPr>
        <w:t>Prosečna mesečna potrošnja prvog decila u 201</w:t>
      </w:r>
      <w:r w:rsidR="00217E3A">
        <w:rPr>
          <w:rFonts w:ascii="Arial" w:hAnsi="Arial" w:cs="Arial"/>
          <w:noProof/>
          <w:sz w:val="21"/>
          <w:lang w:val="sr-Latn-RS"/>
        </w:rPr>
        <w:t>9</w:t>
      </w:r>
      <w:r w:rsidRPr="008167D4">
        <w:rPr>
          <w:rFonts w:ascii="Arial" w:hAnsi="Arial" w:cs="Arial"/>
          <w:noProof/>
          <w:sz w:val="21"/>
          <w:lang w:val="sr-Latn-RS"/>
        </w:rPr>
        <w:t xml:space="preserve">. godini iznosila je </w:t>
      </w:r>
      <w:r w:rsidR="00217E3A">
        <w:rPr>
          <w:rFonts w:ascii="Arial" w:hAnsi="Arial" w:cs="Arial"/>
          <w:noProof/>
          <w:sz w:val="21"/>
          <w:lang w:val="sr-Latn-RS"/>
        </w:rPr>
        <w:t>11.230</w:t>
      </w:r>
      <w:r w:rsidRPr="008167D4">
        <w:rPr>
          <w:rFonts w:ascii="Arial" w:hAnsi="Arial" w:cs="Arial"/>
          <w:noProof/>
          <w:sz w:val="21"/>
          <w:lang w:val="sr-Latn-RS"/>
        </w:rPr>
        <w:t xml:space="preserve"> dinara po potrošačkoj jedinici, dok je prosečna potrošnja desetog decila bila </w:t>
      </w:r>
      <w:r w:rsidR="00217E3A">
        <w:rPr>
          <w:rFonts w:ascii="Arial" w:hAnsi="Arial" w:cs="Arial"/>
          <w:noProof/>
          <w:sz w:val="21"/>
          <w:lang w:val="sr-Latn-RS"/>
        </w:rPr>
        <w:t>preko šest</w:t>
      </w:r>
      <w:r w:rsidRPr="008167D4">
        <w:rPr>
          <w:rFonts w:ascii="Arial" w:hAnsi="Arial" w:cs="Arial"/>
          <w:noProof/>
          <w:sz w:val="21"/>
          <w:lang w:val="sr-Latn-RS"/>
        </w:rPr>
        <w:t xml:space="preserve"> puta veća, odnosno 71.</w:t>
      </w:r>
      <w:r w:rsidR="00217E3A">
        <w:rPr>
          <w:rFonts w:ascii="Arial" w:hAnsi="Arial" w:cs="Arial"/>
          <w:noProof/>
          <w:sz w:val="21"/>
          <w:lang w:val="sr-Latn-RS"/>
        </w:rPr>
        <w:t>115</w:t>
      </w:r>
      <w:r w:rsidRPr="008167D4">
        <w:rPr>
          <w:rFonts w:ascii="Arial" w:hAnsi="Arial" w:cs="Arial"/>
          <w:noProof/>
          <w:sz w:val="21"/>
          <w:lang w:val="sr-Latn-RS"/>
        </w:rPr>
        <w:t xml:space="preserve"> dinara po potrošačkoj jedinici. </w:t>
      </w:r>
      <w:r w:rsidR="00217E3A">
        <w:rPr>
          <w:rFonts w:ascii="Arial" w:hAnsi="Arial" w:cs="Arial"/>
          <w:noProof/>
          <w:sz w:val="21"/>
          <w:lang w:val="sr-Latn-RS"/>
        </w:rPr>
        <w:t>Ovakav odnos je neprimetno bolji u odnosu na prethodnu godinu, kada je odnos bio 6,5</w:t>
      </w:r>
      <w:r w:rsidRPr="008167D4">
        <w:rPr>
          <w:rFonts w:ascii="Arial" w:hAnsi="Arial" w:cs="Arial"/>
          <w:noProof/>
          <w:sz w:val="21"/>
          <w:lang w:val="sr-Latn-RS"/>
        </w:rPr>
        <w:t xml:space="preserve">, a nepovoljniji odnos </w:t>
      </w:r>
      <w:r w:rsidR="003517FD">
        <w:rPr>
          <w:rFonts w:ascii="Arial" w:hAnsi="Arial" w:cs="Arial"/>
          <w:noProof/>
          <w:sz w:val="21"/>
          <w:lang w:val="sr-Latn-RS"/>
        </w:rPr>
        <w:t xml:space="preserve">i od ovog </w:t>
      </w:r>
      <w:r w:rsidRPr="008167D4">
        <w:rPr>
          <w:rFonts w:ascii="Arial" w:hAnsi="Arial" w:cs="Arial"/>
          <w:noProof/>
          <w:sz w:val="21"/>
          <w:lang w:val="sr-Latn-RS"/>
        </w:rPr>
        <w:t>zabeležen je tek 2006. godine</w:t>
      </w:r>
      <w:r w:rsidR="00742FCC" w:rsidRPr="008167D4">
        <w:rPr>
          <w:rFonts w:ascii="Arial" w:hAnsi="Arial" w:cs="Arial"/>
          <w:noProof/>
          <w:sz w:val="21"/>
          <w:lang w:val="sr-Latn-RS"/>
        </w:rPr>
        <w:t>.</w:t>
      </w:r>
      <w:r w:rsidR="00072F33" w:rsidRPr="008167D4">
        <w:rPr>
          <w:rFonts w:ascii="Arial" w:hAnsi="Arial" w:cs="Arial"/>
          <w:noProof/>
          <w:sz w:val="21"/>
          <w:lang w:val="sr-Latn-RS"/>
        </w:rPr>
        <w:t xml:space="preserve"> </w:t>
      </w:r>
    </w:p>
    <w:p w14:paraId="4BFD7F71" w14:textId="456FC340" w:rsidR="00620341" w:rsidRDefault="00337231" w:rsidP="00CC7346">
      <w:pPr>
        <w:shd w:val="clear" w:color="auto" w:fill="FFFFFF"/>
        <w:spacing w:before="120" w:after="120"/>
        <w:jc w:val="both"/>
        <w:rPr>
          <w:rFonts w:ascii="Arial" w:hAnsi="Arial" w:cs="Arial"/>
          <w:noProof/>
          <w:sz w:val="21"/>
          <w:lang w:val="sr-Latn-RS"/>
        </w:rPr>
      </w:pPr>
      <w:r w:rsidRPr="008167D4">
        <w:rPr>
          <w:rFonts w:ascii="Arial" w:hAnsi="Arial" w:cs="Arial"/>
          <w:noProof/>
          <w:sz w:val="21"/>
          <w:lang w:val="sr-Latn-RS"/>
        </w:rPr>
        <w:t xml:space="preserve">Gornja tačka preseka najsiromašnijeg decila potrošnje koja pokazuje najvišu ekvivalentnu potrošnju u ovom segmentu populacije </w:t>
      </w:r>
      <w:r w:rsidR="00216B86">
        <w:rPr>
          <w:rFonts w:ascii="Arial" w:hAnsi="Arial" w:cs="Arial"/>
          <w:noProof/>
          <w:sz w:val="21"/>
          <w:lang w:val="sr-Latn-RS"/>
        </w:rPr>
        <w:t xml:space="preserve">u 2019. godini je iznosila </w:t>
      </w:r>
      <w:r w:rsidR="00C452C2">
        <w:rPr>
          <w:rFonts w:ascii="Arial" w:hAnsi="Arial" w:cs="Arial"/>
          <w:noProof/>
          <w:sz w:val="21"/>
          <w:lang w:val="sr-Latn-RS"/>
        </w:rPr>
        <w:t>14.320</w:t>
      </w:r>
      <w:r w:rsidRPr="008167D4">
        <w:rPr>
          <w:rFonts w:ascii="Arial" w:hAnsi="Arial" w:cs="Arial"/>
          <w:noProof/>
          <w:sz w:val="21"/>
          <w:lang w:val="sr-Latn-RS"/>
        </w:rPr>
        <w:t xml:space="preserve"> dinara mesečno</w:t>
      </w:r>
      <w:r w:rsidR="00C452C2">
        <w:rPr>
          <w:rFonts w:ascii="Arial" w:hAnsi="Arial" w:cs="Arial"/>
          <w:noProof/>
          <w:sz w:val="21"/>
          <w:lang w:val="sr-Latn-RS"/>
        </w:rPr>
        <w:t>, dok je 2018. godine iznosila 13.894 dinara.</w:t>
      </w:r>
      <w:bookmarkStart w:id="0" w:name="_GoBack"/>
      <w:bookmarkEnd w:id="0"/>
    </w:p>
    <w:p w14:paraId="4098023D" w14:textId="77777777" w:rsidR="00317F25" w:rsidRPr="00317F25" w:rsidRDefault="00317F25" w:rsidP="00CC7346">
      <w:pPr>
        <w:shd w:val="clear" w:color="auto" w:fill="FFFFFF"/>
        <w:spacing w:before="120" w:after="120"/>
        <w:jc w:val="both"/>
        <w:rPr>
          <w:rFonts w:ascii="Arial" w:hAnsi="Arial" w:cs="Arial"/>
          <w:noProof/>
          <w:sz w:val="13"/>
          <w:szCs w:val="15"/>
          <w:lang w:val="sr-Latn-RS"/>
        </w:rPr>
      </w:pPr>
    </w:p>
    <w:p w14:paraId="4C4A166D" w14:textId="7A360C56" w:rsidR="00CE2A42" w:rsidRDefault="00337231" w:rsidP="00812C5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noProof/>
          <w:sz w:val="18"/>
          <w:szCs w:val="20"/>
          <w:lang w:val="sr-Latn-RS"/>
        </w:rPr>
      </w:pPr>
      <w:r w:rsidRPr="008167D4">
        <w:rPr>
          <w:rFonts w:ascii="Arial" w:hAnsi="Arial" w:cs="Arial"/>
          <w:b/>
          <w:bCs/>
          <w:noProof/>
          <w:sz w:val="18"/>
          <w:szCs w:val="20"/>
          <w:lang w:val="sr-Latn-RS"/>
        </w:rPr>
        <w:t>Grafikon 1. Prosečna mesečna potrošnja po potrošačkoj jedinici, po decilima, RSD</w:t>
      </w:r>
    </w:p>
    <w:p w14:paraId="570EFE9F" w14:textId="10A26CAC" w:rsidR="00620341" w:rsidRPr="00A54246" w:rsidRDefault="00115526" w:rsidP="00812C5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noProof/>
          <w:sz w:val="18"/>
          <w:szCs w:val="20"/>
          <w:lang w:val="sr-Latn-RS"/>
        </w:rPr>
      </w:pPr>
      <w:r>
        <w:rPr>
          <w:noProof/>
          <w:lang w:bidi="ar-SA"/>
        </w:rPr>
        <w:drawing>
          <wp:inline distT="0" distB="0" distL="0" distR="0" wp14:anchorId="422FB12A" wp14:editId="2C714374">
            <wp:extent cx="5727700" cy="3322320"/>
            <wp:effectExtent l="0" t="0" r="6350" b="1143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3ADBBB6-6D4E-400B-A5FF-D013378DB19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EF384C1" w14:textId="2E260307" w:rsidR="00337231" w:rsidRPr="008167D4" w:rsidRDefault="00337231" w:rsidP="00337231">
      <w:pPr>
        <w:spacing w:after="0" w:line="240" w:lineRule="auto"/>
        <w:jc w:val="both"/>
        <w:rPr>
          <w:rFonts w:ascii="Arial" w:hAnsi="Arial" w:cs="Arial"/>
          <w:i/>
          <w:noProof/>
          <w:color w:val="000000" w:themeColor="text1"/>
          <w:sz w:val="15"/>
          <w:szCs w:val="16"/>
          <w:lang w:val="sr-Latn-RS"/>
        </w:rPr>
      </w:pPr>
      <w:r w:rsidRPr="008167D4">
        <w:rPr>
          <w:rFonts w:ascii="Arial" w:hAnsi="Arial" w:cs="Arial"/>
          <w:i/>
          <w:noProof/>
          <w:color w:val="000000" w:themeColor="text1"/>
          <w:sz w:val="15"/>
          <w:szCs w:val="16"/>
          <w:lang w:val="sr-Latn-RS"/>
        </w:rPr>
        <w:t>Izvor: Anketa o potrošnji domaćinstava, Republički zavod za statistiku, 201</w:t>
      </w:r>
      <w:r w:rsidR="007A10A9">
        <w:rPr>
          <w:rFonts w:ascii="Arial" w:hAnsi="Arial" w:cs="Arial"/>
          <w:i/>
          <w:noProof/>
          <w:color w:val="000000" w:themeColor="text1"/>
          <w:sz w:val="15"/>
          <w:szCs w:val="16"/>
          <w:lang w:val="sr-Latn-RS"/>
        </w:rPr>
        <w:t>9</w:t>
      </w:r>
      <w:r w:rsidRPr="008167D4">
        <w:rPr>
          <w:rFonts w:ascii="Arial" w:hAnsi="Arial" w:cs="Arial"/>
          <w:i/>
          <w:noProof/>
          <w:color w:val="000000" w:themeColor="text1"/>
          <w:sz w:val="15"/>
          <w:szCs w:val="16"/>
          <w:lang w:val="sr-Latn-RS"/>
        </w:rPr>
        <w:t xml:space="preserve">. </w:t>
      </w:r>
    </w:p>
    <w:p w14:paraId="6E73FA47" w14:textId="1F38A93F" w:rsidR="00BB5E07" w:rsidRPr="008167D4" w:rsidRDefault="00337231" w:rsidP="00337231">
      <w:pPr>
        <w:spacing w:after="0" w:line="240" w:lineRule="auto"/>
        <w:jc w:val="both"/>
        <w:rPr>
          <w:rFonts w:ascii="Arial" w:hAnsi="Arial" w:cs="Arial"/>
          <w:i/>
          <w:noProof/>
          <w:color w:val="000000" w:themeColor="text1"/>
          <w:sz w:val="15"/>
          <w:szCs w:val="16"/>
          <w:lang w:val="sr-Latn-RS"/>
        </w:rPr>
      </w:pPr>
      <w:r w:rsidRPr="008167D4">
        <w:rPr>
          <w:rFonts w:ascii="Arial" w:hAnsi="Arial" w:cs="Arial"/>
          <w:i/>
          <w:noProof/>
          <w:color w:val="000000" w:themeColor="text1"/>
          <w:sz w:val="15"/>
          <w:szCs w:val="16"/>
          <w:lang w:val="sr-Latn-RS"/>
        </w:rPr>
        <w:t>Posebna obrada za potrebe Tima za socijalno uključivanje i smanjenje siromaštva Vlade Republike Srbije</w:t>
      </w:r>
    </w:p>
    <w:p w14:paraId="4810DED2" w14:textId="77777777" w:rsidR="00812C52" w:rsidRPr="008167D4" w:rsidRDefault="00812C52" w:rsidP="0018245D">
      <w:pPr>
        <w:shd w:val="clear" w:color="auto" w:fill="FFFFFF"/>
        <w:spacing w:before="120" w:after="120"/>
        <w:jc w:val="both"/>
        <w:rPr>
          <w:rFonts w:ascii="Arial" w:hAnsi="Arial" w:cs="Arial"/>
          <w:b/>
          <w:noProof/>
          <w:sz w:val="26"/>
          <w:szCs w:val="26"/>
          <w:lang w:val="sr-Latn-RS"/>
        </w:rPr>
      </w:pPr>
    </w:p>
    <w:p w14:paraId="2B8C906C" w14:textId="31038FAC" w:rsidR="00FF5B2A" w:rsidRPr="008167D4" w:rsidRDefault="00337231" w:rsidP="0018245D">
      <w:pPr>
        <w:shd w:val="clear" w:color="auto" w:fill="FFFFFF"/>
        <w:spacing w:before="120" w:after="120"/>
        <w:jc w:val="both"/>
        <w:rPr>
          <w:rFonts w:ascii="Arial" w:hAnsi="Arial" w:cs="Arial"/>
          <w:noProof/>
          <w:sz w:val="21"/>
          <w:lang w:val="sr-Latn-RS"/>
        </w:rPr>
      </w:pPr>
      <w:r w:rsidRPr="008167D4">
        <w:rPr>
          <w:rFonts w:ascii="Arial" w:hAnsi="Arial" w:cs="Arial"/>
          <w:b/>
          <w:noProof/>
          <w:sz w:val="26"/>
          <w:szCs w:val="26"/>
          <w:lang w:val="sr-Latn-RS"/>
        </w:rPr>
        <w:t xml:space="preserve">Prosečni decilni prihod </w:t>
      </w:r>
      <w:r w:rsidR="00CC7346" w:rsidRPr="008167D4">
        <w:rPr>
          <w:rFonts w:ascii="Arial" w:hAnsi="Arial" w:cs="Arial"/>
          <w:b/>
          <w:noProof/>
          <w:sz w:val="26"/>
          <w:szCs w:val="26"/>
          <w:lang w:val="sr-Latn-RS"/>
        </w:rPr>
        <w:t>-</w:t>
      </w:r>
      <w:r w:rsidR="00CC7346" w:rsidRPr="008167D4">
        <w:rPr>
          <w:rFonts w:ascii="Arial" w:hAnsi="Arial" w:cs="Arial"/>
          <w:noProof/>
          <w:sz w:val="21"/>
          <w:lang w:val="sr-Latn-RS"/>
        </w:rPr>
        <w:t xml:space="preserve"> </w:t>
      </w:r>
      <w:r w:rsidR="003517FD">
        <w:rPr>
          <w:rFonts w:ascii="Arial" w:hAnsi="Arial" w:cs="Arial"/>
          <w:noProof/>
          <w:sz w:val="21"/>
          <w:lang w:val="sr-Latn-RS"/>
        </w:rPr>
        <w:t>U odnosu na 2018. godinu, prosečni prihod se povećao u svim decilima, osim u desetom decilu, gde je neznatno opao. Odnos prosečnog prihoda desetog i prvog decila je u 2019. godini iznosio nešto niže od 7</w:t>
      </w:r>
      <w:r w:rsidR="00B21EFE">
        <w:rPr>
          <w:rFonts w:ascii="Arial" w:hAnsi="Arial" w:cs="Arial"/>
          <w:noProof/>
          <w:sz w:val="21"/>
          <w:lang w:val="sr-Latn-RS"/>
        </w:rPr>
        <w:t xml:space="preserve">. Jedino je 2011. godine bio manji odnos i iznosio je 6,83, dok je prosečni </w:t>
      </w:r>
      <w:r w:rsidR="00477A60">
        <w:rPr>
          <w:rFonts w:ascii="Arial" w:hAnsi="Arial" w:cs="Arial"/>
          <w:noProof/>
          <w:sz w:val="21"/>
          <w:lang w:val="sr-Latn-RS"/>
        </w:rPr>
        <w:t xml:space="preserve">pomenuti </w:t>
      </w:r>
      <w:r w:rsidR="00B21EFE">
        <w:rPr>
          <w:rFonts w:ascii="Arial" w:hAnsi="Arial" w:cs="Arial"/>
          <w:noProof/>
          <w:sz w:val="21"/>
          <w:lang w:val="sr-Latn-RS"/>
        </w:rPr>
        <w:t xml:space="preserve">odnos u periodu od 2006. godine do 2019. godne iznosio 7,95. Prosečni prihod prvog decila je 2019. godine iznosio 11.703 dinara po potrošačkoj jedinici, dok je prosečni prihod </w:t>
      </w:r>
      <w:r w:rsidR="00477A60">
        <w:rPr>
          <w:rFonts w:ascii="Arial" w:hAnsi="Arial" w:cs="Arial"/>
          <w:noProof/>
          <w:sz w:val="21"/>
          <w:lang w:val="sr-Latn-RS"/>
        </w:rPr>
        <w:t>desetog</w:t>
      </w:r>
      <w:r w:rsidR="00B21EFE">
        <w:rPr>
          <w:rFonts w:ascii="Arial" w:hAnsi="Arial" w:cs="Arial"/>
          <w:noProof/>
          <w:sz w:val="21"/>
          <w:lang w:val="sr-Latn-RS"/>
        </w:rPr>
        <w:t xml:space="preserve"> decila iznosio 81.680 dinara. </w:t>
      </w:r>
    </w:p>
    <w:p w14:paraId="2E0B30CA" w14:textId="521C18A3" w:rsidR="00D978E0" w:rsidRPr="008167D4" w:rsidRDefault="00337231" w:rsidP="00CC7346">
      <w:pPr>
        <w:shd w:val="clear" w:color="auto" w:fill="FFFFFF"/>
        <w:spacing w:before="120" w:after="120"/>
        <w:jc w:val="both"/>
        <w:rPr>
          <w:rFonts w:ascii="Arial" w:hAnsi="Arial" w:cs="Arial"/>
          <w:noProof/>
          <w:sz w:val="21"/>
          <w:lang w:val="sr-Latn-RS"/>
        </w:rPr>
      </w:pPr>
      <w:r w:rsidRPr="008167D4">
        <w:rPr>
          <w:rFonts w:ascii="Arial" w:hAnsi="Arial" w:cs="Arial"/>
          <w:noProof/>
          <w:sz w:val="21"/>
          <w:lang w:val="sr-Latn-RS"/>
        </w:rPr>
        <w:t xml:space="preserve">Gornja tačka preseka najsiromašnijeg decila prihoda koja pokazuje najviši ekvivalentni prihod u ovom segmentu populacije iznosi svega </w:t>
      </w:r>
      <w:r w:rsidR="00B21EFE">
        <w:rPr>
          <w:rFonts w:ascii="Arial" w:hAnsi="Arial" w:cs="Arial"/>
          <w:noProof/>
          <w:sz w:val="21"/>
          <w:lang w:val="sr-Latn-RS"/>
        </w:rPr>
        <w:t>16.315</w:t>
      </w:r>
      <w:r w:rsidRPr="008167D4">
        <w:rPr>
          <w:rFonts w:ascii="Arial" w:hAnsi="Arial" w:cs="Arial"/>
          <w:noProof/>
          <w:sz w:val="21"/>
          <w:lang w:val="sr-Latn-RS"/>
        </w:rPr>
        <w:t xml:space="preserve"> dinara mesečno</w:t>
      </w:r>
      <w:r w:rsidR="00D978E0" w:rsidRPr="008167D4">
        <w:rPr>
          <w:rFonts w:ascii="Arial" w:hAnsi="Arial" w:cs="Arial"/>
          <w:noProof/>
          <w:sz w:val="21"/>
          <w:lang w:val="sr-Latn-RS"/>
        </w:rPr>
        <w:t>.</w:t>
      </w:r>
    </w:p>
    <w:p w14:paraId="2660D876" w14:textId="70AB854F" w:rsidR="00D978E0" w:rsidRPr="008167D4" w:rsidRDefault="00337231" w:rsidP="00CC7346">
      <w:pPr>
        <w:spacing w:before="120" w:after="240"/>
        <w:jc w:val="both"/>
        <w:rPr>
          <w:rFonts w:ascii="Arial" w:hAnsi="Arial" w:cs="Arial"/>
          <w:noProof/>
          <w:color w:val="000000" w:themeColor="text1"/>
          <w:sz w:val="21"/>
          <w:szCs w:val="21"/>
          <w:lang w:val="sr-Latn-RS"/>
        </w:rPr>
      </w:pPr>
      <w:r w:rsidRPr="008167D4">
        <w:rPr>
          <w:rFonts w:ascii="Arial" w:hAnsi="Arial" w:cs="Arial"/>
          <w:b/>
          <w:noProof/>
          <w:color w:val="000000" w:themeColor="text1"/>
          <w:sz w:val="26"/>
          <w:szCs w:val="26"/>
          <w:lang w:val="sr-Latn-RS"/>
        </w:rPr>
        <w:t>Struktura izdataka za ličnu potrošnju</w:t>
      </w:r>
      <w:r w:rsidR="00BB5E07" w:rsidRPr="008167D4">
        <w:rPr>
          <w:rFonts w:ascii="Arial" w:hAnsi="Arial" w:cs="Arial"/>
          <w:b/>
          <w:noProof/>
          <w:color w:val="000000" w:themeColor="text1"/>
          <w:sz w:val="26"/>
          <w:szCs w:val="26"/>
          <w:lang w:val="sr-Latn-RS"/>
        </w:rPr>
        <w:t xml:space="preserve"> - </w:t>
      </w:r>
      <w:r w:rsidRPr="008167D4">
        <w:rPr>
          <w:rFonts w:ascii="Arial" w:hAnsi="Arial" w:cs="Arial"/>
          <w:noProof/>
          <w:color w:val="000000" w:themeColor="text1"/>
          <w:sz w:val="21"/>
          <w:szCs w:val="21"/>
          <w:lang w:val="sr-Latn-RS"/>
          <w14:shadow w14:blurRad="50800" w14:dist="50800" w14:dir="5400000" w14:sx="0" w14:sy="0" w14:kx="0" w14:ky="0" w14:algn="ctr">
            <w14:schemeClr w14:val="tx2"/>
          </w14:shadow>
        </w:rPr>
        <w:t>U 201</w:t>
      </w:r>
      <w:r w:rsidR="007A10A9">
        <w:rPr>
          <w:rFonts w:ascii="Arial" w:hAnsi="Arial" w:cs="Arial"/>
          <w:noProof/>
          <w:color w:val="000000" w:themeColor="text1"/>
          <w:sz w:val="21"/>
          <w:szCs w:val="21"/>
          <w:lang w:val="sr-Latn-RS"/>
          <w14:shadow w14:blurRad="50800" w14:dist="50800" w14:dir="5400000" w14:sx="0" w14:sy="0" w14:kx="0" w14:ky="0" w14:algn="ctr">
            <w14:schemeClr w14:val="tx2"/>
          </w14:shadow>
        </w:rPr>
        <w:t>9</w:t>
      </w:r>
      <w:r w:rsidRPr="008167D4">
        <w:rPr>
          <w:rFonts w:ascii="Arial" w:hAnsi="Arial" w:cs="Arial"/>
          <w:noProof/>
          <w:color w:val="000000" w:themeColor="text1"/>
          <w:sz w:val="21"/>
          <w:szCs w:val="21"/>
          <w:lang w:val="sr-Latn-RS"/>
          <w14:shadow w14:blurRad="50800" w14:dist="50800" w14:dir="5400000" w14:sx="0" w14:sy="0" w14:kx="0" w14:ky="0" w14:algn="ctr">
            <w14:schemeClr w14:val="tx2"/>
          </w14:shadow>
        </w:rPr>
        <w:t>.</w:t>
      </w:r>
      <w:r w:rsidR="007A10A9">
        <w:rPr>
          <w:rFonts w:ascii="Arial" w:hAnsi="Arial" w:cs="Arial"/>
          <w:noProof/>
          <w:color w:val="000000" w:themeColor="text1"/>
          <w:sz w:val="21"/>
          <w:szCs w:val="21"/>
          <w:lang w:val="sr-Latn-RS"/>
          <w14:shadow w14:blurRad="50800" w14:dist="50800" w14:dir="5400000" w14:sx="0" w14:sy="0" w14:kx="0" w14:ky="0" w14:algn="ctr">
            <w14:schemeClr w14:val="tx2"/>
          </w14:shadow>
        </w:rPr>
        <w:t>, kao i u prethodnoj 2018. god</w:t>
      </w:r>
      <w:r w:rsidR="00477A60">
        <w:rPr>
          <w:rFonts w:ascii="Arial" w:hAnsi="Arial" w:cs="Arial"/>
          <w:noProof/>
          <w:color w:val="000000" w:themeColor="text1"/>
          <w:sz w:val="21"/>
          <w:szCs w:val="21"/>
          <w:lang w:val="sr-Latn-RS"/>
          <w14:shadow w14:blurRad="50800" w14:dist="50800" w14:dir="5400000" w14:sx="0" w14:sy="0" w14:kx="0" w14:ky="0" w14:algn="ctr">
            <w14:schemeClr w14:val="tx2"/>
          </w14:shadow>
        </w:rPr>
        <w:t>i</w:t>
      </w:r>
      <w:r w:rsidR="007A10A9">
        <w:rPr>
          <w:rFonts w:ascii="Arial" w:hAnsi="Arial" w:cs="Arial"/>
          <w:noProof/>
          <w:color w:val="000000" w:themeColor="text1"/>
          <w:sz w:val="21"/>
          <w:szCs w:val="21"/>
          <w:lang w:val="sr-Latn-RS"/>
          <w14:shadow w14:blurRad="50800" w14:dist="50800" w14:dir="5400000" w14:sx="0" w14:sy="0" w14:kx="0" w14:ky="0" w14:algn="ctr">
            <w14:schemeClr w14:val="tx2"/>
          </w14:shadow>
        </w:rPr>
        <w:t xml:space="preserve">ni </w:t>
      </w:r>
      <w:r w:rsidRPr="008167D4">
        <w:rPr>
          <w:rFonts w:ascii="Arial" w:hAnsi="Arial" w:cs="Arial"/>
          <w:noProof/>
          <w:color w:val="000000" w:themeColor="text1"/>
          <w:sz w:val="21"/>
          <w:szCs w:val="21"/>
          <w:lang w:val="sr-Latn-RS"/>
          <w14:shadow w14:blurRad="50800" w14:dist="50800" w14:dir="5400000" w14:sx="0" w14:sy="0" w14:kx="0" w14:ky="0" w14:algn="ctr">
            <w14:schemeClr w14:val="tx2"/>
          </w14:shadow>
        </w:rPr>
        <w:t xml:space="preserve">u strukturi izdataka za ličnu potrošnju kod najsiromašnijeg decila, povećava se udeo potrošnje za hranu i bezalkoholna pića u odnosu na godinu pre i čini preko polovine rashoda prvog decila. </w:t>
      </w:r>
      <w:r w:rsidR="00E62EA0">
        <w:rPr>
          <w:rFonts w:ascii="Arial" w:hAnsi="Arial" w:cs="Arial"/>
          <w:noProof/>
          <w:color w:val="000000" w:themeColor="text1"/>
          <w:sz w:val="21"/>
          <w:szCs w:val="21"/>
          <w:lang w:val="sr-Latn-RS"/>
          <w14:shadow w14:blurRad="50800" w14:dist="50800" w14:dir="5400000" w14:sx="0" w14:sy="0" w14:kx="0" w14:ky="0" w14:algn="ctr">
            <w14:schemeClr w14:val="tx2"/>
          </w14:shadow>
        </w:rPr>
        <w:t xml:space="preserve">Najveća razlika između najsiromašnijeg i najbogatijeg decila stanovništva je upravo u udelu izdataka za hranu i bezalkoholna pića u ukupnim izdacima za ličnu potrošnju. </w:t>
      </w:r>
      <w:r w:rsidRPr="008167D4">
        <w:rPr>
          <w:rFonts w:ascii="Arial" w:hAnsi="Arial" w:cs="Arial"/>
          <w:noProof/>
          <w:color w:val="000000" w:themeColor="text1"/>
          <w:sz w:val="21"/>
          <w:szCs w:val="21"/>
          <w:lang w:val="sr-Latn-RS"/>
          <w14:shadow w14:blurRad="50800" w14:dist="50800" w14:dir="5400000" w14:sx="0" w14:sy="0" w14:kx="0" w14:ky="0" w14:algn="ctr">
            <w14:schemeClr w14:val="tx2"/>
          </w14:shadow>
        </w:rPr>
        <w:t>U odnosu na najbogatiji decil, osim u ovoj stavci potrošnje, ostaju značajne razlike u udelu potrošnje koji se usmerava ka obrazovanju, rekreaciji i kulturi, transportu, restoranima i hotelima</w:t>
      </w:r>
      <w:r w:rsidR="00E62EA0">
        <w:rPr>
          <w:rFonts w:ascii="Arial" w:hAnsi="Arial" w:cs="Arial"/>
          <w:noProof/>
          <w:color w:val="000000" w:themeColor="text1"/>
          <w:sz w:val="21"/>
          <w:szCs w:val="21"/>
          <w:lang w:val="sr-Latn-RS"/>
          <w14:shadow w14:blurRad="50800" w14:dist="50800" w14:dir="5400000" w14:sx="0" w14:sy="0" w14:kx="0" w14:ky="0" w14:algn="ctr">
            <w14:schemeClr w14:val="tx2"/>
          </w14:shadow>
        </w:rPr>
        <w:t>, koji su u prvom decilu relativno</w:t>
      </w:r>
      <w:r w:rsidR="00656910">
        <w:rPr>
          <w:rFonts w:ascii="Arial" w:hAnsi="Arial" w:cs="Arial"/>
          <w:noProof/>
          <w:color w:val="000000" w:themeColor="text1"/>
          <w:sz w:val="21"/>
          <w:szCs w:val="21"/>
          <w:lang w:val="sr-Latn-RS"/>
          <w14:shadow w14:blurRad="50800" w14:dist="50800" w14:dir="5400000" w14:sx="0" w14:sy="0" w14:kx="0" w14:ky="0" w14:algn="ctr">
            <w14:schemeClr w14:val="tx2"/>
          </w14:shadow>
        </w:rPr>
        <w:t>, a naravno i apsolutno</w:t>
      </w:r>
      <w:r w:rsidR="00E62EA0">
        <w:rPr>
          <w:rFonts w:ascii="Arial" w:hAnsi="Arial" w:cs="Arial"/>
          <w:noProof/>
          <w:color w:val="000000" w:themeColor="text1"/>
          <w:sz w:val="21"/>
          <w:szCs w:val="21"/>
          <w:lang w:val="sr-Latn-RS"/>
          <w14:shadow w14:blurRad="50800" w14:dist="50800" w14:dir="5400000" w14:sx="0" w14:sy="0" w14:kx="0" w14:ky="0" w14:algn="ctr">
            <w14:schemeClr w14:val="tx2"/>
          </w14:shadow>
        </w:rPr>
        <w:t xml:space="preserve"> daleko niži od ovih udela kod najbogatijeg decila</w:t>
      </w:r>
      <w:r w:rsidR="002B7FC8" w:rsidRPr="008167D4">
        <w:rPr>
          <w:rFonts w:ascii="Arial" w:hAnsi="Arial" w:cs="Arial"/>
          <w:noProof/>
          <w:color w:val="000000" w:themeColor="text1"/>
          <w:sz w:val="21"/>
          <w:szCs w:val="21"/>
          <w:lang w:val="sr-Latn-RS"/>
          <w14:shadow w14:blurRad="50800" w14:dist="50800" w14:dir="5400000" w14:sx="0" w14:sy="0" w14:kx="0" w14:ky="0" w14:algn="ctr">
            <w14:schemeClr w14:val="tx2"/>
          </w14:shadow>
        </w:rPr>
        <w:t xml:space="preserve">. </w:t>
      </w:r>
    </w:p>
    <w:p w14:paraId="48B39DBE" w14:textId="0C6E73BD" w:rsidR="002B7FC8" w:rsidRPr="008167D4" w:rsidRDefault="00337231" w:rsidP="00CC7346">
      <w:pPr>
        <w:spacing w:after="0" w:line="216" w:lineRule="auto"/>
        <w:jc w:val="both"/>
        <w:rPr>
          <w:rFonts w:ascii="Arial" w:hAnsi="Arial" w:cs="Arial"/>
          <w:b/>
          <w:noProof/>
          <w:color w:val="000000" w:themeColor="text1"/>
          <w:sz w:val="18"/>
          <w:lang w:val="sr-Latn-RS"/>
        </w:rPr>
      </w:pPr>
      <w:r w:rsidRPr="008167D4">
        <w:rPr>
          <w:rFonts w:ascii="Arial" w:hAnsi="Arial" w:cs="Arial"/>
          <w:b/>
          <w:noProof/>
          <w:color w:val="000000" w:themeColor="text1"/>
          <w:sz w:val="18"/>
          <w:lang w:val="sr-Latn-RS"/>
        </w:rPr>
        <w:t>Grafikon 2. Struktura izdataka za ličnu potrošnju prvog i desetog decila, 201</w:t>
      </w:r>
      <w:r w:rsidR="007A10A9">
        <w:rPr>
          <w:rFonts w:ascii="Arial" w:hAnsi="Arial" w:cs="Arial"/>
          <w:b/>
          <w:noProof/>
          <w:color w:val="000000" w:themeColor="text1"/>
          <w:sz w:val="18"/>
          <w:lang w:val="sr-Latn-RS"/>
        </w:rPr>
        <w:t>9</w:t>
      </w:r>
      <w:r w:rsidRPr="008167D4">
        <w:rPr>
          <w:rFonts w:ascii="Arial" w:hAnsi="Arial" w:cs="Arial"/>
          <w:b/>
          <w:noProof/>
          <w:color w:val="000000" w:themeColor="text1"/>
          <w:sz w:val="18"/>
          <w:lang w:val="sr-Latn-RS"/>
        </w:rPr>
        <w:t>. godine</w:t>
      </w:r>
      <w:r w:rsidR="002B7FC8" w:rsidRPr="008167D4">
        <w:rPr>
          <w:rFonts w:ascii="Arial" w:hAnsi="Arial" w:cs="Arial"/>
          <w:b/>
          <w:noProof/>
          <w:color w:val="000000" w:themeColor="text1"/>
          <w:sz w:val="18"/>
          <w:lang w:val="sr-Latn-RS"/>
        </w:rPr>
        <w:t xml:space="preserve"> </w:t>
      </w:r>
    </w:p>
    <w:p w14:paraId="6DEA435A" w14:textId="03E524B5" w:rsidR="002B7FC8" w:rsidRPr="008167D4" w:rsidRDefault="00456BF7" w:rsidP="003D715A">
      <w:pPr>
        <w:pStyle w:val="NormalWeb"/>
        <w:shd w:val="clear" w:color="auto" w:fill="FFFFFF"/>
        <w:spacing w:before="0" w:beforeAutospacing="0" w:after="0" w:afterAutospacing="0"/>
        <w:jc w:val="both"/>
        <w:rPr>
          <w:noProof/>
          <w:lang w:val="sr-Latn-RS"/>
        </w:rPr>
      </w:pPr>
      <w:r w:rsidRPr="007A10A9">
        <w:rPr>
          <w:noProof/>
          <w:shd w:val="clear" w:color="auto" w:fill="C5E0B3" w:themeFill="accent6" w:themeFillTint="66"/>
        </w:rPr>
        <w:drawing>
          <wp:inline distT="0" distB="0" distL="0" distR="0" wp14:anchorId="08BDDFBE" wp14:editId="2EB4BBBE">
            <wp:extent cx="2819400" cy="2653665"/>
            <wp:effectExtent l="0" t="0" r="0" b="13335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C114F16-B279-4E12-A384-F00D82598AD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2B7FC8" w:rsidRPr="008167D4">
        <w:rPr>
          <w:noProof/>
          <w:lang w:val="sr-Latn-RS"/>
        </w:rPr>
        <w:t xml:space="preserve"> </w:t>
      </w:r>
      <w:r>
        <w:rPr>
          <w:noProof/>
        </w:rPr>
        <w:drawing>
          <wp:inline distT="0" distB="0" distL="0" distR="0" wp14:anchorId="7662BC1B" wp14:editId="66933726">
            <wp:extent cx="2876550" cy="2657475"/>
            <wp:effectExtent l="0" t="0" r="0" b="9525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547D2BA-7A05-419C-9C58-372C18071CE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4240EA2" w14:textId="078C7397" w:rsidR="00337231" w:rsidRPr="008167D4" w:rsidRDefault="00337231" w:rsidP="00337231">
      <w:pPr>
        <w:spacing w:after="0" w:line="240" w:lineRule="auto"/>
        <w:jc w:val="both"/>
        <w:rPr>
          <w:rFonts w:ascii="Arial" w:hAnsi="Arial" w:cs="Arial"/>
          <w:i/>
          <w:noProof/>
          <w:color w:val="000000" w:themeColor="text1"/>
          <w:sz w:val="15"/>
          <w:szCs w:val="16"/>
          <w:lang w:val="sr-Latn-RS"/>
        </w:rPr>
      </w:pPr>
      <w:r w:rsidRPr="008167D4">
        <w:rPr>
          <w:rFonts w:ascii="Arial" w:hAnsi="Arial" w:cs="Arial"/>
          <w:i/>
          <w:noProof/>
          <w:color w:val="000000" w:themeColor="text1"/>
          <w:sz w:val="15"/>
          <w:szCs w:val="16"/>
          <w:lang w:val="sr-Latn-RS"/>
        </w:rPr>
        <w:t>Izvor: Anketa o potrošnji domaćinstava, Republički zavod za statistiku, 201</w:t>
      </w:r>
      <w:r w:rsidR="007A10A9">
        <w:rPr>
          <w:rFonts w:ascii="Arial" w:hAnsi="Arial" w:cs="Arial"/>
          <w:i/>
          <w:noProof/>
          <w:color w:val="000000" w:themeColor="text1"/>
          <w:sz w:val="15"/>
          <w:szCs w:val="16"/>
          <w:lang w:val="sr-Latn-RS"/>
        </w:rPr>
        <w:t>9</w:t>
      </w:r>
      <w:r w:rsidRPr="008167D4">
        <w:rPr>
          <w:rFonts w:ascii="Arial" w:hAnsi="Arial" w:cs="Arial"/>
          <w:i/>
          <w:noProof/>
          <w:color w:val="000000" w:themeColor="text1"/>
          <w:sz w:val="15"/>
          <w:szCs w:val="16"/>
          <w:lang w:val="sr-Latn-RS"/>
        </w:rPr>
        <w:t xml:space="preserve">. </w:t>
      </w:r>
    </w:p>
    <w:p w14:paraId="16521893" w14:textId="77777777" w:rsidR="00337231" w:rsidRPr="008167D4" w:rsidRDefault="00337231" w:rsidP="00337231">
      <w:pPr>
        <w:spacing w:after="0" w:line="240" w:lineRule="auto"/>
        <w:jc w:val="both"/>
        <w:rPr>
          <w:rFonts w:ascii="Arial" w:hAnsi="Arial" w:cs="Arial"/>
          <w:i/>
          <w:noProof/>
          <w:color w:val="000000" w:themeColor="text1"/>
          <w:sz w:val="15"/>
          <w:szCs w:val="16"/>
          <w:lang w:val="sr-Latn-RS"/>
        </w:rPr>
      </w:pPr>
      <w:r w:rsidRPr="008167D4">
        <w:rPr>
          <w:rFonts w:ascii="Arial" w:hAnsi="Arial" w:cs="Arial"/>
          <w:i/>
          <w:noProof/>
          <w:color w:val="000000" w:themeColor="text1"/>
          <w:sz w:val="15"/>
          <w:szCs w:val="16"/>
          <w:lang w:val="sr-Latn-RS"/>
        </w:rPr>
        <w:t>Posebna obrada za potrebe Tima za socijalno uključivanje i smanjenje siromaštva Vlade Republike Srbije</w:t>
      </w:r>
    </w:p>
    <w:p w14:paraId="20B570AD" w14:textId="0ED5605A" w:rsidR="005E495C" w:rsidRDefault="00337231" w:rsidP="00126BD6">
      <w:pPr>
        <w:spacing w:before="480" w:after="240"/>
        <w:jc w:val="both"/>
        <w:rPr>
          <w:rFonts w:ascii="Arial" w:hAnsi="Arial" w:cs="Arial"/>
          <w:noProof/>
          <w:color w:val="000000" w:themeColor="text1"/>
          <w:sz w:val="21"/>
          <w:szCs w:val="21"/>
          <w:lang w:val="sr-Latn-RS"/>
        </w:rPr>
      </w:pPr>
      <w:r w:rsidRPr="008167D4">
        <w:rPr>
          <w:rFonts w:ascii="Arial" w:hAnsi="Arial" w:cs="Arial"/>
          <w:b/>
          <w:noProof/>
          <w:color w:val="000000" w:themeColor="text1"/>
          <w:sz w:val="26"/>
          <w:szCs w:val="26"/>
          <w:lang w:val="sr-Latn-RS"/>
        </w:rPr>
        <w:t>Struktura izvora prihoda</w:t>
      </w:r>
      <w:r w:rsidR="00CC7346" w:rsidRPr="008167D4">
        <w:rPr>
          <w:rFonts w:ascii="Arial" w:hAnsi="Arial" w:cs="Arial"/>
          <w:noProof/>
          <w:color w:val="000000" w:themeColor="text1"/>
          <w:sz w:val="26"/>
          <w:szCs w:val="26"/>
          <w:lang w:val="sr-Latn-RS"/>
        </w:rPr>
        <w:t xml:space="preserve"> </w:t>
      </w:r>
      <w:r w:rsidR="003613B9">
        <w:rPr>
          <w:rFonts w:ascii="Arial" w:hAnsi="Arial" w:cs="Arial"/>
          <w:noProof/>
          <w:color w:val="000000" w:themeColor="text1"/>
          <w:sz w:val="26"/>
          <w:szCs w:val="26"/>
          <w:lang w:val="sr-Latn-RS"/>
        </w:rPr>
        <w:t>–</w:t>
      </w:r>
      <w:r w:rsidR="00750223">
        <w:rPr>
          <w:rFonts w:ascii="Arial" w:hAnsi="Arial" w:cs="Arial"/>
          <w:noProof/>
          <w:color w:val="000000" w:themeColor="text1"/>
          <w:sz w:val="26"/>
          <w:szCs w:val="26"/>
          <w:lang w:val="sr-Latn-RS"/>
        </w:rPr>
        <w:t xml:space="preserve"> </w:t>
      </w:r>
      <w:r w:rsidR="003613B9">
        <w:rPr>
          <w:rFonts w:ascii="Arial" w:hAnsi="Arial" w:cs="Arial"/>
          <w:noProof/>
          <w:color w:val="000000" w:themeColor="text1"/>
          <w:sz w:val="21"/>
          <w:szCs w:val="21"/>
          <w:lang w:val="sr-Latn-RS"/>
        </w:rPr>
        <w:t xml:space="preserve">Iako povoljnija struktura prihoda prvog decila u 2019. godini u odnosu na 2018. godinu, ona je i dalje daleko od proseka ukupnog stanovništva, i daleko nepovoljnija od proseka desetog decila. Naime, </w:t>
      </w:r>
      <w:r w:rsidR="00FC5800">
        <w:rPr>
          <w:rFonts w:ascii="Arial" w:hAnsi="Arial" w:cs="Arial"/>
          <w:noProof/>
          <w:color w:val="000000" w:themeColor="text1"/>
          <w:sz w:val="21"/>
          <w:szCs w:val="21"/>
          <w:lang w:val="sr-Latn-RS"/>
        </w:rPr>
        <w:t xml:space="preserve">prosečan udeo prihoda od zarade u prvom decilu jeste se povećao sa oko 25% iz 2018. godine na preko 33% u 2019. godini, ali je znatno niži od proseka za sve decile (55,7%). </w:t>
      </w:r>
      <w:r w:rsidR="004C3CDA">
        <w:rPr>
          <w:rFonts w:ascii="Arial" w:hAnsi="Arial" w:cs="Arial"/>
          <w:noProof/>
          <w:color w:val="000000" w:themeColor="text1"/>
          <w:sz w:val="21"/>
          <w:szCs w:val="21"/>
          <w:lang w:val="sr-Latn-RS"/>
        </w:rPr>
        <w:t>I dalje, kao prethodnih godina, glavni iz</w:t>
      </w:r>
      <w:r w:rsidR="00C70506">
        <w:rPr>
          <w:rFonts w:ascii="Arial" w:hAnsi="Arial" w:cs="Arial"/>
          <w:noProof/>
          <w:color w:val="000000" w:themeColor="text1"/>
          <w:sz w:val="21"/>
          <w:szCs w:val="21"/>
          <w:lang w:val="sr-Latn-RS"/>
        </w:rPr>
        <w:t>v</w:t>
      </w:r>
      <w:r w:rsidR="004C3CDA">
        <w:rPr>
          <w:rFonts w:ascii="Arial" w:hAnsi="Arial" w:cs="Arial"/>
          <w:noProof/>
          <w:color w:val="000000" w:themeColor="text1"/>
          <w:sz w:val="21"/>
          <w:szCs w:val="21"/>
          <w:lang w:val="sr-Latn-RS"/>
        </w:rPr>
        <w:t>or prihoda prvog decila čin</w:t>
      </w:r>
      <w:r w:rsidR="00D81C68">
        <w:rPr>
          <w:rFonts w:ascii="Arial" w:hAnsi="Arial" w:cs="Arial"/>
          <w:noProof/>
          <w:color w:val="000000" w:themeColor="text1"/>
          <w:sz w:val="21"/>
          <w:szCs w:val="21"/>
          <w:lang w:val="sr-Latn-RS"/>
        </w:rPr>
        <w:t>ile su</w:t>
      </w:r>
      <w:r w:rsidR="004C3CDA">
        <w:rPr>
          <w:rFonts w:ascii="Arial" w:hAnsi="Arial" w:cs="Arial"/>
          <w:noProof/>
          <w:color w:val="000000" w:themeColor="text1"/>
          <w:sz w:val="21"/>
          <w:szCs w:val="21"/>
          <w:lang w:val="sr-Latn-RS"/>
        </w:rPr>
        <w:t xml:space="preserve"> penzije (43,4%) i socijalni transferi</w:t>
      </w:r>
      <w:r w:rsidR="00214599">
        <w:rPr>
          <w:rFonts w:ascii="Arial" w:hAnsi="Arial" w:cs="Arial"/>
          <w:noProof/>
          <w:color w:val="000000" w:themeColor="text1"/>
          <w:sz w:val="21"/>
          <w:szCs w:val="21"/>
          <w:lang w:val="sr-Latn-RS"/>
        </w:rPr>
        <w:t xml:space="preserve"> (novčana socijalna pomoć, dečiji dodatak, i sl.)</w:t>
      </w:r>
      <w:r w:rsidR="004C3CDA">
        <w:rPr>
          <w:rFonts w:ascii="Arial" w:hAnsi="Arial" w:cs="Arial"/>
          <w:noProof/>
          <w:color w:val="000000" w:themeColor="text1"/>
          <w:sz w:val="21"/>
          <w:szCs w:val="21"/>
          <w:lang w:val="sr-Latn-RS"/>
        </w:rPr>
        <w:t xml:space="preserve"> (12,4%), premda su udeli oba ova izvora u ukupnom izvoru prihoda prvog decila nešto niži nego 2018. godine</w:t>
      </w:r>
      <w:r w:rsidR="00E822B3">
        <w:rPr>
          <w:rFonts w:ascii="Arial" w:hAnsi="Arial" w:cs="Arial"/>
          <w:noProof/>
          <w:color w:val="000000" w:themeColor="text1"/>
          <w:sz w:val="21"/>
          <w:szCs w:val="21"/>
          <w:lang w:val="sr-Latn-RS"/>
        </w:rPr>
        <w:t xml:space="preserve"> (45% i 15,3%, respektivno)</w:t>
      </w:r>
      <w:r w:rsidR="004C3CDA">
        <w:rPr>
          <w:rFonts w:ascii="Arial" w:hAnsi="Arial" w:cs="Arial"/>
          <w:noProof/>
          <w:color w:val="000000" w:themeColor="text1"/>
          <w:sz w:val="21"/>
          <w:szCs w:val="21"/>
          <w:lang w:val="sr-Latn-RS"/>
        </w:rPr>
        <w:t>.</w:t>
      </w:r>
      <w:r w:rsidR="00D81C68">
        <w:rPr>
          <w:rFonts w:ascii="Arial" w:hAnsi="Arial" w:cs="Arial"/>
          <w:noProof/>
          <w:color w:val="000000" w:themeColor="text1"/>
          <w:sz w:val="21"/>
          <w:szCs w:val="21"/>
          <w:lang w:val="sr-Latn-RS"/>
        </w:rPr>
        <w:t xml:space="preserve"> S druge strane, u desetom decilu glavni izvor prihoda činile su zarade (71,5%), dok je udeo prihoda od socijalnih transfera u ukupnim prihodima desetog decila iznosio tek 0,2%. Medju svim decilima, penzije su bile na drugom mestu po visini udela u ukupnim prihodima, pa je u desetom decilu ovaj udeo iznosio 19,2% 2019. godine.</w:t>
      </w:r>
    </w:p>
    <w:p w14:paraId="5F62BD15" w14:textId="77777777" w:rsidR="005C41B1" w:rsidRPr="008167D4" w:rsidRDefault="005C41B1" w:rsidP="00126BD6">
      <w:pPr>
        <w:spacing w:before="480" w:after="240"/>
        <w:jc w:val="both"/>
        <w:rPr>
          <w:rFonts w:ascii="Arial" w:hAnsi="Arial" w:cs="Arial"/>
          <w:noProof/>
          <w:color w:val="000000" w:themeColor="text1"/>
          <w:sz w:val="21"/>
          <w:szCs w:val="21"/>
          <w:lang w:val="sr-Latn-RS"/>
        </w:rPr>
      </w:pPr>
    </w:p>
    <w:p w14:paraId="5E1655FC" w14:textId="16CE0060" w:rsidR="00BB5E07" w:rsidRPr="008167D4" w:rsidRDefault="00337231" w:rsidP="00CC7346">
      <w:pPr>
        <w:spacing w:after="0" w:line="240" w:lineRule="auto"/>
        <w:jc w:val="both"/>
        <w:rPr>
          <w:rFonts w:ascii="Arial" w:hAnsi="Arial" w:cs="Arial"/>
          <w:b/>
          <w:noProof/>
          <w:sz w:val="18"/>
          <w:lang w:val="sr-Latn-RS"/>
        </w:rPr>
      </w:pPr>
      <w:r w:rsidRPr="008167D4">
        <w:rPr>
          <w:rFonts w:ascii="Arial" w:hAnsi="Arial" w:cs="Arial"/>
          <w:b/>
          <w:noProof/>
          <w:sz w:val="18"/>
          <w:lang w:val="sr-Latn-RS"/>
        </w:rPr>
        <w:t xml:space="preserve">Tabela 1: Glavni izvori prihoda po decilima, </w:t>
      </w:r>
      <w:r w:rsidR="009A48CE">
        <w:rPr>
          <w:rFonts w:ascii="Arial" w:hAnsi="Arial" w:cs="Arial"/>
          <w:b/>
          <w:noProof/>
          <w:sz w:val="18"/>
          <w:lang w:val="sr-Latn-RS"/>
        </w:rPr>
        <w:t xml:space="preserve">%, </w:t>
      </w:r>
      <w:r w:rsidRPr="008167D4">
        <w:rPr>
          <w:rFonts w:ascii="Arial" w:hAnsi="Arial" w:cs="Arial"/>
          <w:b/>
          <w:noProof/>
          <w:sz w:val="18"/>
          <w:lang w:val="sr-Latn-RS"/>
        </w:rPr>
        <w:t>201</w:t>
      </w:r>
      <w:r w:rsidR="009E2707">
        <w:rPr>
          <w:rFonts w:ascii="Arial" w:hAnsi="Arial" w:cs="Arial"/>
          <w:b/>
          <w:noProof/>
          <w:sz w:val="18"/>
          <w:lang w:val="sr-Latn-RS"/>
        </w:rPr>
        <w:t>9</w:t>
      </w:r>
      <w:r w:rsidRPr="008167D4">
        <w:rPr>
          <w:rFonts w:ascii="Arial" w:hAnsi="Arial" w:cs="Arial"/>
          <w:b/>
          <w:noProof/>
          <w:sz w:val="18"/>
          <w:lang w:val="sr-Latn-RS"/>
        </w:rPr>
        <w:t>. godina</w:t>
      </w:r>
    </w:p>
    <w:tbl>
      <w:tblPr>
        <w:tblStyle w:val="Koordinatnamreatabele"/>
        <w:tblW w:w="0" w:type="auto"/>
        <w:jc w:val="center"/>
        <w:tblLook w:val="04A0" w:firstRow="1" w:lastRow="0" w:firstColumn="1" w:lastColumn="0" w:noHBand="0" w:noVBand="1"/>
      </w:tblPr>
      <w:tblGrid>
        <w:gridCol w:w="2511"/>
        <w:gridCol w:w="745"/>
        <w:gridCol w:w="567"/>
        <w:gridCol w:w="567"/>
        <w:gridCol w:w="567"/>
        <w:gridCol w:w="604"/>
        <w:gridCol w:w="671"/>
        <w:gridCol w:w="590"/>
        <w:gridCol w:w="561"/>
        <w:gridCol w:w="561"/>
        <w:gridCol w:w="561"/>
        <w:gridCol w:w="505"/>
      </w:tblGrid>
      <w:tr w:rsidR="00BB5E07" w:rsidRPr="008167D4" w14:paraId="643FF67B" w14:textId="77777777" w:rsidTr="008E40DA">
        <w:trPr>
          <w:trHeight w:val="305"/>
          <w:jc w:val="center"/>
        </w:trPr>
        <w:tc>
          <w:tcPr>
            <w:tcW w:w="2511" w:type="dxa"/>
            <w:vMerge w:val="restart"/>
            <w:shd w:val="clear" w:color="auto" w:fill="8EAADB" w:themeFill="accent1" w:themeFillTint="99"/>
            <w:noWrap/>
            <w:hideMark/>
          </w:tcPr>
          <w:p w14:paraId="19ED826F" w14:textId="77777777" w:rsidR="00BB5E07" w:rsidRPr="008167D4" w:rsidRDefault="00BB5E07" w:rsidP="00CC7346">
            <w:pPr>
              <w:spacing w:after="0" w:line="360" w:lineRule="auto"/>
              <w:jc w:val="both"/>
              <w:rPr>
                <w:rFonts w:ascii="Arial" w:hAnsi="Arial" w:cs="Arial"/>
                <w:b/>
                <w:noProof/>
                <w:color w:val="000000" w:themeColor="text1"/>
                <w:sz w:val="13"/>
                <w:szCs w:val="13"/>
                <w:lang w:val="sr-Latn-R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  <w:r w:rsidRPr="008167D4"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  <w:t> </w:t>
            </w:r>
          </w:p>
        </w:tc>
        <w:tc>
          <w:tcPr>
            <w:tcW w:w="745" w:type="dxa"/>
            <w:vMerge w:val="restart"/>
            <w:shd w:val="clear" w:color="auto" w:fill="D9E2F3" w:themeFill="accent1" w:themeFillTint="33"/>
            <w:noWrap/>
            <w:vAlign w:val="center"/>
            <w:hideMark/>
          </w:tcPr>
          <w:p w14:paraId="47B1A6A7" w14:textId="3D341F9C" w:rsidR="00BB5E07" w:rsidRPr="008167D4" w:rsidRDefault="0095473A" w:rsidP="0045409E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iCs/>
                <w:noProof/>
                <w:color w:val="000000" w:themeColor="text1"/>
                <w:sz w:val="13"/>
                <w:szCs w:val="13"/>
                <w:lang w:val="sr-Latn-RS"/>
              </w:rPr>
            </w:pPr>
            <w:r w:rsidRPr="008167D4">
              <w:rPr>
                <w:rFonts w:ascii="Arial" w:hAnsi="Arial" w:cs="Arial"/>
                <w:b/>
                <w:bCs/>
                <w:iCs/>
                <w:noProof/>
                <w:color w:val="000000" w:themeColor="text1"/>
                <w:sz w:val="13"/>
                <w:szCs w:val="13"/>
                <w:lang w:val="sr-Latn-RS"/>
              </w:rPr>
              <w:t>Ukupno</w:t>
            </w:r>
          </w:p>
        </w:tc>
        <w:tc>
          <w:tcPr>
            <w:tcW w:w="5754" w:type="dxa"/>
            <w:gridSpan w:val="10"/>
            <w:shd w:val="clear" w:color="auto" w:fill="D9E2F3" w:themeFill="accent1" w:themeFillTint="33"/>
            <w:vAlign w:val="center"/>
          </w:tcPr>
          <w:p w14:paraId="055335B4" w14:textId="2F786417" w:rsidR="00BB5E07" w:rsidRPr="008167D4" w:rsidRDefault="0095473A" w:rsidP="0045409E">
            <w:pPr>
              <w:spacing w:after="0" w:line="360" w:lineRule="auto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3"/>
                <w:szCs w:val="13"/>
                <w:lang w:val="sr-Latn-RS"/>
              </w:rPr>
            </w:pPr>
            <w:r w:rsidRPr="008167D4">
              <w:rPr>
                <w:rFonts w:ascii="Arial" w:hAnsi="Arial" w:cs="Arial"/>
                <w:b/>
                <w:noProof/>
                <w:color w:val="000000" w:themeColor="text1"/>
                <w:sz w:val="13"/>
                <w:szCs w:val="13"/>
                <w:lang w:val="sr-Latn-RS"/>
              </w:rPr>
              <w:t>Decili</w:t>
            </w:r>
          </w:p>
        </w:tc>
      </w:tr>
      <w:tr w:rsidR="00FC4258" w:rsidRPr="008167D4" w14:paraId="1DDF951C" w14:textId="77777777" w:rsidTr="008E40DA">
        <w:trPr>
          <w:trHeight w:val="242"/>
          <w:jc w:val="center"/>
        </w:trPr>
        <w:tc>
          <w:tcPr>
            <w:tcW w:w="2511" w:type="dxa"/>
            <w:vMerge/>
            <w:shd w:val="clear" w:color="auto" w:fill="8EAADB" w:themeFill="accent1" w:themeFillTint="99"/>
            <w:noWrap/>
          </w:tcPr>
          <w:p w14:paraId="04DFC074" w14:textId="77777777" w:rsidR="00BB5E07" w:rsidRPr="008167D4" w:rsidRDefault="00BB5E07" w:rsidP="00CC7346">
            <w:pPr>
              <w:spacing w:after="0"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  <w14:shadow w14:blurRad="50800" w14:dist="50800" w14:dir="5400000" w14:sx="0" w14:sy="0" w14:kx="0" w14:ky="0" w14:algn="ctr">
                  <w14:schemeClr w14:val="tx2">
                    <w14:lumMod w14:val="40000"/>
                    <w14:lumOff w14:val="60000"/>
                  </w14:schemeClr>
                </w14:shadow>
              </w:rPr>
            </w:pPr>
          </w:p>
        </w:tc>
        <w:tc>
          <w:tcPr>
            <w:tcW w:w="745" w:type="dxa"/>
            <w:vMerge/>
            <w:shd w:val="clear" w:color="auto" w:fill="D9E2F3" w:themeFill="accent1" w:themeFillTint="33"/>
            <w:noWrap/>
            <w:vAlign w:val="center"/>
          </w:tcPr>
          <w:p w14:paraId="16E6C79C" w14:textId="77777777" w:rsidR="00BB5E07" w:rsidRPr="008167D4" w:rsidRDefault="00BB5E07" w:rsidP="0045409E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noProof/>
                <w:color w:val="000000" w:themeColor="text1"/>
                <w:sz w:val="13"/>
                <w:szCs w:val="13"/>
                <w:lang w:val="sr-Latn-RS"/>
              </w:rPr>
            </w:pP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2E845841" w14:textId="77777777" w:rsidR="00BB5E07" w:rsidRPr="008167D4" w:rsidRDefault="00BB5E07" w:rsidP="0045409E">
            <w:pPr>
              <w:spacing w:after="0" w:line="360" w:lineRule="auto"/>
              <w:jc w:val="center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 w:rsidRPr="008167D4">
              <w:rPr>
                <w:rFonts w:ascii="Arial" w:hAnsi="Arial" w:cs="Arial"/>
                <w:b/>
                <w:bCs/>
                <w:noProof/>
                <w:color w:val="000000" w:themeColor="text1"/>
                <w:sz w:val="13"/>
                <w:szCs w:val="13"/>
                <w:lang w:val="sr-Latn-RS"/>
              </w:rPr>
              <w:t>1.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263A9260" w14:textId="77777777" w:rsidR="00BB5E07" w:rsidRPr="008167D4" w:rsidRDefault="00BB5E07" w:rsidP="0045409E">
            <w:pPr>
              <w:spacing w:after="0" w:line="360" w:lineRule="auto"/>
              <w:jc w:val="center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 w:rsidRPr="008167D4">
              <w:rPr>
                <w:rFonts w:ascii="Arial" w:hAnsi="Arial" w:cs="Arial"/>
                <w:b/>
                <w:bCs/>
                <w:noProof/>
                <w:color w:val="000000" w:themeColor="text1"/>
                <w:sz w:val="13"/>
                <w:szCs w:val="13"/>
                <w:lang w:val="sr-Latn-RS"/>
              </w:rPr>
              <w:t>2.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300E41C5" w14:textId="77777777" w:rsidR="00BB5E07" w:rsidRPr="008167D4" w:rsidRDefault="00BB5E07" w:rsidP="0045409E">
            <w:pPr>
              <w:spacing w:after="0" w:line="360" w:lineRule="auto"/>
              <w:jc w:val="center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 w:rsidRPr="008167D4">
              <w:rPr>
                <w:rFonts w:ascii="Arial" w:hAnsi="Arial" w:cs="Arial"/>
                <w:b/>
                <w:bCs/>
                <w:noProof/>
                <w:color w:val="000000" w:themeColor="text1"/>
                <w:sz w:val="13"/>
                <w:szCs w:val="13"/>
                <w:lang w:val="sr-Latn-RS"/>
              </w:rPr>
              <w:t>3.</w:t>
            </w:r>
          </w:p>
        </w:tc>
        <w:tc>
          <w:tcPr>
            <w:tcW w:w="604" w:type="dxa"/>
            <w:shd w:val="clear" w:color="auto" w:fill="D9E2F3" w:themeFill="accent1" w:themeFillTint="33"/>
            <w:vAlign w:val="center"/>
          </w:tcPr>
          <w:p w14:paraId="2DFDF4B0" w14:textId="77777777" w:rsidR="00BB5E07" w:rsidRPr="008167D4" w:rsidRDefault="00BB5E07" w:rsidP="0045409E">
            <w:pPr>
              <w:spacing w:after="0" w:line="360" w:lineRule="auto"/>
              <w:jc w:val="center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 w:rsidRPr="008167D4">
              <w:rPr>
                <w:rFonts w:ascii="Arial" w:hAnsi="Arial" w:cs="Arial"/>
                <w:b/>
                <w:bCs/>
                <w:noProof/>
                <w:color w:val="000000" w:themeColor="text1"/>
                <w:sz w:val="13"/>
                <w:szCs w:val="13"/>
                <w:lang w:val="sr-Latn-RS"/>
              </w:rPr>
              <w:t>4.</w:t>
            </w:r>
          </w:p>
        </w:tc>
        <w:tc>
          <w:tcPr>
            <w:tcW w:w="671" w:type="dxa"/>
            <w:shd w:val="clear" w:color="auto" w:fill="D9E2F3" w:themeFill="accent1" w:themeFillTint="33"/>
            <w:vAlign w:val="center"/>
          </w:tcPr>
          <w:p w14:paraId="02A0E0C7" w14:textId="77777777" w:rsidR="00BB5E07" w:rsidRPr="008167D4" w:rsidRDefault="00BB5E07" w:rsidP="0045409E">
            <w:pPr>
              <w:spacing w:after="0" w:line="360" w:lineRule="auto"/>
              <w:jc w:val="center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 w:rsidRPr="008167D4">
              <w:rPr>
                <w:rFonts w:ascii="Arial" w:hAnsi="Arial" w:cs="Arial"/>
                <w:b/>
                <w:bCs/>
                <w:noProof/>
                <w:color w:val="000000" w:themeColor="text1"/>
                <w:sz w:val="13"/>
                <w:szCs w:val="13"/>
                <w:lang w:val="sr-Latn-RS"/>
              </w:rPr>
              <w:t>5.</w:t>
            </w:r>
          </w:p>
        </w:tc>
        <w:tc>
          <w:tcPr>
            <w:tcW w:w="590" w:type="dxa"/>
            <w:shd w:val="clear" w:color="auto" w:fill="D9E2F3" w:themeFill="accent1" w:themeFillTint="33"/>
            <w:vAlign w:val="center"/>
          </w:tcPr>
          <w:p w14:paraId="70DBE7CA" w14:textId="77777777" w:rsidR="00BB5E07" w:rsidRPr="008167D4" w:rsidRDefault="00BB5E07" w:rsidP="0045409E">
            <w:pPr>
              <w:spacing w:after="0" w:line="360" w:lineRule="auto"/>
              <w:jc w:val="center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 w:rsidRPr="008167D4">
              <w:rPr>
                <w:rFonts w:ascii="Arial" w:hAnsi="Arial" w:cs="Arial"/>
                <w:b/>
                <w:bCs/>
                <w:noProof/>
                <w:color w:val="000000" w:themeColor="text1"/>
                <w:sz w:val="13"/>
                <w:szCs w:val="13"/>
                <w:lang w:val="sr-Latn-RS"/>
              </w:rPr>
              <w:t>6.</w:t>
            </w:r>
          </w:p>
        </w:tc>
        <w:tc>
          <w:tcPr>
            <w:tcW w:w="561" w:type="dxa"/>
            <w:shd w:val="clear" w:color="auto" w:fill="D9E2F3" w:themeFill="accent1" w:themeFillTint="33"/>
            <w:vAlign w:val="center"/>
          </w:tcPr>
          <w:p w14:paraId="3F5824C0" w14:textId="77777777" w:rsidR="00BB5E07" w:rsidRPr="008167D4" w:rsidRDefault="00BB5E07" w:rsidP="0045409E">
            <w:pPr>
              <w:spacing w:after="0" w:line="360" w:lineRule="auto"/>
              <w:jc w:val="center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 w:rsidRPr="008167D4">
              <w:rPr>
                <w:rFonts w:ascii="Arial" w:hAnsi="Arial" w:cs="Arial"/>
                <w:b/>
                <w:bCs/>
                <w:noProof/>
                <w:color w:val="000000" w:themeColor="text1"/>
                <w:sz w:val="13"/>
                <w:szCs w:val="13"/>
                <w:lang w:val="sr-Latn-RS"/>
              </w:rPr>
              <w:t>7.</w:t>
            </w:r>
          </w:p>
        </w:tc>
        <w:tc>
          <w:tcPr>
            <w:tcW w:w="561" w:type="dxa"/>
            <w:shd w:val="clear" w:color="auto" w:fill="D9E2F3" w:themeFill="accent1" w:themeFillTint="33"/>
            <w:vAlign w:val="center"/>
          </w:tcPr>
          <w:p w14:paraId="3386A79A" w14:textId="77777777" w:rsidR="00BB5E07" w:rsidRPr="008167D4" w:rsidRDefault="00BB5E07" w:rsidP="0045409E">
            <w:pPr>
              <w:spacing w:after="0" w:line="360" w:lineRule="auto"/>
              <w:jc w:val="center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 w:rsidRPr="008167D4">
              <w:rPr>
                <w:rFonts w:ascii="Arial" w:hAnsi="Arial" w:cs="Arial"/>
                <w:b/>
                <w:bCs/>
                <w:noProof/>
                <w:color w:val="000000" w:themeColor="text1"/>
                <w:sz w:val="13"/>
                <w:szCs w:val="13"/>
                <w:lang w:val="sr-Latn-RS"/>
              </w:rPr>
              <w:t>8.</w:t>
            </w:r>
          </w:p>
        </w:tc>
        <w:tc>
          <w:tcPr>
            <w:tcW w:w="561" w:type="dxa"/>
            <w:shd w:val="clear" w:color="auto" w:fill="D9E2F3" w:themeFill="accent1" w:themeFillTint="33"/>
            <w:vAlign w:val="center"/>
          </w:tcPr>
          <w:p w14:paraId="4FD88E38" w14:textId="77777777" w:rsidR="00BB5E07" w:rsidRPr="008167D4" w:rsidRDefault="00BB5E07" w:rsidP="0045409E">
            <w:pPr>
              <w:spacing w:after="0" w:line="360" w:lineRule="auto"/>
              <w:jc w:val="center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 w:rsidRPr="008167D4">
              <w:rPr>
                <w:rFonts w:ascii="Arial" w:hAnsi="Arial" w:cs="Arial"/>
                <w:b/>
                <w:bCs/>
                <w:noProof/>
                <w:color w:val="000000" w:themeColor="text1"/>
                <w:sz w:val="13"/>
                <w:szCs w:val="13"/>
                <w:lang w:val="sr-Latn-RS"/>
              </w:rPr>
              <w:t>9.</w:t>
            </w:r>
          </w:p>
        </w:tc>
        <w:tc>
          <w:tcPr>
            <w:tcW w:w="505" w:type="dxa"/>
            <w:shd w:val="clear" w:color="auto" w:fill="D9E2F3" w:themeFill="accent1" w:themeFillTint="33"/>
            <w:vAlign w:val="center"/>
          </w:tcPr>
          <w:p w14:paraId="41D4DAED" w14:textId="77777777" w:rsidR="00BB5E07" w:rsidRPr="008167D4" w:rsidRDefault="00BB5E07" w:rsidP="0045409E">
            <w:pPr>
              <w:spacing w:after="0" w:line="360" w:lineRule="auto"/>
              <w:jc w:val="center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 w:rsidRPr="008167D4">
              <w:rPr>
                <w:rFonts w:ascii="Arial" w:hAnsi="Arial" w:cs="Arial"/>
                <w:b/>
                <w:bCs/>
                <w:noProof/>
                <w:color w:val="000000" w:themeColor="text1"/>
                <w:sz w:val="13"/>
                <w:szCs w:val="13"/>
                <w:lang w:val="sr-Latn-RS"/>
              </w:rPr>
              <w:t>10.</w:t>
            </w:r>
          </w:p>
        </w:tc>
      </w:tr>
      <w:tr w:rsidR="00337231" w:rsidRPr="008167D4" w14:paraId="708E7D19" w14:textId="77777777" w:rsidTr="009E2707">
        <w:trPr>
          <w:trHeight w:val="193"/>
          <w:jc w:val="center"/>
        </w:trPr>
        <w:tc>
          <w:tcPr>
            <w:tcW w:w="2511" w:type="dxa"/>
            <w:shd w:val="clear" w:color="auto" w:fill="8EAADB" w:themeFill="accent1" w:themeFillTint="99"/>
            <w:noWrap/>
            <w:hideMark/>
          </w:tcPr>
          <w:p w14:paraId="256812F0" w14:textId="22683073" w:rsidR="00337231" w:rsidRPr="008167D4" w:rsidRDefault="00337231" w:rsidP="00337231">
            <w:pPr>
              <w:spacing w:after="0" w:line="360" w:lineRule="auto"/>
              <w:rPr>
                <w:rFonts w:ascii="Arial" w:hAnsi="Arial" w:cs="Arial"/>
                <w:noProof/>
                <w:color w:val="000000"/>
                <w:sz w:val="13"/>
                <w:szCs w:val="13"/>
                <w:lang w:val="sr-Latn-RS"/>
              </w:rPr>
            </w:pPr>
            <w:r w:rsidRPr="008167D4">
              <w:rPr>
                <w:rFonts w:ascii="Arial" w:hAnsi="Arial" w:cs="Arial"/>
                <w:noProof/>
                <w:color w:val="000000"/>
                <w:sz w:val="13"/>
                <w:szCs w:val="13"/>
                <w:lang w:val="sr-Latn-RS"/>
              </w:rPr>
              <w:t>Prihod od zarade</w:t>
            </w:r>
          </w:p>
        </w:tc>
        <w:tc>
          <w:tcPr>
            <w:tcW w:w="745" w:type="dxa"/>
            <w:noWrap/>
            <w:vAlign w:val="center"/>
          </w:tcPr>
          <w:p w14:paraId="24AB4AC5" w14:textId="3B25E4CD" w:rsidR="00337231" w:rsidRPr="008167D4" w:rsidRDefault="009E2707" w:rsidP="00337231">
            <w:pPr>
              <w:spacing w:after="0" w:line="360" w:lineRule="auto"/>
              <w:jc w:val="right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  <w:t>55,7</w:t>
            </w:r>
          </w:p>
        </w:tc>
        <w:tc>
          <w:tcPr>
            <w:tcW w:w="567" w:type="dxa"/>
            <w:noWrap/>
            <w:vAlign w:val="center"/>
          </w:tcPr>
          <w:p w14:paraId="5A602947" w14:textId="42B29B20" w:rsidR="00337231" w:rsidRPr="008167D4" w:rsidRDefault="009E2707" w:rsidP="00337231">
            <w:pPr>
              <w:spacing w:after="0" w:line="360" w:lineRule="auto"/>
              <w:jc w:val="right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  <w:t>33,4</w:t>
            </w:r>
          </w:p>
        </w:tc>
        <w:tc>
          <w:tcPr>
            <w:tcW w:w="567" w:type="dxa"/>
            <w:noWrap/>
            <w:vAlign w:val="center"/>
          </w:tcPr>
          <w:p w14:paraId="361C6E19" w14:textId="5A861A6E" w:rsidR="00337231" w:rsidRPr="008167D4" w:rsidRDefault="009E2707" w:rsidP="00337231">
            <w:pPr>
              <w:spacing w:after="0" w:line="360" w:lineRule="auto"/>
              <w:jc w:val="right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  <w:t>42,4</w:t>
            </w:r>
          </w:p>
        </w:tc>
        <w:tc>
          <w:tcPr>
            <w:tcW w:w="567" w:type="dxa"/>
            <w:noWrap/>
            <w:vAlign w:val="center"/>
          </w:tcPr>
          <w:p w14:paraId="7BB87EBC" w14:textId="776D1783" w:rsidR="00337231" w:rsidRPr="008167D4" w:rsidRDefault="009E2707" w:rsidP="00337231">
            <w:pPr>
              <w:spacing w:after="0" w:line="360" w:lineRule="auto"/>
              <w:jc w:val="right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  <w:t>48,1</w:t>
            </w:r>
          </w:p>
        </w:tc>
        <w:tc>
          <w:tcPr>
            <w:tcW w:w="604" w:type="dxa"/>
            <w:noWrap/>
            <w:vAlign w:val="center"/>
          </w:tcPr>
          <w:p w14:paraId="6FE2E157" w14:textId="45602FD7" w:rsidR="00337231" w:rsidRPr="008167D4" w:rsidRDefault="009E2707" w:rsidP="00337231">
            <w:pPr>
              <w:spacing w:after="0" w:line="360" w:lineRule="auto"/>
              <w:jc w:val="right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  <w:t>50,4</w:t>
            </w:r>
          </w:p>
        </w:tc>
        <w:tc>
          <w:tcPr>
            <w:tcW w:w="671" w:type="dxa"/>
            <w:noWrap/>
            <w:vAlign w:val="center"/>
          </w:tcPr>
          <w:p w14:paraId="6DEBA7EF" w14:textId="687C6E33" w:rsidR="00337231" w:rsidRPr="008167D4" w:rsidRDefault="009E2707" w:rsidP="00337231">
            <w:pPr>
              <w:spacing w:after="0" w:line="360" w:lineRule="auto"/>
              <w:jc w:val="right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  <w:t>58,1</w:t>
            </w:r>
          </w:p>
        </w:tc>
        <w:tc>
          <w:tcPr>
            <w:tcW w:w="590" w:type="dxa"/>
            <w:noWrap/>
            <w:vAlign w:val="center"/>
          </w:tcPr>
          <w:p w14:paraId="04967A3B" w14:textId="2186CB09" w:rsidR="00337231" w:rsidRPr="008167D4" w:rsidRDefault="009E2707" w:rsidP="00337231">
            <w:pPr>
              <w:spacing w:after="0" w:line="360" w:lineRule="auto"/>
              <w:jc w:val="right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  <w:t>55,9</w:t>
            </w:r>
          </w:p>
        </w:tc>
        <w:tc>
          <w:tcPr>
            <w:tcW w:w="561" w:type="dxa"/>
            <w:noWrap/>
            <w:vAlign w:val="center"/>
          </w:tcPr>
          <w:p w14:paraId="1BDBED65" w14:textId="5A3FA860" w:rsidR="00337231" w:rsidRPr="008167D4" w:rsidRDefault="00A07388" w:rsidP="00337231">
            <w:pPr>
              <w:spacing w:after="0" w:line="360" w:lineRule="auto"/>
              <w:jc w:val="right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  <w:t>61,1</w:t>
            </w:r>
          </w:p>
        </w:tc>
        <w:tc>
          <w:tcPr>
            <w:tcW w:w="561" w:type="dxa"/>
            <w:noWrap/>
            <w:vAlign w:val="center"/>
          </w:tcPr>
          <w:p w14:paraId="5F2F0BDD" w14:textId="67ABFDD1" w:rsidR="00337231" w:rsidRPr="008167D4" w:rsidRDefault="00A07388" w:rsidP="00337231">
            <w:pPr>
              <w:spacing w:after="0" w:line="360" w:lineRule="auto"/>
              <w:jc w:val="right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  <w:t>64,0</w:t>
            </w:r>
          </w:p>
        </w:tc>
        <w:tc>
          <w:tcPr>
            <w:tcW w:w="561" w:type="dxa"/>
            <w:noWrap/>
            <w:vAlign w:val="center"/>
          </w:tcPr>
          <w:p w14:paraId="2AE704C3" w14:textId="4FC70059" w:rsidR="00337231" w:rsidRPr="008167D4" w:rsidRDefault="00A07388" w:rsidP="00337231">
            <w:pPr>
              <w:spacing w:after="0" w:line="360" w:lineRule="auto"/>
              <w:jc w:val="right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  <w:t>70,6</w:t>
            </w:r>
          </w:p>
        </w:tc>
        <w:tc>
          <w:tcPr>
            <w:tcW w:w="505" w:type="dxa"/>
            <w:noWrap/>
            <w:vAlign w:val="center"/>
          </w:tcPr>
          <w:p w14:paraId="7BAE80C2" w14:textId="13A41943" w:rsidR="00337231" w:rsidRPr="008167D4" w:rsidRDefault="00A07388" w:rsidP="00337231">
            <w:pPr>
              <w:spacing w:after="0" w:line="360" w:lineRule="auto"/>
              <w:jc w:val="right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  <w:t>71,5</w:t>
            </w:r>
          </w:p>
        </w:tc>
      </w:tr>
      <w:tr w:rsidR="00337231" w:rsidRPr="008167D4" w14:paraId="3CDB30E3" w14:textId="77777777" w:rsidTr="009E2707">
        <w:trPr>
          <w:trHeight w:val="193"/>
          <w:jc w:val="center"/>
        </w:trPr>
        <w:tc>
          <w:tcPr>
            <w:tcW w:w="2511" w:type="dxa"/>
            <w:shd w:val="clear" w:color="auto" w:fill="8EAADB" w:themeFill="accent1" w:themeFillTint="99"/>
            <w:noWrap/>
            <w:hideMark/>
          </w:tcPr>
          <w:p w14:paraId="25621435" w14:textId="29CD02D3" w:rsidR="00337231" w:rsidRPr="008167D4" w:rsidRDefault="00337231" w:rsidP="00337231">
            <w:pPr>
              <w:spacing w:after="0" w:line="360" w:lineRule="auto"/>
              <w:rPr>
                <w:rFonts w:ascii="Arial" w:hAnsi="Arial" w:cs="Arial"/>
                <w:noProof/>
                <w:color w:val="000000"/>
                <w:sz w:val="13"/>
                <w:szCs w:val="13"/>
                <w:lang w:val="sr-Latn-RS"/>
              </w:rPr>
            </w:pPr>
            <w:r w:rsidRPr="008167D4">
              <w:rPr>
                <w:rFonts w:ascii="Arial" w:hAnsi="Arial" w:cs="Arial"/>
                <w:noProof/>
                <w:color w:val="000000"/>
                <w:sz w:val="13"/>
                <w:szCs w:val="13"/>
                <w:lang w:val="sr-Latn-RS"/>
              </w:rPr>
              <w:t>Prihod od samozaposlenosti</w:t>
            </w:r>
          </w:p>
        </w:tc>
        <w:tc>
          <w:tcPr>
            <w:tcW w:w="745" w:type="dxa"/>
            <w:noWrap/>
            <w:vAlign w:val="center"/>
          </w:tcPr>
          <w:p w14:paraId="3EADECED" w14:textId="100BBF9E" w:rsidR="00337231" w:rsidRPr="008167D4" w:rsidRDefault="009E2707" w:rsidP="00337231">
            <w:pPr>
              <w:spacing w:after="0" w:line="360" w:lineRule="auto"/>
              <w:jc w:val="right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  <w:t>9,2</w:t>
            </w:r>
          </w:p>
        </w:tc>
        <w:tc>
          <w:tcPr>
            <w:tcW w:w="567" w:type="dxa"/>
            <w:noWrap/>
            <w:vAlign w:val="center"/>
          </w:tcPr>
          <w:p w14:paraId="3167185D" w14:textId="105347E9" w:rsidR="00337231" w:rsidRPr="008167D4" w:rsidRDefault="009E2707" w:rsidP="00337231">
            <w:pPr>
              <w:spacing w:after="0" w:line="360" w:lineRule="auto"/>
              <w:jc w:val="right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  <w:t>8,5</w:t>
            </w:r>
          </w:p>
        </w:tc>
        <w:tc>
          <w:tcPr>
            <w:tcW w:w="567" w:type="dxa"/>
            <w:noWrap/>
            <w:vAlign w:val="center"/>
          </w:tcPr>
          <w:p w14:paraId="5B1E8093" w14:textId="5F14960B" w:rsidR="00337231" w:rsidRPr="008167D4" w:rsidRDefault="009E2707" w:rsidP="00337231">
            <w:pPr>
              <w:spacing w:after="0" w:line="360" w:lineRule="auto"/>
              <w:jc w:val="right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  <w:t>9,4</w:t>
            </w:r>
          </w:p>
        </w:tc>
        <w:tc>
          <w:tcPr>
            <w:tcW w:w="567" w:type="dxa"/>
            <w:noWrap/>
            <w:vAlign w:val="center"/>
          </w:tcPr>
          <w:p w14:paraId="3C376A9C" w14:textId="402AD072" w:rsidR="00337231" w:rsidRPr="008167D4" w:rsidRDefault="009E2707" w:rsidP="00337231">
            <w:pPr>
              <w:spacing w:after="0" w:line="360" w:lineRule="auto"/>
              <w:jc w:val="right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  <w:t>9,5</w:t>
            </w:r>
          </w:p>
        </w:tc>
        <w:tc>
          <w:tcPr>
            <w:tcW w:w="604" w:type="dxa"/>
            <w:noWrap/>
            <w:vAlign w:val="center"/>
          </w:tcPr>
          <w:p w14:paraId="3501A908" w14:textId="34BC7838" w:rsidR="00337231" w:rsidRPr="008167D4" w:rsidRDefault="009E2707" w:rsidP="00337231">
            <w:pPr>
              <w:spacing w:after="0" w:line="360" w:lineRule="auto"/>
              <w:jc w:val="right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  <w:t>10,0</w:t>
            </w:r>
          </w:p>
        </w:tc>
        <w:tc>
          <w:tcPr>
            <w:tcW w:w="671" w:type="dxa"/>
            <w:noWrap/>
            <w:vAlign w:val="center"/>
          </w:tcPr>
          <w:p w14:paraId="1BBE60E4" w14:textId="20513CC7" w:rsidR="00337231" w:rsidRPr="008167D4" w:rsidRDefault="009E2707" w:rsidP="00337231">
            <w:pPr>
              <w:spacing w:after="0" w:line="360" w:lineRule="auto"/>
              <w:jc w:val="right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  <w:t>9,7</w:t>
            </w:r>
          </w:p>
        </w:tc>
        <w:tc>
          <w:tcPr>
            <w:tcW w:w="590" w:type="dxa"/>
            <w:noWrap/>
            <w:vAlign w:val="center"/>
          </w:tcPr>
          <w:p w14:paraId="7197BB27" w14:textId="7AE7C918" w:rsidR="00337231" w:rsidRPr="008167D4" w:rsidRDefault="009E2707" w:rsidP="00337231">
            <w:pPr>
              <w:spacing w:after="0" w:line="360" w:lineRule="auto"/>
              <w:jc w:val="right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  <w:t>10,1</w:t>
            </w:r>
          </w:p>
        </w:tc>
        <w:tc>
          <w:tcPr>
            <w:tcW w:w="561" w:type="dxa"/>
            <w:noWrap/>
            <w:vAlign w:val="center"/>
          </w:tcPr>
          <w:p w14:paraId="64F3CD70" w14:textId="13DF63B0" w:rsidR="00337231" w:rsidRPr="008167D4" w:rsidRDefault="00A07388" w:rsidP="00337231">
            <w:pPr>
              <w:spacing w:after="0" w:line="360" w:lineRule="auto"/>
              <w:jc w:val="right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  <w:t>9,1</w:t>
            </w:r>
          </w:p>
        </w:tc>
        <w:tc>
          <w:tcPr>
            <w:tcW w:w="561" w:type="dxa"/>
            <w:noWrap/>
            <w:vAlign w:val="center"/>
          </w:tcPr>
          <w:p w14:paraId="781D2EB4" w14:textId="76251C9F" w:rsidR="00337231" w:rsidRPr="008167D4" w:rsidRDefault="00A07388" w:rsidP="00337231">
            <w:pPr>
              <w:spacing w:after="0" w:line="360" w:lineRule="auto"/>
              <w:jc w:val="right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  <w:t>8,6</w:t>
            </w:r>
          </w:p>
        </w:tc>
        <w:tc>
          <w:tcPr>
            <w:tcW w:w="561" w:type="dxa"/>
            <w:noWrap/>
            <w:vAlign w:val="center"/>
          </w:tcPr>
          <w:p w14:paraId="1295BA9C" w14:textId="11BD534F" w:rsidR="00337231" w:rsidRPr="008167D4" w:rsidRDefault="00A07388" w:rsidP="00337231">
            <w:pPr>
              <w:spacing w:after="0" w:line="360" w:lineRule="auto"/>
              <w:jc w:val="right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  <w:t>8,9</w:t>
            </w:r>
          </w:p>
        </w:tc>
        <w:tc>
          <w:tcPr>
            <w:tcW w:w="505" w:type="dxa"/>
            <w:noWrap/>
            <w:vAlign w:val="center"/>
          </w:tcPr>
          <w:p w14:paraId="1524B908" w14:textId="01FC7601" w:rsidR="00337231" w:rsidRPr="008167D4" w:rsidRDefault="00A07388" w:rsidP="00337231">
            <w:pPr>
              <w:spacing w:after="0" w:line="360" w:lineRule="auto"/>
              <w:jc w:val="right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  <w:t>8,5</w:t>
            </w:r>
          </w:p>
        </w:tc>
      </w:tr>
      <w:tr w:rsidR="00337231" w:rsidRPr="008167D4" w14:paraId="3B0645EE" w14:textId="77777777" w:rsidTr="009E2707">
        <w:trPr>
          <w:trHeight w:val="161"/>
          <w:jc w:val="center"/>
        </w:trPr>
        <w:tc>
          <w:tcPr>
            <w:tcW w:w="2511" w:type="dxa"/>
            <w:shd w:val="clear" w:color="auto" w:fill="8EAADB" w:themeFill="accent1" w:themeFillTint="99"/>
            <w:noWrap/>
            <w:hideMark/>
          </w:tcPr>
          <w:p w14:paraId="3FEF4B28" w14:textId="3C06DA49" w:rsidR="00337231" w:rsidRPr="008167D4" w:rsidRDefault="00337231" w:rsidP="00337231">
            <w:pPr>
              <w:spacing w:after="0" w:line="360" w:lineRule="auto"/>
              <w:rPr>
                <w:rFonts w:ascii="Arial" w:hAnsi="Arial" w:cs="Arial"/>
                <w:noProof/>
                <w:color w:val="000000"/>
                <w:sz w:val="13"/>
                <w:szCs w:val="13"/>
                <w:lang w:val="sr-Latn-RS"/>
              </w:rPr>
            </w:pPr>
            <w:r w:rsidRPr="008167D4">
              <w:rPr>
                <w:rFonts w:ascii="Arial" w:hAnsi="Arial" w:cs="Arial"/>
                <w:noProof/>
                <w:color w:val="000000"/>
                <w:sz w:val="13"/>
                <w:szCs w:val="13"/>
                <w:lang w:val="sr-Latn-RS"/>
              </w:rPr>
              <w:t>Prihod od imovine</w:t>
            </w:r>
          </w:p>
        </w:tc>
        <w:tc>
          <w:tcPr>
            <w:tcW w:w="745" w:type="dxa"/>
            <w:noWrap/>
            <w:vAlign w:val="center"/>
          </w:tcPr>
          <w:p w14:paraId="5A231D70" w14:textId="5D30D850" w:rsidR="00337231" w:rsidRPr="008167D4" w:rsidRDefault="009E2707" w:rsidP="00337231">
            <w:pPr>
              <w:spacing w:after="0" w:line="360" w:lineRule="auto"/>
              <w:jc w:val="right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  <w:t>0,2</w:t>
            </w:r>
          </w:p>
        </w:tc>
        <w:tc>
          <w:tcPr>
            <w:tcW w:w="567" w:type="dxa"/>
            <w:noWrap/>
            <w:vAlign w:val="center"/>
          </w:tcPr>
          <w:p w14:paraId="102D3EB6" w14:textId="1697DD3A" w:rsidR="00337231" w:rsidRPr="008167D4" w:rsidRDefault="009E2707" w:rsidP="00337231">
            <w:pPr>
              <w:spacing w:after="0" w:line="360" w:lineRule="auto"/>
              <w:jc w:val="right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  <w:t>0,1</w:t>
            </w:r>
          </w:p>
        </w:tc>
        <w:tc>
          <w:tcPr>
            <w:tcW w:w="567" w:type="dxa"/>
            <w:noWrap/>
            <w:vAlign w:val="center"/>
          </w:tcPr>
          <w:p w14:paraId="32CB8A9C" w14:textId="12843BE2" w:rsidR="00337231" w:rsidRPr="008167D4" w:rsidRDefault="009E2707" w:rsidP="00337231">
            <w:pPr>
              <w:spacing w:after="0" w:line="360" w:lineRule="auto"/>
              <w:jc w:val="right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  <w:t>0,3</w:t>
            </w:r>
          </w:p>
        </w:tc>
        <w:tc>
          <w:tcPr>
            <w:tcW w:w="567" w:type="dxa"/>
            <w:noWrap/>
            <w:vAlign w:val="center"/>
          </w:tcPr>
          <w:p w14:paraId="459148E1" w14:textId="5589C56E" w:rsidR="00337231" w:rsidRPr="008167D4" w:rsidRDefault="009E2707" w:rsidP="00337231">
            <w:pPr>
              <w:spacing w:after="0" w:line="360" w:lineRule="auto"/>
              <w:jc w:val="right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  <w:t>0,1</w:t>
            </w:r>
          </w:p>
        </w:tc>
        <w:tc>
          <w:tcPr>
            <w:tcW w:w="604" w:type="dxa"/>
            <w:noWrap/>
            <w:vAlign w:val="center"/>
          </w:tcPr>
          <w:p w14:paraId="71A5C124" w14:textId="15461F38" w:rsidR="00337231" w:rsidRPr="008167D4" w:rsidRDefault="009E2707" w:rsidP="00337231">
            <w:pPr>
              <w:spacing w:after="0" w:line="360" w:lineRule="auto"/>
              <w:jc w:val="right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  <w:t>0,3</w:t>
            </w:r>
          </w:p>
        </w:tc>
        <w:tc>
          <w:tcPr>
            <w:tcW w:w="671" w:type="dxa"/>
            <w:noWrap/>
            <w:vAlign w:val="center"/>
          </w:tcPr>
          <w:p w14:paraId="7EEF875F" w14:textId="7B0864AE" w:rsidR="00337231" w:rsidRPr="008167D4" w:rsidRDefault="009E2707" w:rsidP="00337231">
            <w:pPr>
              <w:spacing w:after="0" w:line="360" w:lineRule="auto"/>
              <w:jc w:val="right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  <w:t>0,1</w:t>
            </w:r>
          </w:p>
        </w:tc>
        <w:tc>
          <w:tcPr>
            <w:tcW w:w="590" w:type="dxa"/>
            <w:noWrap/>
            <w:vAlign w:val="center"/>
          </w:tcPr>
          <w:p w14:paraId="46294D1C" w14:textId="5D321228" w:rsidR="00337231" w:rsidRPr="008167D4" w:rsidRDefault="009E2707" w:rsidP="00337231">
            <w:pPr>
              <w:spacing w:after="0" w:line="360" w:lineRule="auto"/>
              <w:jc w:val="right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  <w:t>0,2</w:t>
            </w:r>
          </w:p>
        </w:tc>
        <w:tc>
          <w:tcPr>
            <w:tcW w:w="561" w:type="dxa"/>
            <w:noWrap/>
            <w:vAlign w:val="center"/>
          </w:tcPr>
          <w:p w14:paraId="397FFFEB" w14:textId="5F05C7C2" w:rsidR="00337231" w:rsidRPr="008167D4" w:rsidRDefault="00A07388" w:rsidP="00337231">
            <w:pPr>
              <w:spacing w:after="0" w:line="360" w:lineRule="auto"/>
              <w:jc w:val="right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  <w:t>0,1</w:t>
            </w:r>
          </w:p>
        </w:tc>
        <w:tc>
          <w:tcPr>
            <w:tcW w:w="561" w:type="dxa"/>
            <w:noWrap/>
            <w:vAlign w:val="center"/>
          </w:tcPr>
          <w:p w14:paraId="7E899E8D" w14:textId="1F9028B8" w:rsidR="00337231" w:rsidRPr="008167D4" w:rsidRDefault="00A07388" w:rsidP="00337231">
            <w:pPr>
              <w:spacing w:after="0" w:line="360" w:lineRule="auto"/>
              <w:jc w:val="right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  <w:t>0,2</w:t>
            </w:r>
          </w:p>
        </w:tc>
        <w:tc>
          <w:tcPr>
            <w:tcW w:w="561" w:type="dxa"/>
            <w:noWrap/>
            <w:vAlign w:val="center"/>
          </w:tcPr>
          <w:p w14:paraId="009492AB" w14:textId="2996AC9F" w:rsidR="00337231" w:rsidRPr="008167D4" w:rsidRDefault="00A07388" w:rsidP="00337231">
            <w:pPr>
              <w:spacing w:after="0" w:line="360" w:lineRule="auto"/>
              <w:jc w:val="right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  <w:t>0,1</w:t>
            </w:r>
          </w:p>
        </w:tc>
        <w:tc>
          <w:tcPr>
            <w:tcW w:w="505" w:type="dxa"/>
            <w:noWrap/>
            <w:vAlign w:val="center"/>
          </w:tcPr>
          <w:p w14:paraId="5ECB5EF2" w14:textId="019FAFB8" w:rsidR="00337231" w:rsidRPr="008167D4" w:rsidRDefault="00A07388" w:rsidP="00337231">
            <w:pPr>
              <w:spacing w:after="0" w:line="360" w:lineRule="auto"/>
              <w:jc w:val="right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  <w:t>0,2</w:t>
            </w:r>
          </w:p>
        </w:tc>
      </w:tr>
      <w:tr w:rsidR="00337231" w:rsidRPr="008167D4" w14:paraId="03ECD37A" w14:textId="77777777" w:rsidTr="009E2707">
        <w:trPr>
          <w:trHeight w:val="193"/>
          <w:jc w:val="center"/>
        </w:trPr>
        <w:tc>
          <w:tcPr>
            <w:tcW w:w="2511" w:type="dxa"/>
            <w:shd w:val="clear" w:color="auto" w:fill="8EAADB" w:themeFill="accent1" w:themeFillTint="99"/>
            <w:noWrap/>
            <w:hideMark/>
          </w:tcPr>
          <w:p w14:paraId="7AB57C7F" w14:textId="50BACAD8" w:rsidR="00337231" w:rsidRPr="008167D4" w:rsidRDefault="00337231" w:rsidP="00337231">
            <w:pPr>
              <w:spacing w:after="0" w:line="360" w:lineRule="auto"/>
              <w:rPr>
                <w:rFonts w:ascii="Arial" w:hAnsi="Arial" w:cs="Arial"/>
                <w:noProof/>
                <w:color w:val="000000"/>
                <w:sz w:val="13"/>
                <w:szCs w:val="13"/>
                <w:lang w:val="sr-Latn-RS"/>
              </w:rPr>
            </w:pPr>
            <w:r w:rsidRPr="008167D4">
              <w:rPr>
                <w:rFonts w:ascii="Arial" w:hAnsi="Arial" w:cs="Arial"/>
                <w:noProof/>
                <w:color w:val="000000"/>
                <w:sz w:val="13"/>
                <w:szCs w:val="13"/>
                <w:lang w:val="sr-Latn-RS"/>
              </w:rPr>
              <w:t>Penzije</w:t>
            </w:r>
          </w:p>
        </w:tc>
        <w:tc>
          <w:tcPr>
            <w:tcW w:w="745" w:type="dxa"/>
            <w:noWrap/>
            <w:vAlign w:val="center"/>
          </w:tcPr>
          <w:p w14:paraId="1F760774" w14:textId="57E1339F" w:rsidR="00337231" w:rsidRPr="008167D4" w:rsidRDefault="009E2707" w:rsidP="00337231">
            <w:pPr>
              <w:spacing w:after="0" w:line="360" w:lineRule="auto"/>
              <w:jc w:val="right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  <w:t>32,0</w:t>
            </w:r>
          </w:p>
        </w:tc>
        <w:tc>
          <w:tcPr>
            <w:tcW w:w="567" w:type="dxa"/>
            <w:noWrap/>
            <w:vAlign w:val="center"/>
          </w:tcPr>
          <w:p w14:paraId="0E08B59A" w14:textId="7C8BA3D0" w:rsidR="00337231" w:rsidRPr="008167D4" w:rsidRDefault="009E2707" w:rsidP="00337231">
            <w:pPr>
              <w:spacing w:after="0" w:line="360" w:lineRule="auto"/>
              <w:jc w:val="right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  <w:t>43,4</w:t>
            </w:r>
          </w:p>
        </w:tc>
        <w:tc>
          <w:tcPr>
            <w:tcW w:w="567" w:type="dxa"/>
            <w:noWrap/>
            <w:vAlign w:val="center"/>
          </w:tcPr>
          <w:p w14:paraId="7F2B7ADB" w14:textId="28F14A8C" w:rsidR="00337231" w:rsidRPr="008167D4" w:rsidRDefault="009E2707" w:rsidP="00337231">
            <w:pPr>
              <w:spacing w:after="0" w:line="360" w:lineRule="auto"/>
              <w:jc w:val="right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  <w:t>43,4</w:t>
            </w:r>
          </w:p>
        </w:tc>
        <w:tc>
          <w:tcPr>
            <w:tcW w:w="567" w:type="dxa"/>
            <w:noWrap/>
            <w:vAlign w:val="center"/>
          </w:tcPr>
          <w:p w14:paraId="42152050" w14:textId="66B99BE3" w:rsidR="00337231" w:rsidRPr="008167D4" w:rsidRDefault="009E2707" w:rsidP="00337231">
            <w:pPr>
              <w:spacing w:after="0" w:line="360" w:lineRule="auto"/>
              <w:jc w:val="right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  <w:t>40,0</w:t>
            </w:r>
          </w:p>
        </w:tc>
        <w:tc>
          <w:tcPr>
            <w:tcW w:w="604" w:type="dxa"/>
            <w:noWrap/>
            <w:vAlign w:val="center"/>
          </w:tcPr>
          <w:p w14:paraId="3F858789" w14:textId="5FCCB22E" w:rsidR="00337231" w:rsidRPr="008167D4" w:rsidRDefault="009E2707" w:rsidP="00337231">
            <w:pPr>
              <w:spacing w:after="0" w:line="360" w:lineRule="auto"/>
              <w:jc w:val="right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  <w:t>38,0</w:t>
            </w:r>
          </w:p>
        </w:tc>
        <w:tc>
          <w:tcPr>
            <w:tcW w:w="671" w:type="dxa"/>
            <w:noWrap/>
            <w:vAlign w:val="center"/>
          </w:tcPr>
          <w:p w14:paraId="00AD70E2" w14:textId="00973D44" w:rsidR="00337231" w:rsidRPr="008167D4" w:rsidRDefault="009E2707" w:rsidP="00337231">
            <w:pPr>
              <w:spacing w:after="0" w:line="360" w:lineRule="auto"/>
              <w:jc w:val="right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  <w:t>30,1</w:t>
            </w:r>
          </w:p>
        </w:tc>
        <w:tc>
          <w:tcPr>
            <w:tcW w:w="590" w:type="dxa"/>
            <w:noWrap/>
            <w:vAlign w:val="center"/>
          </w:tcPr>
          <w:p w14:paraId="18D046FA" w14:textId="7E3CF14C" w:rsidR="00337231" w:rsidRPr="008167D4" w:rsidRDefault="009E2707" w:rsidP="00337231">
            <w:pPr>
              <w:spacing w:after="0" w:line="360" w:lineRule="auto"/>
              <w:jc w:val="right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  <w:t>31,8</w:t>
            </w:r>
          </w:p>
        </w:tc>
        <w:tc>
          <w:tcPr>
            <w:tcW w:w="561" w:type="dxa"/>
            <w:noWrap/>
            <w:vAlign w:val="center"/>
          </w:tcPr>
          <w:p w14:paraId="093F9321" w14:textId="479DC380" w:rsidR="00337231" w:rsidRPr="008167D4" w:rsidRDefault="00A07388" w:rsidP="00337231">
            <w:pPr>
              <w:spacing w:after="0" w:line="360" w:lineRule="auto"/>
              <w:jc w:val="right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  <w:t>28,7</w:t>
            </w:r>
          </w:p>
        </w:tc>
        <w:tc>
          <w:tcPr>
            <w:tcW w:w="561" w:type="dxa"/>
            <w:noWrap/>
            <w:vAlign w:val="center"/>
          </w:tcPr>
          <w:p w14:paraId="66FC21B4" w14:textId="3787CEF6" w:rsidR="00337231" w:rsidRPr="008167D4" w:rsidRDefault="00A07388" w:rsidP="00337231">
            <w:pPr>
              <w:spacing w:after="0" w:line="360" w:lineRule="auto"/>
              <w:jc w:val="right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  <w:t>26,1</w:t>
            </w:r>
          </w:p>
        </w:tc>
        <w:tc>
          <w:tcPr>
            <w:tcW w:w="561" w:type="dxa"/>
            <w:noWrap/>
            <w:vAlign w:val="center"/>
          </w:tcPr>
          <w:p w14:paraId="71A5EE3C" w14:textId="48FA89C8" w:rsidR="00337231" w:rsidRPr="008167D4" w:rsidRDefault="00A07388" w:rsidP="00337231">
            <w:pPr>
              <w:spacing w:after="0" w:line="360" w:lineRule="auto"/>
              <w:jc w:val="right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  <w:t>19,6</w:t>
            </w:r>
          </w:p>
        </w:tc>
        <w:tc>
          <w:tcPr>
            <w:tcW w:w="505" w:type="dxa"/>
            <w:noWrap/>
            <w:vAlign w:val="center"/>
          </w:tcPr>
          <w:p w14:paraId="05B17547" w14:textId="2FCEDE62" w:rsidR="00337231" w:rsidRPr="008167D4" w:rsidRDefault="00A07388" w:rsidP="00337231">
            <w:pPr>
              <w:spacing w:after="0" w:line="360" w:lineRule="auto"/>
              <w:jc w:val="right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  <w:t>19,2</w:t>
            </w:r>
          </w:p>
        </w:tc>
      </w:tr>
      <w:tr w:rsidR="00337231" w:rsidRPr="008167D4" w14:paraId="1BFC3B0F" w14:textId="77777777" w:rsidTr="009E2707">
        <w:trPr>
          <w:trHeight w:val="193"/>
          <w:jc w:val="center"/>
        </w:trPr>
        <w:tc>
          <w:tcPr>
            <w:tcW w:w="2511" w:type="dxa"/>
            <w:shd w:val="clear" w:color="auto" w:fill="8EAADB" w:themeFill="accent1" w:themeFillTint="99"/>
            <w:noWrap/>
            <w:hideMark/>
          </w:tcPr>
          <w:p w14:paraId="2F79A904" w14:textId="313BD364" w:rsidR="00337231" w:rsidRPr="008167D4" w:rsidRDefault="00337231" w:rsidP="00337231">
            <w:pPr>
              <w:spacing w:after="0" w:line="360" w:lineRule="auto"/>
              <w:rPr>
                <w:rFonts w:ascii="Arial" w:hAnsi="Arial" w:cs="Arial"/>
                <w:noProof/>
                <w:color w:val="000000"/>
                <w:sz w:val="13"/>
                <w:szCs w:val="13"/>
                <w:lang w:val="sr-Latn-RS"/>
              </w:rPr>
            </w:pPr>
            <w:r w:rsidRPr="008167D4">
              <w:rPr>
                <w:rFonts w:ascii="Arial" w:hAnsi="Arial" w:cs="Arial"/>
                <w:noProof/>
                <w:color w:val="000000"/>
                <w:sz w:val="13"/>
                <w:szCs w:val="13"/>
                <w:lang w:val="sr-Latn-RS"/>
              </w:rPr>
              <w:t>Naknada za nezaposlenost</w:t>
            </w:r>
          </w:p>
        </w:tc>
        <w:tc>
          <w:tcPr>
            <w:tcW w:w="745" w:type="dxa"/>
            <w:noWrap/>
            <w:vAlign w:val="center"/>
          </w:tcPr>
          <w:p w14:paraId="6955D30C" w14:textId="51CDB345" w:rsidR="00337231" w:rsidRPr="008167D4" w:rsidRDefault="009E2707" w:rsidP="00337231">
            <w:pPr>
              <w:spacing w:after="0" w:line="360" w:lineRule="auto"/>
              <w:jc w:val="right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  <w:t>0,1</w:t>
            </w:r>
          </w:p>
        </w:tc>
        <w:tc>
          <w:tcPr>
            <w:tcW w:w="567" w:type="dxa"/>
            <w:noWrap/>
            <w:vAlign w:val="center"/>
          </w:tcPr>
          <w:p w14:paraId="1C8E4FF9" w14:textId="462F8A84" w:rsidR="00337231" w:rsidRPr="008167D4" w:rsidRDefault="009E2707" w:rsidP="00337231">
            <w:pPr>
              <w:spacing w:after="0" w:line="360" w:lineRule="auto"/>
              <w:jc w:val="right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  <w:t>0,3</w:t>
            </w:r>
          </w:p>
        </w:tc>
        <w:tc>
          <w:tcPr>
            <w:tcW w:w="567" w:type="dxa"/>
            <w:noWrap/>
            <w:vAlign w:val="center"/>
          </w:tcPr>
          <w:p w14:paraId="1A9ECA6B" w14:textId="4BC5ADB5" w:rsidR="00337231" w:rsidRPr="008167D4" w:rsidRDefault="009E2707" w:rsidP="00337231">
            <w:pPr>
              <w:spacing w:after="0" w:line="360" w:lineRule="auto"/>
              <w:jc w:val="right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14:paraId="58C81EDF" w14:textId="06836722" w:rsidR="00337231" w:rsidRPr="008167D4" w:rsidRDefault="009E2707" w:rsidP="00337231">
            <w:pPr>
              <w:spacing w:after="0" w:line="360" w:lineRule="auto"/>
              <w:jc w:val="right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  <w:t>0,1</w:t>
            </w:r>
          </w:p>
        </w:tc>
        <w:tc>
          <w:tcPr>
            <w:tcW w:w="604" w:type="dxa"/>
            <w:noWrap/>
            <w:vAlign w:val="center"/>
          </w:tcPr>
          <w:p w14:paraId="10552D1A" w14:textId="726F37DE" w:rsidR="00337231" w:rsidRPr="008167D4" w:rsidRDefault="009E2707" w:rsidP="00337231">
            <w:pPr>
              <w:spacing w:after="0" w:line="360" w:lineRule="auto"/>
              <w:jc w:val="right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  <w:t>0,3</w:t>
            </w:r>
          </w:p>
        </w:tc>
        <w:tc>
          <w:tcPr>
            <w:tcW w:w="671" w:type="dxa"/>
            <w:noWrap/>
            <w:vAlign w:val="center"/>
          </w:tcPr>
          <w:p w14:paraId="2EAFFAFD" w14:textId="197622D8" w:rsidR="00337231" w:rsidRPr="008167D4" w:rsidRDefault="009E2707" w:rsidP="00337231">
            <w:pPr>
              <w:spacing w:after="0" w:line="360" w:lineRule="auto"/>
              <w:jc w:val="right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  <w:t>0,1</w:t>
            </w:r>
          </w:p>
        </w:tc>
        <w:tc>
          <w:tcPr>
            <w:tcW w:w="590" w:type="dxa"/>
            <w:noWrap/>
            <w:vAlign w:val="center"/>
          </w:tcPr>
          <w:p w14:paraId="303C8CC2" w14:textId="25A0C0FD" w:rsidR="00337231" w:rsidRPr="008167D4" w:rsidRDefault="009E2707" w:rsidP="00337231">
            <w:pPr>
              <w:spacing w:after="0" w:line="360" w:lineRule="auto"/>
              <w:jc w:val="right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  <w:t>0,4</w:t>
            </w:r>
          </w:p>
        </w:tc>
        <w:tc>
          <w:tcPr>
            <w:tcW w:w="561" w:type="dxa"/>
            <w:noWrap/>
            <w:vAlign w:val="center"/>
          </w:tcPr>
          <w:p w14:paraId="1DF0C7F1" w14:textId="0A61E423" w:rsidR="00337231" w:rsidRPr="008167D4" w:rsidRDefault="00A07388" w:rsidP="00337231">
            <w:pPr>
              <w:spacing w:after="0" w:line="360" w:lineRule="auto"/>
              <w:jc w:val="right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  <w:t>-</w:t>
            </w:r>
          </w:p>
        </w:tc>
        <w:tc>
          <w:tcPr>
            <w:tcW w:w="561" w:type="dxa"/>
            <w:noWrap/>
            <w:vAlign w:val="center"/>
          </w:tcPr>
          <w:p w14:paraId="39333DBF" w14:textId="701B96A5" w:rsidR="00337231" w:rsidRPr="008167D4" w:rsidRDefault="00A07388" w:rsidP="00337231">
            <w:pPr>
              <w:spacing w:after="0" w:line="360" w:lineRule="auto"/>
              <w:jc w:val="right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  <w:t>-</w:t>
            </w:r>
          </w:p>
        </w:tc>
        <w:tc>
          <w:tcPr>
            <w:tcW w:w="561" w:type="dxa"/>
            <w:noWrap/>
            <w:vAlign w:val="center"/>
          </w:tcPr>
          <w:p w14:paraId="7DD49004" w14:textId="4E84A91A" w:rsidR="00337231" w:rsidRPr="008167D4" w:rsidRDefault="00A07388" w:rsidP="00337231">
            <w:pPr>
              <w:spacing w:after="0" w:line="360" w:lineRule="auto"/>
              <w:jc w:val="right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  <w:t>-</w:t>
            </w:r>
          </w:p>
        </w:tc>
        <w:tc>
          <w:tcPr>
            <w:tcW w:w="505" w:type="dxa"/>
            <w:noWrap/>
            <w:vAlign w:val="center"/>
          </w:tcPr>
          <w:p w14:paraId="5EA5DC2B" w14:textId="2E3619B6" w:rsidR="00337231" w:rsidRPr="008167D4" w:rsidRDefault="00A07388" w:rsidP="00337231">
            <w:pPr>
              <w:spacing w:after="0" w:line="360" w:lineRule="auto"/>
              <w:jc w:val="right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  <w:t>-</w:t>
            </w:r>
          </w:p>
        </w:tc>
      </w:tr>
      <w:tr w:rsidR="00337231" w:rsidRPr="008167D4" w14:paraId="644B26A3" w14:textId="77777777" w:rsidTr="008E40DA">
        <w:trPr>
          <w:trHeight w:val="193"/>
          <w:jc w:val="center"/>
        </w:trPr>
        <w:tc>
          <w:tcPr>
            <w:tcW w:w="2511" w:type="dxa"/>
            <w:shd w:val="clear" w:color="auto" w:fill="8EAADB" w:themeFill="accent1" w:themeFillTint="99"/>
            <w:noWrap/>
          </w:tcPr>
          <w:p w14:paraId="46B79999" w14:textId="5107E217" w:rsidR="00337231" w:rsidRPr="008167D4" w:rsidRDefault="00337231" w:rsidP="00E45D48">
            <w:pPr>
              <w:spacing w:after="0"/>
              <w:rPr>
                <w:rFonts w:ascii="Arial" w:hAnsi="Arial" w:cs="Arial"/>
                <w:noProof/>
                <w:color w:val="000000"/>
                <w:sz w:val="13"/>
                <w:szCs w:val="13"/>
                <w:lang w:val="sr-Latn-RS"/>
              </w:rPr>
            </w:pPr>
            <w:r w:rsidRPr="008167D4">
              <w:rPr>
                <w:rFonts w:ascii="Arial" w:hAnsi="Arial" w:cs="Arial"/>
                <w:noProof/>
                <w:color w:val="000000"/>
                <w:sz w:val="13"/>
                <w:szCs w:val="13"/>
                <w:lang w:val="sr-Latn-RS"/>
              </w:rPr>
              <w:t>Socijalni transferi (novčana socijalna pomoć, dečiji dodatak, sl.)</w:t>
            </w:r>
          </w:p>
        </w:tc>
        <w:tc>
          <w:tcPr>
            <w:tcW w:w="745" w:type="dxa"/>
            <w:noWrap/>
            <w:vAlign w:val="center"/>
          </w:tcPr>
          <w:p w14:paraId="0C8C4CD7" w14:textId="09530A54" w:rsidR="00337231" w:rsidRPr="008167D4" w:rsidRDefault="009E2707" w:rsidP="00337231">
            <w:pPr>
              <w:spacing w:after="0" w:line="360" w:lineRule="auto"/>
              <w:jc w:val="right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  <w:t>1,9</w:t>
            </w:r>
          </w:p>
        </w:tc>
        <w:tc>
          <w:tcPr>
            <w:tcW w:w="567" w:type="dxa"/>
            <w:noWrap/>
            <w:vAlign w:val="center"/>
          </w:tcPr>
          <w:p w14:paraId="7D6C87CD" w14:textId="79377776" w:rsidR="00337231" w:rsidRPr="008167D4" w:rsidRDefault="009E2707" w:rsidP="00337231">
            <w:pPr>
              <w:spacing w:after="0" w:line="360" w:lineRule="auto"/>
              <w:jc w:val="right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  <w:t>12,4</w:t>
            </w:r>
          </w:p>
        </w:tc>
        <w:tc>
          <w:tcPr>
            <w:tcW w:w="567" w:type="dxa"/>
            <w:noWrap/>
            <w:vAlign w:val="center"/>
          </w:tcPr>
          <w:p w14:paraId="47A2D06A" w14:textId="35890CD7" w:rsidR="00337231" w:rsidRPr="008167D4" w:rsidRDefault="009E2707" w:rsidP="00337231">
            <w:pPr>
              <w:spacing w:after="0" w:line="360" w:lineRule="auto"/>
              <w:jc w:val="right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  <w:t>3,4</w:t>
            </w:r>
          </w:p>
        </w:tc>
        <w:tc>
          <w:tcPr>
            <w:tcW w:w="567" w:type="dxa"/>
            <w:noWrap/>
            <w:vAlign w:val="center"/>
          </w:tcPr>
          <w:p w14:paraId="4C223F9C" w14:textId="335CD1CA" w:rsidR="00337231" w:rsidRPr="008167D4" w:rsidRDefault="009E2707" w:rsidP="00337231">
            <w:pPr>
              <w:spacing w:after="0" w:line="360" w:lineRule="auto"/>
              <w:jc w:val="right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  <w:t>1,4</w:t>
            </w:r>
          </w:p>
        </w:tc>
        <w:tc>
          <w:tcPr>
            <w:tcW w:w="604" w:type="dxa"/>
            <w:noWrap/>
            <w:vAlign w:val="center"/>
          </w:tcPr>
          <w:p w14:paraId="58EF19FD" w14:textId="4F531C23" w:rsidR="00337231" w:rsidRPr="008167D4" w:rsidRDefault="009E2707" w:rsidP="00337231">
            <w:pPr>
              <w:spacing w:after="0" w:line="360" w:lineRule="auto"/>
              <w:jc w:val="right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  <w:t>0,7</w:t>
            </w:r>
          </w:p>
        </w:tc>
        <w:tc>
          <w:tcPr>
            <w:tcW w:w="671" w:type="dxa"/>
            <w:noWrap/>
            <w:vAlign w:val="center"/>
          </w:tcPr>
          <w:p w14:paraId="67C4E257" w14:textId="1716BB62" w:rsidR="00337231" w:rsidRPr="008167D4" w:rsidRDefault="009E2707" w:rsidP="00337231">
            <w:pPr>
              <w:spacing w:after="0" w:line="360" w:lineRule="auto"/>
              <w:jc w:val="right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  <w:t>0,1</w:t>
            </w:r>
          </w:p>
        </w:tc>
        <w:tc>
          <w:tcPr>
            <w:tcW w:w="590" w:type="dxa"/>
            <w:noWrap/>
            <w:vAlign w:val="center"/>
          </w:tcPr>
          <w:p w14:paraId="072BFEDF" w14:textId="48A54C97" w:rsidR="00337231" w:rsidRPr="008167D4" w:rsidRDefault="009E2707" w:rsidP="00337231">
            <w:pPr>
              <w:spacing w:after="0" w:line="360" w:lineRule="auto"/>
              <w:jc w:val="right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  <w:t>0,5</w:t>
            </w:r>
          </w:p>
        </w:tc>
        <w:tc>
          <w:tcPr>
            <w:tcW w:w="561" w:type="dxa"/>
            <w:noWrap/>
            <w:vAlign w:val="center"/>
          </w:tcPr>
          <w:p w14:paraId="3DDD6DA1" w14:textId="7C5B9D46" w:rsidR="00337231" w:rsidRPr="008167D4" w:rsidRDefault="00A07388" w:rsidP="00337231">
            <w:pPr>
              <w:spacing w:after="0" w:line="360" w:lineRule="auto"/>
              <w:jc w:val="right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  <w:t>0,2</w:t>
            </w:r>
          </w:p>
        </w:tc>
        <w:tc>
          <w:tcPr>
            <w:tcW w:w="561" w:type="dxa"/>
            <w:noWrap/>
            <w:vAlign w:val="center"/>
          </w:tcPr>
          <w:p w14:paraId="72C3914D" w14:textId="0B46DF43" w:rsidR="00337231" w:rsidRPr="008167D4" w:rsidRDefault="00A07388" w:rsidP="00337231">
            <w:pPr>
              <w:spacing w:after="0" w:line="360" w:lineRule="auto"/>
              <w:jc w:val="right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  <w:t>0,1</w:t>
            </w:r>
          </w:p>
        </w:tc>
        <w:tc>
          <w:tcPr>
            <w:tcW w:w="561" w:type="dxa"/>
            <w:noWrap/>
            <w:vAlign w:val="center"/>
          </w:tcPr>
          <w:p w14:paraId="53AA32AE" w14:textId="4DDA08BB" w:rsidR="00337231" w:rsidRPr="008167D4" w:rsidRDefault="00A07388" w:rsidP="00337231">
            <w:pPr>
              <w:spacing w:after="0" w:line="360" w:lineRule="auto"/>
              <w:jc w:val="right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  <w:t>0,5</w:t>
            </w:r>
          </w:p>
        </w:tc>
        <w:tc>
          <w:tcPr>
            <w:tcW w:w="505" w:type="dxa"/>
            <w:noWrap/>
            <w:vAlign w:val="center"/>
          </w:tcPr>
          <w:p w14:paraId="436712DB" w14:textId="3BFC9615" w:rsidR="00337231" w:rsidRPr="008167D4" w:rsidRDefault="00A07388" w:rsidP="00337231">
            <w:pPr>
              <w:spacing w:after="0" w:line="360" w:lineRule="auto"/>
              <w:jc w:val="right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  <w:t>0,2</w:t>
            </w:r>
          </w:p>
        </w:tc>
      </w:tr>
      <w:tr w:rsidR="00337231" w:rsidRPr="008167D4" w14:paraId="3727B13F" w14:textId="77777777" w:rsidTr="009E2707">
        <w:trPr>
          <w:trHeight w:val="193"/>
          <w:jc w:val="center"/>
        </w:trPr>
        <w:tc>
          <w:tcPr>
            <w:tcW w:w="2511" w:type="dxa"/>
            <w:shd w:val="clear" w:color="auto" w:fill="8EAADB" w:themeFill="accent1" w:themeFillTint="99"/>
            <w:noWrap/>
            <w:hideMark/>
          </w:tcPr>
          <w:p w14:paraId="36727555" w14:textId="6E34F116" w:rsidR="00337231" w:rsidRPr="008167D4" w:rsidRDefault="00337231" w:rsidP="00337231">
            <w:pPr>
              <w:spacing w:after="0" w:line="360" w:lineRule="auto"/>
              <w:rPr>
                <w:rFonts w:ascii="Arial" w:hAnsi="Arial" w:cs="Arial"/>
                <w:noProof/>
                <w:color w:val="000000"/>
                <w:sz w:val="13"/>
                <w:szCs w:val="13"/>
                <w:lang w:val="sr-Latn-RS"/>
              </w:rPr>
            </w:pPr>
            <w:r w:rsidRPr="008167D4">
              <w:rPr>
                <w:rFonts w:ascii="Arial" w:hAnsi="Arial" w:cs="Arial"/>
                <w:noProof/>
                <w:color w:val="000000"/>
                <w:sz w:val="13"/>
                <w:szCs w:val="13"/>
                <w:lang w:val="sr-Latn-RS"/>
              </w:rPr>
              <w:t>Ostala primanja</w:t>
            </w:r>
          </w:p>
        </w:tc>
        <w:tc>
          <w:tcPr>
            <w:tcW w:w="745" w:type="dxa"/>
            <w:noWrap/>
            <w:vAlign w:val="center"/>
          </w:tcPr>
          <w:p w14:paraId="600C1146" w14:textId="4C9199C0" w:rsidR="00337231" w:rsidRPr="008167D4" w:rsidRDefault="009E2707" w:rsidP="00337231">
            <w:pPr>
              <w:spacing w:after="0" w:line="360" w:lineRule="auto"/>
              <w:jc w:val="right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  <w:t>0,9</w:t>
            </w:r>
          </w:p>
        </w:tc>
        <w:tc>
          <w:tcPr>
            <w:tcW w:w="567" w:type="dxa"/>
            <w:noWrap/>
            <w:vAlign w:val="center"/>
          </w:tcPr>
          <w:p w14:paraId="49FF8AA3" w14:textId="79955B57" w:rsidR="00337231" w:rsidRPr="008167D4" w:rsidRDefault="009E2707" w:rsidP="00337231">
            <w:pPr>
              <w:spacing w:after="0" w:line="360" w:lineRule="auto"/>
              <w:jc w:val="right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  <w:t>1,9</w:t>
            </w:r>
          </w:p>
        </w:tc>
        <w:tc>
          <w:tcPr>
            <w:tcW w:w="567" w:type="dxa"/>
            <w:noWrap/>
            <w:vAlign w:val="center"/>
          </w:tcPr>
          <w:p w14:paraId="6B7671BE" w14:textId="17248D66" w:rsidR="00337231" w:rsidRPr="008167D4" w:rsidRDefault="009E2707" w:rsidP="00337231">
            <w:pPr>
              <w:spacing w:after="0" w:line="360" w:lineRule="auto"/>
              <w:jc w:val="right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  <w:t>1,1</w:t>
            </w:r>
          </w:p>
        </w:tc>
        <w:tc>
          <w:tcPr>
            <w:tcW w:w="567" w:type="dxa"/>
            <w:noWrap/>
            <w:vAlign w:val="center"/>
          </w:tcPr>
          <w:p w14:paraId="39F680C2" w14:textId="6B7BE35C" w:rsidR="00337231" w:rsidRPr="008167D4" w:rsidRDefault="009E2707" w:rsidP="00337231">
            <w:pPr>
              <w:spacing w:after="0" w:line="360" w:lineRule="auto"/>
              <w:jc w:val="right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  <w:t>0,8</w:t>
            </w:r>
          </w:p>
        </w:tc>
        <w:tc>
          <w:tcPr>
            <w:tcW w:w="604" w:type="dxa"/>
            <w:noWrap/>
            <w:vAlign w:val="center"/>
          </w:tcPr>
          <w:p w14:paraId="40B65A55" w14:textId="76290A25" w:rsidR="00337231" w:rsidRPr="008167D4" w:rsidRDefault="009E2707" w:rsidP="00337231">
            <w:pPr>
              <w:spacing w:after="0" w:line="360" w:lineRule="auto"/>
              <w:jc w:val="right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  <w:t>0,3</w:t>
            </w:r>
          </w:p>
        </w:tc>
        <w:tc>
          <w:tcPr>
            <w:tcW w:w="671" w:type="dxa"/>
            <w:noWrap/>
            <w:vAlign w:val="center"/>
          </w:tcPr>
          <w:p w14:paraId="2EB45023" w14:textId="59203F09" w:rsidR="00337231" w:rsidRPr="008167D4" w:rsidRDefault="009E2707" w:rsidP="00337231">
            <w:pPr>
              <w:spacing w:after="0" w:line="360" w:lineRule="auto"/>
              <w:jc w:val="right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  <w:t>1,8</w:t>
            </w:r>
          </w:p>
        </w:tc>
        <w:tc>
          <w:tcPr>
            <w:tcW w:w="590" w:type="dxa"/>
            <w:noWrap/>
            <w:vAlign w:val="center"/>
          </w:tcPr>
          <w:p w14:paraId="56731FB6" w14:textId="3475115E" w:rsidR="00337231" w:rsidRPr="008167D4" w:rsidRDefault="00A07388" w:rsidP="00337231">
            <w:pPr>
              <w:spacing w:after="0" w:line="360" w:lineRule="auto"/>
              <w:jc w:val="right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  <w:t>1,1</w:t>
            </w:r>
          </w:p>
        </w:tc>
        <w:tc>
          <w:tcPr>
            <w:tcW w:w="561" w:type="dxa"/>
            <w:noWrap/>
            <w:vAlign w:val="center"/>
          </w:tcPr>
          <w:p w14:paraId="19947085" w14:textId="563E717F" w:rsidR="00337231" w:rsidRPr="008167D4" w:rsidRDefault="00A07388" w:rsidP="00337231">
            <w:pPr>
              <w:spacing w:after="0" w:line="360" w:lineRule="auto"/>
              <w:jc w:val="right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  <w:t>0,8</w:t>
            </w:r>
          </w:p>
        </w:tc>
        <w:tc>
          <w:tcPr>
            <w:tcW w:w="561" w:type="dxa"/>
            <w:noWrap/>
            <w:vAlign w:val="center"/>
          </w:tcPr>
          <w:p w14:paraId="6EAD6B44" w14:textId="314AC616" w:rsidR="00337231" w:rsidRPr="008167D4" w:rsidRDefault="00A07388" w:rsidP="00337231">
            <w:pPr>
              <w:spacing w:after="0" w:line="360" w:lineRule="auto"/>
              <w:jc w:val="right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  <w:t>0,9</w:t>
            </w:r>
          </w:p>
        </w:tc>
        <w:tc>
          <w:tcPr>
            <w:tcW w:w="561" w:type="dxa"/>
            <w:noWrap/>
            <w:vAlign w:val="center"/>
          </w:tcPr>
          <w:p w14:paraId="0DF8FE73" w14:textId="76E467F1" w:rsidR="00337231" w:rsidRPr="008167D4" w:rsidRDefault="00A07388" w:rsidP="00337231">
            <w:pPr>
              <w:spacing w:after="0" w:line="360" w:lineRule="auto"/>
              <w:jc w:val="right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  <w:t>0,4</w:t>
            </w:r>
          </w:p>
        </w:tc>
        <w:tc>
          <w:tcPr>
            <w:tcW w:w="505" w:type="dxa"/>
            <w:noWrap/>
            <w:vAlign w:val="center"/>
          </w:tcPr>
          <w:p w14:paraId="2446473D" w14:textId="7D291DB0" w:rsidR="00337231" w:rsidRPr="008167D4" w:rsidRDefault="00A07388" w:rsidP="00337231">
            <w:pPr>
              <w:spacing w:after="0" w:line="360" w:lineRule="auto"/>
              <w:jc w:val="right"/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3"/>
                <w:szCs w:val="13"/>
                <w:lang w:val="sr-Latn-RS"/>
              </w:rPr>
              <w:t>0,4</w:t>
            </w:r>
          </w:p>
        </w:tc>
      </w:tr>
    </w:tbl>
    <w:p w14:paraId="668569F6" w14:textId="5D0BF00A" w:rsidR="00337231" w:rsidRPr="008167D4" w:rsidRDefault="00337231" w:rsidP="00337231">
      <w:pPr>
        <w:spacing w:after="0" w:line="240" w:lineRule="auto"/>
        <w:jc w:val="both"/>
        <w:rPr>
          <w:rFonts w:ascii="Arial" w:hAnsi="Arial" w:cs="Arial"/>
          <w:i/>
          <w:noProof/>
          <w:color w:val="000000" w:themeColor="text1"/>
          <w:sz w:val="15"/>
          <w:szCs w:val="16"/>
          <w:lang w:val="sr-Latn-RS"/>
        </w:rPr>
      </w:pPr>
      <w:r w:rsidRPr="008167D4">
        <w:rPr>
          <w:rFonts w:ascii="Arial" w:hAnsi="Arial" w:cs="Arial"/>
          <w:i/>
          <w:noProof/>
          <w:color w:val="000000" w:themeColor="text1"/>
          <w:sz w:val="15"/>
          <w:szCs w:val="16"/>
          <w:lang w:val="sr-Latn-RS"/>
        </w:rPr>
        <w:t>Izvor: Anketa o potrošnji domaćinstava, Republički zavod za statistiku, 201</w:t>
      </w:r>
      <w:r w:rsidR="00E61BF7">
        <w:rPr>
          <w:rFonts w:ascii="Arial" w:hAnsi="Arial" w:cs="Arial"/>
          <w:i/>
          <w:noProof/>
          <w:color w:val="000000" w:themeColor="text1"/>
          <w:sz w:val="15"/>
          <w:szCs w:val="16"/>
          <w:lang w:val="sr-Latn-RS"/>
        </w:rPr>
        <w:t>9</w:t>
      </w:r>
      <w:r w:rsidRPr="008167D4">
        <w:rPr>
          <w:rFonts w:ascii="Arial" w:hAnsi="Arial" w:cs="Arial"/>
          <w:i/>
          <w:noProof/>
          <w:color w:val="000000" w:themeColor="text1"/>
          <w:sz w:val="15"/>
          <w:szCs w:val="16"/>
          <w:lang w:val="sr-Latn-RS"/>
        </w:rPr>
        <w:t xml:space="preserve">. </w:t>
      </w:r>
    </w:p>
    <w:p w14:paraId="273EE2CD" w14:textId="77777777" w:rsidR="00337231" w:rsidRPr="008167D4" w:rsidRDefault="00337231" w:rsidP="00337231">
      <w:pPr>
        <w:spacing w:after="0" w:line="240" w:lineRule="auto"/>
        <w:jc w:val="both"/>
        <w:rPr>
          <w:rFonts w:ascii="Arial" w:hAnsi="Arial" w:cs="Arial"/>
          <w:i/>
          <w:noProof/>
          <w:color w:val="000000" w:themeColor="text1"/>
          <w:sz w:val="15"/>
          <w:szCs w:val="16"/>
          <w:lang w:val="sr-Latn-RS"/>
        </w:rPr>
      </w:pPr>
      <w:r w:rsidRPr="008167D4">
        <w:rPr>
          <w:rFonts w:ascii="Arial" w:hAnsi="Arial" w:cs="Arial"/>
          <w:i/>
          <w:noProof/>
          <w:color w:val="000000" w:themeColor="text1"/>
          <w:sz w:val="15"/>
          <w:szCs w:val="16"/>
          <w:lang w:val="sr-Latn-RS"/>
        </w:rPr>
        <w:t>Posebna obrada za potrebe Tima za socijalno uključivanje i smanjenje siromaštva Vlade Republike Srbije</w:t>
      </w:r>
    </w:p>
    <w:p w14:paraId="3ED67DED" w14:textId="77777777" w:rsidR="00B004E5" w:rsidRPr="008167D4" w:rsidRDefault="00B004E5" w:rsidP="00CC7346">
      <w:pPr>
        <w:spacing w:after="0"/>
        <w:jc w:val="both"/>
        <w:rPr>
          <w:rFonts w:ascii="Arial" w:hAnsi="Arial" w:cs="Arial"/>
          <w:i/>
          <w:noProof/>
          <w:color w:val="000000" w:themeColor="text1"/>
          <w:sz w:val="15"/>
          <w:szCs w:val="16"/>
          <w:lang w:val="sr-Latn-RS"/>
        </w:rPr>
      </w:pPr>
    </w:p>
    <w:p w14:paraId="56961125" w14:textId="3FCC8D3D" w:rsidR="00FC4258" w:rsidRDefault="00FC4258" w:rsidP="003D715A">
      <w:pP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sz w:val="18"/>
          <w:szCs w:val="18"/>
          <w:lang w:val="sr-Latn-RS"/>
        </w:rPr>
      </w:pPr>
    </w:p>
    <w:p w14:paraId="2526D7A9" w14:textId="77777777" w:rsidR="00FC4258" w:rsidRPr="008167D4" w:rsidRDefault="00FC4258" w:rsidP="003D715A">
      <w:pP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sz w:val="18"/>
          <w:szCs w:val="18"/>
          <w:lang w:val="sr-Latn-RS"/>
        </w:rPr>
      </w:pPr>
    </w:p>
    <w:p w14:paraId="15017F87" w14:textId="0759CAB9" w:rsidR="00B004E5" w:rsidRPr="008167D4" w:rsidRDefault="008167D4" w:rsidP="003D715A">
      <w:pP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sz w:val="18"/>
          <w:szCs w:val="18"/>
          <w:lang w:val="sr-Latn-RS"/>
        </w:rPr>
      </w:pPr>
      <w:r w:rsidRPr="008167D4">
        <w:rPr>
          <w:rFonts w:ascii="Arial" w:hAnsi="Arial" w:cs="Arial"/>
          <w:b/>
          <w:noProof/>
          <w:color w:val="000000" w:themeColor="text1"/>
          <w:sz w:val="18"/>
          <w:szCs w:val="18"/>
          <w:lang w:val="sr-Latn-RS"/>
        </w:rPr>
        <w:t>Grafikon 3. Glavni izvori prihoda prvog i desetog decila,</w:t>
      </w:r>
      <w:r w:rsidR="00A24158">
        <w:rPr>
          <w:rFonts w:ascii="Arial" w:hAnsi="Arial" w:cs="Arial"/>
          <w:b/>
          <w:noProof/>
          <w:color w:val="000000" w:themeColor="text1"/>
          <w:sz w:val="18"/>
          <w:szCs w:val="18"/>
          <w:lang w:val="sr-Latn-RS"/>
        </w:rPr>
        <w:t xml:space="preserve"> %,</w:t>
      </w:r>
      <w:r w:rsidRPr="008167D4">
        <w:rPr>
          <w:rFonts w:ascii="Arial" w:hAnsi="Arial" w:cs="Arial"/>
          <w:b/>
          <w:noProof/>
          <w:color w:val="000000" w:themeColor="text1"/>
          <w:sz w:val="18"/>
          <w:szCs w:val="18"/>
          <w:lang w:val="sr-Latn-RS"/>
        </w:rPr>
        <w:t xml:space="preserve"> 201</w:t>
      </w:r>
      <w:r w:rsidR="007C29F5">
        <w:rPr>
          <w:rFonts w:ascii="Arial" w:hAnsi="Arial" w:cs="Arial"/>
          <w:b/>
          <w:noProof/>
          <w:color w:val="000000" w:themeColor="text1"/>
          <w:sz w:val="18"/>
          <w:szCs w:val="18"/>
          <w:lang w:val="sr-Latn-RS"/>
        </w:rPr>
        <w:t>9</w:t>
      </w:r>
      <w:r w:rsidRPr="008167D4">
        <w:rPr>
          <w:rFonts w:ascii="Arial" w:hAnsi="Arial" w:cs="Arial"/>
          <w:b/>
          <w:noProof/>
          <w:color w:val="000000" w:themeColor="text1"/>
          <w:sz w:val="18"/>
          <w:szCs w:val="18"/>
          <w:lang w:val="sr-Latn-RS"/>
        </w:rPr>
        <w:t>.</w:t>
      </w:r>
    </w:p>
    <w:p w14:paraId="2F5502EA" w14:textId="4E20B288" w:rsidR="00CC7346" w:rsidRPr="008167D4" w:rsidRDefault="003A4847" w:rsidP="003D715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noProof/>
          <w:color w:val="000000" w:themeColor="text1"/>
          <w:sz w:val="15"/>
          <w:szCs w:val="16"/>
          <w:lang w:val="sr-Latn-RS"/>
        </w:rPr>
      </w:pPr>
      <w:r>
        <w:rPr>
          <w:noProof/>
        </w:rPr>
        <w:drawing>
          <wp:inline distT="0" distB="0" distL="0" distR="0" wp14:anchorId="0AEABBF4" wp14:editId="37B74972">
            <wp:extent cx="2638425" cy="2419985"/>
            <wp:effectExtent l="0" t="0" r="9525" b="18415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917FD0B-B2F1-4592-AA75-D44DC5FE30F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6DF1C2" wp14:editId="23D991F9">
            <wp:extent cx="2809875" cy="2428875"/>
            <wp:effectExtent l="0" t="0" r="9525" b="9525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B4117AC-EFE5-41DC-896F-5E4E1F2414C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071BDD6" w14:textId="1A3E6F7E" w:rsidR="00337231" w:rsidRPr="008167D4" w:rsidRDefault="00337231" w:rsidP="00337231">
      <w:pPr>
        <w:spacing w:after="0" w:line="240" w:lineRule="auto"/>
        <w:jc w:val="both"/>
        <w:rPr>
          <w:rFonts w:ascii="Arial" w:hAnsi="Arial" w:cs="Arial"/>
          <w:i/>
          <w:noProof/>
          <w:color w:val="000000" w:themeColor="text1"/>
          <w:sz w:val="15"/>
          <w:szCs w:val="16"/>
          <w:lang w:val="sr-Latn-RS"/>
        </w:rPr>
      </w:pPr>
      <w:r w:rsidRPr="008167D4">
        <w:rPr>
          <w:rFonts w:ascii="Arial" w:hAnsi="Arial" w:cs="Arial"/>
          <w:i/>
          <w:noProof/>
          <w:color w:val="000000" w:themeColor="text1"/>
          <w:sz w:val="15"/>
          <w:szCs w:val="16"/>
          <w:lang w:val="sr-Latn-RS"/>
        </w:rPr>
        <w:t>Izvor: Anketa o potrošnji domaćinstava, Republički zavod za statistiku, 201</w:t>
      </w:r>
      <w:r w:rsidR="00A21C1E">
        <w:rPr>
          <w:rFonts w:ascii="Arial" w:hAnsi="Arial" w:cs="Arial"/>
          <w:i/>
          <w:noProof/>
          <w:color w:val="000000" w:themeColor="text1"/>
          <w:sz w:val="15"/>
          <w:szCs w:val="16"/>
          <w:lang w:val="sr-Latn-RS"/>
        </w:rPr>
        <w:t>9</w:t>
      </w:r>
      <w:r w:rsidRPr="008167D4">
        <w:rPr>
          <w:rFonts w:ascii="Arial" w:hAnsi="Arial" w:cs="Arial"/>
          <w:i/>
          <w:noProof/>
          <w:color w:val="000000" w:themeColor="text1"/>
          <w:sz w:val="15"/>
          <w:szCs w:val="16"/>
          <w:lang w:val="sr-Latn-RS"/>
        </w:rPr>
        <w:t xml:space="preserve">. </w:t>
      </w:r>
    </w:p>
    <w:p w14:paraId="7703640C" w14:textId="252A829F" w:rsidR="00B004E5" w:rsidRPr="00A54246" w:rsidRDefault="00337231" w:rsidP="00A54246">
      <w:pPr>
        <w:spacing w:after="0" w:line="240" w:lineRule="auto"/>
        <w:jc w:val="both"/>
        <w:rPr>
          <w:rFonts w:ascii="Arial" w:hAnsi="Arial" w:cs="Arial"/>
          <w:i/>
          <w:noProof/>
          <w:color w:val="000000" w:themeColor="text1"/>
          <w:sz w:val="15"/>
          <w:szCs w:val="16"/>
          <w:lang w:val="sr-Latn-RS"/>
        </w:rPr>
      </w:pPr>
      <w:r w:rsidRPr="008167D4">
        <w:rPr>
          <w:rFonts w:ascii="Arial" w:hAnsi="Arial" w:cs="Arial"/>
          <w:i/>
          <w:noProof/>
          <w:color w:val="000000" w:themeColor="text1"/>
          <w:sz w:val="15"/>
          <w:szCs w:val="16"/>
          <w:lang w:val="sr-Latn-RS"/>
        </w:rPr>
        <w:t>Posebna obrada za potrebe Tima za socijalno uključivanje i smanjenje siromaštva Vlade Republike Srbije</w:t>
      </w:r>
    </w:p>
    <w:p w14:paraId="509C16EC" w14:textId="77777777" w:rsidR="00A24158" w:rsidRDefault="00A24158" w:rsidP="00A54246">
      <w:pPr>
        <w:spacing w:before="480" w:after="240"/>
        <w:jc w:val="both"/>
        <w:rPr>
          <w:rFonts w:ascii="Arial" w:eastAsia="Times New Roman" w:hAnsi="Arial" w:cs="Arial"/>
          <w:b/>
          <w:bCs/>
          <w:noProof/>
          <w:sz w:val="26"/>
          <w:szCs w:val="26"/>
          <w:lang w:val="sr-Latn-RS" w:bidi="ar-SA"/>
        </w:rPr>
      </w:pPr>
    </w:p>
    <w:p w14:paraId="6402C5E8" w14:textId="0F284623" w:rsidR="001C32E5" w:rsidRDefault="008167D4" w:rsidP="00A54246">
      <w:pPr>
        <w:spacing w:before="480" w:after="240"/>
        <w:jc w:val="both"/>
        <w:rPr>
          <w:rFonts w:ascii="Arial" w:hAnsi="Arial" w:cs="Arial"/>
          <w:noProof/>
          <w:color w:val="000000" w:themeColor="text1"/>
          <w:sz w:val="21"/>
          <w:szCs w:val="21"/>
          <w:lang w:val="sr-Latn-RS"/>
        </w:rPr>
      </w:pPr>
      <w:r w:rsidRPr="00937B80">
        <w:rPr>
          <w:rFonts w:ascii="Arial" w:eastAsia="Times New Roman" w:hAnsi="Arial" w:cs="Arial"/>
          <w:b/>
          <w:bCs/>
          <w:noProof/>
          <w:sz w:val="26"/>
          <w:szCs w:val="26"/>
          <w:lang w:val="sr-Latn-RS" w:bidi="ar-SA"/>
        </w:rPr>
        <w:t>Raspodela prihoda po decilima</w:t>
      </w:r>
      <w:r w:rsidR="00CC7346" w:rsidRPr="008167D4">
        <w:rPr>
          <w:rFonts w:ascii="Arial" w:eastAsia="Times New Roman" w:hAnsi="Arial" w:cs="Arial"/>
          <w:b/>
          <w:bCs/>
          <w:noProof/>
          <w:sz w:val="21"/>
          <w:szCs w:val="21"/>
          <w:lang w:val="sr-Latn-RS" w:bidi="ar-SA"/>
        </w:rPr>
        <w:t xml:space="preserve"> -</w:t>
      </w:r>
      <w:r w:rsidR="00B004E5" w:rsidRPr="008167D4">
        <w:rPr>
          <w:rFonts w:ascii="Arial" w:hAnsi="Arial" w:cs="Arial"/>
          <w:b/>
          <w:noProof/>
          <w:color w:val="000000" w:themeColor="text1"/>
          <w:sz w:val="26"/>
          <w:szCs w:val="26"/>
          <w:lang w:val="sr-Latn-RS"/>
        </w:rPr>
        <w:t xml:space="preserve"> </w:t>
      </w:r>
      <w:r w:rsidR="006B7817" w:rsidRPr="00600786">
        <w:rPr>
          <w:rFonts w:ascii="Arial" w:hAnsi="Arial" w:cs="Arial"/>
          <w:noProof/>
          <w:color w:val="000000" w:themeColor="text1"/>
          <w:sz w:val="21"/>
          <w:szCs w:val="21"/>
          <w:lang w:val="sr-Latn-RS"/>
        </w:rPr>
        <w:t xml:space="preserve">U Republici Srbiji 10% najsiromašnijeg </w:t>
      </w:r>
      <w:r w:rsidR="006B7817">
        <w:rPr>
          <w:rFonts w:ascii="Arial" w:hAnsi="Arial" w:cs="Arial"/>
          <w:noProof/>
          <w:color w:val="000000" w:themeColor="text1"/>
          <w:sz w:val="21"/>
          <w:szCs w:val="21"/>
          <w:lang w:val="sr-Latn-RS"/>
        </w:rPr>
        <w:t xml:space="preserve">stanovništva učestvovalo je sa tek 3% u ukupnim ostvarenim prihodima </w:t>
      </w:r>
      <w:r w:rsidR="001C32E5">
        <w:rPr>
          <w:rFonts w:ascii="Arial" w:hAnsi="Arial" w:cs="Arial"/>
          <w:noProof/>
          <w:color w:val="000000" w:themeColor="text1"/>
          <w:sz w:val="21"/>
          <w:szCs w:val="21"/>
          <w:lang w:val="sr-Latn-RS"/>
        </w:rPr>
        <w:t xml:space="preserve">stanovništva </w:t>
      </w:r>
      <w:r w:rsidR="006B7817">
        <w:rPr>
          <w:rFonts w:ascii="Arial" w:hAnsi="Arial" w:cs="Arial"/>
          <w:noProof/>
          <w:color w:val="000000" w:themeColor="text1"/>
          <w:sz w:val="21"/>
          <w:szCs w:val="21"/>
          <w:lang w:val="sr-Latn-RS"/>
        </w:rPr>
        <w:t xml:space="preserve">u 2019. godini. Ovaj udeo bio je i niži 2018. godine i iznosio je 2,6%. Udeo prihoda najbogatijih 10% stanovništva je 2019. godine u ukupnim prihodima iznosio čak 21,4%, što je zapravo manje nego 2018. godine kada je ovaj udeo iznosio skoro 24%. Ipak, u odnosu na 2017. godinu, udeo najbogatijih u ukupnim prihodima se </w:t>
      </w:r>
      <w:r w:rsidR="0012499A">
        <w:rPr>
          <w:rFonts w:ascii="Arial" w:hAnsi="Arial" w:cs="Arial"/>
          <w:noProof/>
          <w:color w:val="000000" w:themeColor="text1"/>
          <w:sz w:val="21"/>
          <w:szCs w:val="21"/>
          <w:lang w:val="sr-Latn-RS"/>
        </w:rPr>
        <w:t xml:space="preserve">2019. godine </w:t>
      </w:r>
      <w:r w:rsidR="006B7817">
        <w:rPr>
          <w:rFonts w:ascii="Arial" w:hAnsi="Arial" w:cs="Arial"/>
          <w:noProof/>
          <w:color w:val="000000" w:themeColor="text1"/>
          <w:sz w:val="21"/>
          <w:szCs w:val="21"/>
          <w:lang w:val="sr-Latn-RS"/>
        </w:rPr>
        <w:t xml:space="preserve">povećao za 1,4 procentnih poena. </w:t>
      </w:r>
    </w:p>
    <w:p w14:paraId="0B8E18DC" w14:textId="1AC2BF65" w:rsidR="001C32E5" w:rsidRDefault="001C32E5" w:rsidP="00A54246">
      <w:pPr>
        <w:spacing w:before="480" w:after="240"/>
        <w:jc w:val="both"/>
        <w:rPr>
          <w:rFonts w:ascii="Arial" w:hAnsi="Arial" w:cs="Arial"/>
          <w:noProof/>
          <w:color w:val="000000" w:themeColor="text1"/>
          <w:sz w:val="21"/>
          <w:szCs w:val="21"/>
          <w:lang w:val="sr-Latn-RS"/>
        </w:rPr>
      </w:pPr>
    </w:p>
    <w:p w14:paraId="3C354DA4" w14:textId="63F06CEF" w:rsidR="00A24158" w:rsidRDefault="00A24158" w:rsidP="00A54246">
      <w:pPr>
        <w:spacing w:before="480" w:after="240"/>
        <w:jc w:val="both"/>
        <w:rPr>
          <w:rFonts w:ascii="Arial" w:hAnsi="Arial" w:cs="Arial"/>
          <w:noProof/>
          <w:color w:val="000000" w:themeColor="text1"/>
          <w:sz w:val="21"/>
          <w:szCs w:val="21"/>
          <w:lang w:val="sr-Latn-RS"/>
        </w:rPr>
      </w:pPr>
    </w:p>
    <w:p w14:paraId="198FFD4B" w14:textId="43F4F260" w:rsidR="00A24158" w:rsidRDefault="00A24158" w:rsidP="00A54246">
      <w:pPr>
        <w:spacing w:before="480" w:after="240"/>
        <w:jc w:val="both"/>
        <w:rPr>
          <w:rFonts w:ascii="Arial" w:hAnsi="Arial" w:cs="Arial"/>
          <w:noProof/>
          <w:color w:val="000000" w:themeColor="text1"/>
          <w:sz w:val="21"/>
          <w:szCs w:val="21"/>
          <w:lang w:val="sr-Latn-RS"/>
        </w:rPr>
      </w:pPr>
    </w:p>
    <w:p w14:paraId="4669B8DE" w14:textId="27B438F9" w:rsidR="00B004E5" w:rsidRPr="008167D4" w:rsidRDefault="008167D4" w:rsidP="006704BB">
      <w:pP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sz w:val="18"/>
          <w:szCs w:val="18"/>
          <w:lang w:val="sr-Latn-RS"/>
        </w:rPr>
      </w:pPr>
      <w:r w:rsidRPr="008167D4">
        <w:rPr>
          <w:rFonts w:ascii="Arial" w:hAnsi="Arial" w:cs="Arial"/>
          <w:b/>
          <w:noProof/>
          <w:color w:val="000000" w:themeColor="text1"/>
          <w:sz w:val="18"/>
          <w:szCs w:val="18"/>
          <w:lang w:val="sr-Latn-RS"/>
        </w:rPr>
        <w:lastRenderedPageBreak/>
        <w:t>Grafikon</w:t>
      </w:r>
      <w:r w:rsidR="006704BB" w:rsidRPr="008167D4">
        <w:rPr>
          <w:rFonts w:ascii="Arial" w:hAnsi="Arial" w:cs="Arial"/>
          <w:b/>
          <w:noProof/>
          <w:color w:val="000000" w:themeColor="text1"/>
          <w:sz w:val="18"/>
          <w:szCs w:val="18"/>
          <w:lang w:val="sr-Latn-RS"/>
        </w:rPr>
        <w:t xml:space="preserve"> 4. </w:t>
      </w:r>
      <w:r w:rsidRPr="008167D4">
        <w:rPr>
          <w:rFonts w:ascii="Arial" w:hAnsi="Arial" w:cs="Arial"/>
          <w:b/>
          <w:noProof/>
          <w:color w:val="000000" w:themeColor="text1"/>
          <w:sz w:val="18"/>
          <w:szCs w:val="18"/>
          <w:lang w:val="sr-Latn-RS"/>
        </w:rPr>
        <w:t>Učešće pojedinih decila u raspodeli ukupnog prihoda</w:t>
      </w:r>
      <w:r w:rsidR="006704BB" w:rsidRPr="008167D4">
        <w:rPr>
          <w:rFonts w:ascii="Arial" w:hAnsi="Arial" w:cs="Arial"/>
          <w:b/>
          <w:noProof/>
          <w:color w:val="000000" w:themeColor="text1"/>
          <w:sz w:val="18"/>
          <w:szCs w:val="18"/>
          <w:lang w:val="sr-Latn-RS"/>
        </w:rPr>
        <w:t>, % 201</w:t>
      </w:r>
      <w:r w:rsidR="00C67845">
        <w:rPr>
          <w:rFonts w:ascii="Arial" w:hAnsi="Arial" w:cs="Arial"/>
          <w:b/>
          <w:noProof/>
          <w:color w:val="000000" w:themeColor="text1"/>
          <w:sz w:val="18"/>
          <w:szCs w:val="18"/>
          <w:lang w:val="sr-Latn-RS"/>
        </w:rPr>
        <w:t>9</w:t>
      </w:r>
      <w:r w:rsidR="006704BB" w:rsidRPr="008167D4">
        <w:rPr>
          <w:rFonts w:ascii="Arial" w:hAnsi="Arial" w:cs="Arial"/>
          <w:b/>
          <w:noProof/>
          <w:color w:val="000000" w:themeColor="text1"/>
          <w:sz w:val="18"/>
          <w:szCs w:val="18"/>
          <w:lang w:val="sr-Latn-RS"/>
        </w:rPr>
        <w:t xml:space="preserve">. </w:t>
      </w:r>
      <w:r w:rsidRPr="008167D4">
        <w:rPr>
          <w:rFonts w:ascii="Arial" w:hAnsi="Arial" w:cs="Arial"/>
          <w:b/>
          <w:noProof/>
          <w:color w:val="000000" w:themeColor="text1"/>
          <w:sz w:val="18"/>
          <w:szCs w:val="18"/>
          <w:lang w:val="sr-Latn-RS"/>
        </w:rPr>
        <w:t>godine</w:t>
      </w:r>
      <w:r w:rsidR="006704BB" w:rsidRPr="008167D4">
        <w:rPr>
          <w:rFonts w:ascii="Arial" w:hAnsi="Arial" w:cs="Arial"/>
          <w:b/>
          <w:noProof/>
          <w:color w:val="000000" w:themeColor="text1"/>
          <w:sz w:val="18"/>
          <w:szCs w:val="18"/>
          <w:lang w:val="sr-Latn-RS"/>
        </w:rPr>
        <w:t xml:space="preserve"> </w:t>
      </w:r>
    </w:p>
    <w:p w14:paraId="1B367734" w14:textId="4D6E3240" w:rsidR="006704BB" w:rsidRPr="008167D4" w:rsidRDefault="005446EC" w:rsidP="00937B80">
      <w:pPr>
        <w:spacing w:before="120" w:after="120"/>
        <w:rPr>
          <w:rFonts w:ascii="Arial" w:hAnsi="Arial" w:cs="Arial"/>
          <w:noProof/>
          <w:color w:val="000000" w:themeColor="text1"/>
          <w:sz w:val="21"/>
          <w:szCs w:val="21"/>
          <w:lang w:val="sr-Latn-RS"/>
        </w:rPr>
      </w:pPr>
      <w:r>
        <w:rPr>
          <w:noProof/>
          <w:lang w:bidi="ar-SA"/>
        </w:rPr>
        <w:drawing>
          <wp:inline distT="0" distB="0" distL="0" distR="0" wp14:anchorId="178A9B3E" wp14:editId="2BDE20B7">
            <wp:extent cx="4572000" cy="2743200"/>
            <wp:effectExtent l="0" t="0" r="0" b="0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F6AB235" w14:textId="77777777" w:rsidR="00BA436E" w:rsidRDefault="00937B80" w:rsidP="00BA436E">
      <w:pPr>
        <w:spacing w:after="0" w:line="240" w:lineRule="auto"/>
        <w:rPr>
          <w:rFonts w:ascii="Arial" w:hAnsi="Arial" w:cs="Arial"/>
          <w:noProof/>
          <w:color w:val="000000" w:themeColor="text1"/>
          <w:sz w:val="21"/>
          <w:szCs w:val="21"/>
          <w:lang w:val="sr-Latn-RS"/>
        </w:rPr>
      </w:pPr>
      <w:r w:rsidRPr="008167D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6B201" wp14:editId="23C551BF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3247390" cy="1828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739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DF7353" w14:textId="2E05CA7D" w:rsidR="006704BB" w:rsidRPr="006704BB" w:rsidRDefault="00337231" w:rsidP="006704B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5"/>
                                <w:szCs w:val="16"/>
                                <w:lang w:val="sr-Cyrl-RS"/>
                              </w:rPr>
                            </w:pPr>
                            <w:proofErr w:type="spellStart"/>
                            <w:r w:rsidRPr="0033723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5"/>
                                <w:szCs w:val="16"/>
                                <w:lang w:val="sr-Cyrl-RS"/>
                              </w:rPr>
                              <w:t>Izvor</w:t>
                            </w:r>
                            <w:proofErr w:type="spellEnd"/>
                            <w:r w:rsidRPr="0033723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5"/>
                                <w:szCs w:val="16"/>
                                <w:lang w:val="sr-Cyrl-RS"/>
                              </w:rPr>
                              <w:t xml:space="preserve">: </w:t>
                            </w:r>
                            <w:proofErr w:type="spellStart"/>
                            <w:r w:rsidRPr="0033723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5"/>
                                <w:szCs w:val="16"/>
                                <w:lang w:val="sr-Cyrl-RS"/>
                              </w:rPr>
                              <w:t>Anketa</w:t>
                            </w:r>
                            <w:proofErr w:type="spellEnd"/>
                            <w:r w:rsidRPr="0033723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5"/>
                                <w:szCs w:val="16"/>
                                <w:lang w:val="sr-Cyrl-RS"/>
                              </w:rPr>
                              <w:t xml:space="preserve"> o </w:t>
                            </w:r>
                            <w:proofErr w:type="spellStart"/>
                            <w:r w:rsidRPr="0033723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5"/>
                                <w:szCs w:val="16"/>
                                <w:lang w:val="sr-Cyrl-RS"/>
                              </w:rPr>
                              <w:t>potrošnji</w:t>
                            </w:r>
                            <w:proofErr w:type="spellEnd"/>
                            <w:r w:rsidRPr="0033723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5"/>
                                <w:szCs w:val="16"/>
                                <w:lang w:val="sr-Cyrl-RS"/>
                              </w:rPr>
                              <w:t xml:space="preserve"> </w:t>
                            </w:r>
                            <w:proofErr w:type="spellStart"/>
                            <w:r w:rsidRPr="0033723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5"/>
                                <w:szCs w:val="16"/>
                                <w:lang w:val="sr-Cyrl-RS"/>
                              </w:rPr>
                              <w:t>domaćinstava</w:t>
                            </w:r>
                            <w:proofErr w:type="spellEnd"/>
                            <w:r w:rsidRPr="0033723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5"/>
                                <w:szCs w:val="16"/>
                                <w:lang w:val="sr-Cyrl-RS"/>
                              </w:rPr>
                              <w:t xml:space="preserve">, </w:t>
                            </w:r>
                            <w:proofErr w:type="spellStart"/>
                            <w:r w:rsidRPr="0033723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5"/>
                                <w:szCs w:val="16"/>
                                <w:lang w:val="sr-Cyrl-RS"/>
                              </w:rPr>
                              <w:t>Republički</w:t>
                            </w:r>
                            <w:proofErr w:type="spellEnd"/>
                            <w:r w:rsidRPr="0033723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5"/>
                                <w:szCs w:val="16"/>
                                <w:lang w:val="sr-Cyrl-RS"/>
                              </w:rPr>
                              <w:t xml:space="preserve"> </w:t>
                            </w:r>
                            <w:proofErr w:type="spellStart"/>
                            <w:r w:rsidRPr="0033723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5"/>
                                <w:szCs w:val="16"/>
                                <w:lang w:val="sr-Cyrl-RS"/>
                              </w:rPr>
                              <w:t>zavod</w:t>
                            </w:r>
                            <w:proofErr w:type="spellEnd"/>
                            <w:r w:rsidRPr="0033723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5"/>
                                <w:szCs w:val="16"/>
                                <w:lang w:val="sr-Cyrl-RS"/>
                              </w:rPr>
                              <w:t xml:space="preserve"> </w:t>
                            </w:r>
                            <w:proofErr w:type="spellStart"/>
                            <w:r w:rsidRPr="0033723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5"/>
                                <w:szCs w:val="16"/>
                                <w:lang w:val="sr-Cyrl-RS"/>
                              </w:rPr>
                              <w:t>za</w:t>
                            </w:r>
                            <w:proofErr w:type="spellEnd"/>
                            <w:r w:rsidRPr="0033723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5"/>
                                <w:szCs w:val="16"/>
                                <w:lang w:val="sr-Cyrl-RS"/>
                              </w:rPr>
                              <w:t xml:space="preserve"> </w:t>
                            </w:r>
                            <w:proofErr w:type="spellStart"/>
                            <w:r w:rsidRPr="0033723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5"/>
                                <w:szCs w:val="16"/>
                                <w:lang w:val="sr-Cyrl-RS"/>
                              </w:rPr>
                              <w:t>statistiku</w:t>
                            </w:r>
                            <w:proofErr w:type="spellEnd"/>
                            <w:r w:rsidRPr="0033723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5"/>
                                <w:szCs w:val="16"/>
                                <w:lang w:val="sr-Cyrl-RS"/>
                              </w:rPr>
                              <w:t>, 201</w:t>
                            </w:r>
                            <w:r w:rsidR="00C67845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5"/>
                                <w:szCs w:val="16"/>
                                <w:lang w:val="sr-Latn-RS"/>
                              </w:rPr>
                              <w:t>9</w:t>
                            </w:r>
                            <w:r w:rsidRPr="0033723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5"/>
                                <w:szCs w:val="16"/>
                                <w:lang w:val="sr-Cyrl-RS"/>
                              </w:rPr>
                              <w:t xml:space="preserve">. </w:t>
                            </w:r>
                            <w:proofErr w:type="spellStart"/>
                            <w:r w:rsidRPr="0033723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5"/>
                                <w:szCs w:val="16"/>
                                <w:lang w:val="sr-Cyrl-RS"/>
                              </w:rPr>
                              <w:t>Posebna</w:t>
                            </w:r>
                            <w:proofErr w:type="spellEnd"/>
                            <w:r w:rsidRPr="0033723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5"/>
                                <w:szCs w:val="16"/>
                                <w:lang w:val="sr-Cyrl-RS"/>
                              </w:rPr>
                              <w:t xml:space="preserve"> </w:t>
                            </w:r>
                            <w:proofErr w:type="spellStart"/>
                            <w:r w:rsidRPr="0033723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5"/>
                                <w:szCs w:val="16"/>
                                <w:lang w:val="sr-Cyrl-RS"/>
                              </w:rPr>
                              <w:t>obrada</w:t>
                            </w:r>
                            <w:proofErr w:type="spellEnd"/>
                            <w:r w:rsidRPr="0033723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5"/>
                                <w:szCs w:val="16"/>
                                <w:lang w:val="sr-Cyrl-RS"/>
                              </w:rPr>
                              <w:t xml:space="preserve"> </w:t>
                            </w:r>
                            <w:proofErr w:type="spellStart"/>
                            <w:r w:rsidRPr="0033723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5"/>
                                <w:szCs w:val="16"/>
                                <w:lang w:val="sr-Cyrl-RS"/>
                              </w:rPr>
                              <w:t>za</w:t>
                            </w:r>
                            <w:proofErr w:type="spellEnd"/>
                            <w:r w:rsidRPr="0033723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5"/>
                                <w:szCs w:val="16"/>
                                <w:lang w:val="sr-Cyrl-RS"/>
                              </w:rPr>
                              <w:t xml:space="preserve"> </w:t>
                            </w:r>
                            <w:proofErr w:type="spellStart"/>
                            <w:r w:rsidRPr="0033723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5"/>
                                <w:szCs w:val="16"/>
                                <w:lang w:val="sr-Cyrl-RS"/>
                              </w:rPr>
                              <w:t>potrebe</w:t>
                            </w:r>
                            <w:proofErr w:type="spellEnd"/>
                            <w:r w:rsidRPr="0033723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5"/>
                                <w:szCs w:val="16"/>
                                <w:lang w:val="sr-Cyrl-RS"/>
                              </w:rPr>
                              <w:t xml:space="preserve"> </w:t>
                            </w:r>
                            <w:proofErr w:type="spellStart"/>
                            <w:r w:rsidRPr="0033723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5"/>
                                <w:szCs w:val="16"/>
                                <w:lang w:val="sr-Cyrl-RS"/>
                              </w:rPr>
                              <w:t>Tima</w:t>
                            </w:r>
                            <w:proofErr w:type="spellEnd"/>
                            <w:r w:rsidRPr="0033723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5"/>
                                <w:szCs w:val="16"/>
                                <w:lang w:val="sr-Cyrl-RS"/>
                              </w:rPr>
                              <w:t xml:space="preserve"> </w:t>
                            </w:r>
                            <w:proofErr w:type="spellStart"/>
                            <w:r w:rsidRPr="0033723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5"/>
                                <w:szCs w:val="16"/>
                                <w:lang w:val="sr-Cyrl-RS"/>
                              </w:rPr>
                              <w:t>za</w:t>
                            </w:r>
                            <w:proofErr w:type="spellEnd"/>
                            <w:r w:rsidRPr="0033723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5"/>
                                <w:szCs w:val="16"/>
                                <w:lang w:val="sr-Cyrl-RS"/>
                              </w:rPr>
                              <w:t xml:space="preserve"> </w:t>
                            </w:r>
                            <w:proofErr w:type="spellStart"/>
                            <w:r w:rsidRPr="0033723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5"/>
                                <w:szCs w:val="16"/>
                                <w:lang w:val="sr-Cyrl-RS"/>
                              </w:rPr>
                              <w:t>socijalno</w:t>
                            </w:r>
                            <w:proofErr w:type="spellEnd"/>
                            <w:r w:rsidRPr="0033723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5"/>
                                <w:szCs w:val="16"/>
                                <w:lang w:val="sr-Cyrl-RS"/>
                              </w:rPr>
                              <w:t xml:space="preserve"> </w:t>
                            </w:r>
                            <w:proofErr w:type="spellStart"/>
                            <w:r w:rsidRPr="0033723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5"/>
                                <w:szCs w:val="16"/>
                                <w:lang w:val="sr-Cyrl-RS"/>
                              </w:rPr>
                              <w:t>uključivanje</w:t>
                            </w:r>
                            <w:proofErr w:type="spellEnd"/>
                            <w:r w:rsidRPr="0033723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5"/>
                                <w:szCs w:val="16"/>
                                <w:lang w:val="sr-Cyrl-RS"/>
                              </w:rPr>
                              <w:t xml:space="preserve"> i </w:t>
                            </w:r>
                            <w:proofErr w:type="spellStart"/>
                            <w:r w:rsidRPr="0033723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5"/>
                                <w:szCs w:val="16"/>
                                <w:lang w:val="sr-Cyrl-RS"/>
                              </w:rPr>
                              <w:t>smanjenje</w:t>
                            </w:r>
                            <w:proofErr w:type="spellEnd"/>
                            <w:r w:rsidRPr="0033723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5"/>
                                <w:szCs w:val="16"/>
                                <w:lang w:val="sr-Cyrl-RS"/>
                              </w:rPr>
                              <w:t xml:space="preserve"> </w:t>
                            </w:r>
                            <w:proofErr w:type="spellStart"/>
                            <w:r w:rsidRPr="0033723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5"/>
                                <w:szCs w:val="16"/>
                                <w:lang w:val="sr-Cyrl-RS"/>
                              </w:rPr>
                              <w:t>siromaštva</w:t>
                            </w:r>
                            <w:proofErr w:type="spellEnd"/>
                            <w:r w:rsidRPr="0033723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5"/>
                                <w:szCs w:val="16"/>
                                <w:lang w:val="sr-Cyrl-RS"/>
                              </w:rPr>
                              <w:t xml:space="preserve"> </w:t>
                            </w:r>
                            <w:proofErr w:type="spellStart"/>
                            <w:r w:rsidRPr="0033723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5"/>
                                <w:szCs w:val="16"/>
                                <w:lang w:val="sr-Cyrl-RS"/>
                              </w:rPr>
                              <w:t>Vlade</w:t>
                            </w:r>
                            <w:proofErr w:type="spellEnd"/>
                            <w:r w:rsidRPr="0033723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5"/>
                                <w:szCs w:val="16"/>
                                <w:lang w:val="sr-Cyrl-RS"/>
                              </w:rPr>
                              <w:t xml:space="preserve"> </w:t>
                            </w:r>
                            <w:proofErr w:type="spellStart"/>
                            <w:r w:rsidRPr="0033723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5"/>
                                <w:szCs w:val="16"/>
                                <w:lang w:val="sr-Cyrl-RS"/>
                              </w:rPr>
                              <w:t>Republike</w:t>
                            </w:r>
                            <w:proofErr w:type="spellEnd"/>
                            <w:r w:rsidRPr="0033723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5"/>
                                <w:szCs w:val="16"/>
                                <w:lang w:val="sr-Cyrl-RS"/>
                              </w:rPr>
                              <w:t xml:space="preserve"> </w:t>
                            </w:r>
                            <w:proofErr w:type="spellStart"/>
                            <w:r w:rsidRPr="0033723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5"/>
                                <w:szCs w:val="16"/>
                                <w:lang w:val="sr-Cyrl-RS"/>
                              </w:rPr>
                              <w:t>Srbije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56B20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.85pt;width:255.7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" filled="f" stroked="f" strokeweight=".5pt">
                <v:textbox style="mso-fit-shape-to-text:t">
                  <w:txbxContent>
                    <w:p w14:paraId="69DF7353" w14:textId="2E05CA7D" w:rsidR="006704BB" w:rsidRPr="006704BB" w:rsidRDefault="00337231" w:rsidP="006704B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i/>
                          <w:color w:val="000000" w:themeColor="text1"/>
                          <w:sz w:val="15"/>
                          <w:szCs w:val="16"/>
                          <w:lang w:val="sr-Cyrl-RS"/>
                        </w:rPr>
                      </w:pPr>
                      <w:r w:rsidRPr="00337231">
                        <w:rPr>
                          <w:rFonts w:ascii="Arial" w:hAnsi="Arial" w:cs="Arial"/>
                          <w:i/>
                          <w:color w:val="000000" w:themeColor="text1"/>
                          <w:sz w:val="15"/>
                          <w:szCs w:val="16"/>
                          <w:lang w:val="sr-Cyrl-RS"/>
                        </w:rPr>
                        <w:t>Izvor: Anketa o potrošnji domaćinstava, Republički zavod za statistiku, 201</w:t>
                      </w:r>
                      <w:r w:rsidR="00C67845">
                        <w:rPr>
                          <w:rFonts w:ascii="Arial" w:hAnsi="Arial" w:cs="Arial"/>
                          <w:i/>
                          <w:color w:val="000000" w:themeColor="text1"/>
                          <w:sz w:val="15"/>
                          <w:szCs w:val="16"/>
                          <w:lang w:val="sr-Latn-RS"/>
                        </w:rPr>
                        <w:t>9</w:t>
                      </w:r>
                      <w:r w:rsidRPr="00337231">
                        <w:rPr>
                          <w:rFonts w:ascii="Arial" w:hAnsi="Arial" w:cs="Arial"/>
                          <w:i/>
                          <w:color w:val="000000" w:themeColor="text1"/>
                          <w:sz w:val="15"/>
                          <w:szCs w:val="16"/>
                          <w:lang w:val="sr-Cyrl-RS"/>
                        </w:rPr>
                        <w:t>. Posebna obrada za potrebe Tima za socijalno uključivanje i smanjenje siromaštva Vlade Republike Srbije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C80438" w14:textId="77777777" w:rsidR="00BA436E" w:rsidRDefault="00BA436E" w:rsidP="00BA436E">
      <w:pPr>
        <w:spacing w:after="0" w:line="240" w:lineRule="auto"/>
        <w:rPr>
          <w:rFonts w:ascii="Arial" w:hAnsi="Arial" w:cs="Arial"/>
          <w:noProof/>
          <w:color w:val="000000" w:themeColor="text1"/>
          <w:sz w:val="21"/>
          <w:szCs w:val="21"/>
          <w:lang w:val="sr-Latn-RS"/>
        </w:rPr>
      </w:pPr>
    </w:p>
    <w:p w14:paraId="1B8ADDE2" w14:textId="77777777" w:rsidR="00BA436E" w:rsidRDefault="00BA436E" w:rsidP="00BA436E">
      <w:pPr>
        <w:spacing w:after="0" w:line="240" w:lineRule="auto"/>
        <w:rPr>
          <w:rFonts w:ascii="Arial" w:hAnsi="Arial" w:cs="Arial"/>
          <w:noProof/>
          <w:color w:val="000000" w:themeColor="text1"/>
          <w:sz w:val="21"/>
          <w:szCs w:val="21"/>
          <w:lang w:val="sr-Latn-RS"/>
        </w:rPr>
      </w:pPr>
    </w:p>
    <w:p w14:paraId="6D036E97" w14:textId="77777777" w:rsidR="00BA436E" w:rsidRDefault="00BA436E" w:rsidP="00BA436E">
      <w:pPr>
        <w:spacing w:after="0" w:line="240" w:lineRule="auto"/>
        <w:rPr>
          <w:rFonts w:ascii="Arial" w:hAnsi="Arial" w:cs="Arial"/>
          <w:noProof/>
          <w:color w:val="000000" w:themeColor="text1"/>
          <w:sz w:val="21"/>
          <w:szCs w:val="21"/>
          <w:lang w:val="sr-Latn-RS"/>
        </w:rPr>
      </w:pPr>
    </w:p>
    <w:p w14:paraId="120A3589" w14:textId="7AD86199" w:rsidR="00F15A70" w:rsidRDefault="00F15A70" w:rsidP="00BA436E">
      <w:pPr>
        <w:spacing w:after="0"/>
        <w:jc w:val="both"/>
        <w:rPr>
          <w:rFonts w:ascii="Arial" w:hAnsi="Arial" w:cs="Arial"/>
          <w:noProof/>
          <w:color w:val="000000" w:themeColor="text1"/>
          <w:sz w:val="21"/>
          <w:szCs w:val="21"/>
          <w:lang w:val="sr-Latn-RS"/>
        </w:rPr>
      </w:pPr>
      <w:r>
        <w:rPr>
          <w:rFonts w:ascii="Arial" w:hAnsi="Arial" w:cs="Arial"/>
          <w:noProof/>
          <w:color w:val="000000" w:themeColor="text1"/>
          <w:sz w:val="21"/>
          <w:szCs w:val="21"/>
          <w:lang w:val="sr-Latn-RS"/>
        </w:rPr>
        <w:t>Na sledećem grafikonu su prikazani podaci o medijalnoj potrošnji odnosno prihodu, kao potrošnji/prihodu koju ima središnji (medijalni) stanovnik koji deli raspodelu potrošnje svih stanovnika na dva jednaka dela</w:t>
      </w:r>
      <w:r w:rsidRPr="008167D4">
        <w:rPr>
          <w:rStyle w:val="Referencafusnote"/>
          <w:rFonts w:ascii="Arial" w:hAnsi="Arial" w:cs="Arial"/>
          <w:noProof/>
          <w:color w:val="000000" w:themeColor="text1"/>
          <w:sz w:val="21"/>
          <w:szCs w:val="21"/>
          <w:lang w:val="sr-Latn-RS"/>
        </w:rPr>
        <w:footnoteReference w:id="1"/>
      </w:r>
      <w:r>
        <w:rPr>
          <w:rFonts w:ascii="Arial" w:hAnsi="Arial" w:cs="Arial"/>
          <w:noProof/>
          <w:color w:val="000000" w:themeColor="text1"/>
          <w:sz w:val="21"/>
          <w:szCs w:val="21"/>
          <w:lang w:val="sr-Latn-RS"/>
        </w:rPr>
        <w:t xml:space="preserve">. Drugim rečima, polovina stanovnika ima nižu potrošnju/prihod od ovog medijalnog stanovnika, a druga polovina ima višu. Podaci su prikazani po decilima. </w:t>
      </w:r>
    </w:p>
    <w:p w14:paraId="29F0F79D" w14:textId="32E6E99B" w:rsidR="00F15A70" w:rsidRDefault="00F15A70" w:rsidP="00BA436E">
      <w:pPr>
        <w:spacing w:after="0"/>
        <w:jc w:val="both"/>
        <w:rPr>
          <w:rFonts w:ascii="Arial" w:hAnsi="Arial" w:cs="Arial"/>
          <w:noProof/>
          <w:color w:val="000000" w:themeColor="text1"/>
          <w:sz w:val="21"/>
          <w:szCs w:val="21"/>
          <w:lang w:val="sr-Latn-RS"/>
        </w:rPr>
      </w:pPr>
    </w:p>
    <w:p w14:paraId="1960E506" w14:textId="5D51BD64" w:rsidR="00F15A70" w:rsidRDefault="00F15A70" w:rsidP="00F15A70">
      <w:pP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sz w:val="18"/>
          <w:szCs w:val="18"/>
          <w:lang w:val="sr-Latn-RS"/>
        </w:rPr>
      </w:pPr>
      <w:r w:rsidRPr="008167D4">
        <w:rPr>
          <w:rFonts w:ascii="Arial" w:hAnsi="Arial" w:cs="Arial"/>
          <w:b/>
          <w:noProof/>
          <w:color w:val="000000" w:themeColor="text1"/>
          <w:sz w:val="18"/>
          <w:szCs w:val="18"/>
          <w:lang w:val="sr-Latn-RS"/>
        </w:rPr>
        <w:t xml:space="preserve">Grafikon </w:t>
      </w:r>
      <w:r>
        <w:rPr>
          <w:rFonts w:ascii="Arial" w:hAnsi="Arial" w:cs="Arial"/>
          <w:b/>
          <w:noProof/>
          <w:color w:val="000000" w:themeColor="text1"/>
          <w:sz w:val="18"/>
          <w:szCs w:val="18"/>
          <w:lang w:val="sr-Latn-RS"/>
        </w:rPr>
        <w:t>5</w:t>
      </w:r>
      <w:r w:rsidRPr="008167D4">
        <w:rPr>
          <w:rFonts w:ascii="Arial" w:hAnsi="Arial" w:cs="Arial"/>
          <w:b/>
          <w:noProof/>
          <w:color w:val="000000" w:themeColor="text1"/>
          <w:sz w:val="18"/>
          <w:szCs w:val="18"/>
          <w:lang w:val="sr-Latn-RS"/>
        </w:rPr>
        <w:t xml:space="preserve">. </w:t>
      </w:r>
      <w:r>
        <w:rPr>
          <w:rFonts w:ascii="Arial" w:hAnsi="Arial" w:cs="Arial"/>
          <w:b/>
          <w:noProof/>
          <w:color w:val="000000" w:themeColor="text1"/>
          <w:sz w:val="18"/>
          <w:szCs w:val="18"/>
          <w:lang w:val="sr-Latn-RS"/>
        </w:rPr>
        <w:t>Medija</w:t>
      </w:r>
      <w:r w:rsidR="0099633D">
        <w:rPr>
          <w:rFonts w:ascii="Arial" w:hAnsi="Arial" w:cs="Arial"/>
          <w:b/>
          <w:noProof/>
          <w:color w:val="000000" w:themeColor="text1"/>
          <w:sz w:val="18"/>
          <w:szCs w:val="18"/>
          <w:lang w:val="sr-Latn-RS"/>
        </w:rPr>
        <w:t>na</w:t>
      </w:r>
      <w:r>
        <w:rPr>
          <w:rFonts w:ascii="Arial" w:hAnsi="Arial" w:cs="Arial"/>
          <w:b/>
          <w:noProof/>
          <w:color w:val="000000" w:themeColor="text1"/>
          <w:sz w:val="18"/>
          <w:szCs w:val="18"/>
          <w:lang w:val="sr-Latn-RS"/>
        </w:rPr>
        <w:t xml:space="preserve"> </w:t>
      </w:r>
      <w:r w:rsidR="0099633D">
        <w:rPr>
          <w:rFonts w:ascii="Arial" w:hAnsi="Arial" w:cs="Arial"/>
          <w:b/>
          <w:noProof/>
          <w:color w:val="000000" w:themeColor="text1"/>
          <w:sz w:val="18"/>
          <w:szCs w:val="18"/>
          <w:lang w:val="sr-Latn-RS"/>
        </w:rPr>
        <w:t>potrošnje i medijana prihoda po potrošačkoj jedinici -</w:t>
      </w:r>
      <w:r>
        <w:rPr>
          <w:rFonts w:ascii="Arial" w:hAnsi="Arial" w:cs="Arial"/>
          <w:b/>
          <w:noProof/>
          <w:color w:val="000000" w:themeColor="text1"/>
          <w:sz w:val="18"/>
          <w:szCs w:val="18"/>
          <w:lang w:val="sr-Latn-RS"/>
        </w:rPr>
        <w:t xml:space="preserve"> </w:t>
      </w:r>
      <w:r w:rsidR="0099633D">
        <w:rPr>
          <w:rFonts w:ascii="Arial" w:hAnsi="Arial" w:cs="Arial"/>
          <w:b/>
          <w:noProof/>
          <w:color w:val="000000" w:themeColor="text1"/>
          <w:sz w:val="18"/>
          <w:szCs w:val="18"/>
          <w:lang w:val="sr-Latn-RS"/>
        </w:rPr>
        <w:t xml:space="preserve">mesečni iznos, </w:t>
      </w:r>
      <w:r>
        <w:rPr>
          <w:rFonts w:ascii="Arial" w:hAnsi="Arial" w:cs="Arial"/>
          <w:b/>
          <w:noProof/>
          <w:color w:val="000000" w:themeColor="text1"/>
          <w:sz w:val="18"/>
          <w:szCs w:val="18"/>
          <w:lang w:val="sr-Latn-RS"/>
        </w:rPr>
        <w:t xml:space="preserve">po decilima, </w:t>
      </w:r>
      <w:r w:rsidR="009A48CE">
        <w:rPr>
          <w:rFonts w:ascii="Arial" w:hAnsi="Arial" w:cs="Arial"/>
          <w:b/>
          <w:noProof/>
          <w:color w:val="000000" w:themeColor="text1"/>
          <w:sz w:val="18"/>
          <w:szCs w:val="18"/>
          <w:lang w:val="sr-Latn-RS"/>
        </w:rPr>
        <w:t xml:space="preserve">2018. i </w:t>
      </w:r>
      <w:r>
        <w:rPr>
          <w:rFonts w:ascii="Arial" w:hAnsi="Arial" w:cs="Arial"/>
          <w:b/>
          <w:noProof/>
          <w:color w:val="000000" w:themeColor="text1"/>
          <w:sz w:val="18"/>
          <w:szCs w:val="18"/>
          <w:lang w:val="sr-Latn-RS"/>
        </w:rPr>
        <w:t>2019. godina</w:t>
      </w:r>
    </w:p>
    <w:p w14:paraId="7A5300D6" w14:textId="0F2CD550" w:rsidR="00F15A70" w:rsidRDefault="0099633D" w:rsidP="00F15A70">
      <w:pP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sz w:val="18"/>
          <w:szCs w:val="18"/>
          <w:lang w:val="sr-Latn-RS"/>
        </w:rPr>
      </w:pPr>
      <w:r>
        <w:rPr>
          <w:noProof/>
          <w:lang w:bidi="ar-SA"/>
        </w:rPr>
        <w:drawing>
          <wp:inline distT="0" distB="0" distL="0" distR="0" wp14:anchorId="46001A88" wp14:editId="525E26B2">
            <wp:extent cx="4295775" cy="2615565"/>
            <wp:effectExtent l="0" t="0" r="9525" b="1333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2D1602D-C3D3-48CD-81E1-A9B2A60CC61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8077FFB" w14:textId="77777777" w:rsidR="00F15A70" w:rsidRPr="008167D4" w:rsidRDefault="00F15A70" w:rsidP="00F15A70">
      <w:pP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sz w:val="18"/>
          <w:szCs w:val="18"/>
          <w:lang w:val="sr-Latn-RS"/>
        </w:rPr>
      </w:pPr>
    </w:p>
    <w:p w14:paraId="5F9CB1E1" w14:textId="7E2822C8" w:rsidR="00F15A70" w:rsidRDefault="0099633D" w:rsidP="00BA436E">
      <w:pPr>
        <w:spacing w:after="0"/>
        <w:jc w:val="both"/>
        <w:rPr>
          <w:rFonts w:ascii="Arial" w:hAnsi="Arial" w:cs="Arial"/>
          <w:noProof/>
          <w:color w:val="000000" w:themeColor="text1"/>
          <w:sz w:val="21"/>
          <w:szCs w:val="21"/>
          <w:lang w:val="sr-Latn-RS"/>
        </w:rPr>
      </w:pPr>
      <w:r>
        <w:rPr>
          <w:noProof/>
          <w:lang w:bidi="ar-SA"/>
        </w:rPr>
        <w:lastRenderedPageBreak/>
        <w:drawing>
          <wp:inline distT="0" distB="0" distL="0" distR="0" wp14:anchorId="64CB6165" wp14:editId="198BDF10">
            <wp:extent cx="4324350" cy="2705100"/>
            <wp:effectExtent l="0" t="0" r="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EC088DA-FC23-4464-84DB-78B6070F817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A1B5E97" w14:textId="77777777" w:rsidR="00F15A70" w:rsidRDefault="00F15A70" w:rsidP="00BA436E">
      <w:pPr>
        <w:spacing w:after="0"/>
        <w:jc w:val="both"/>
        <w:rPr>
          <w:rFonts w:ascii="Arial" w:hAnsi="Arial" w:cs="Arial"/>
          <w:noProof/>
          <w:color w:val="000000" w:themeColor="text1"/>
          <w:sz w:val="21"/>
          <w:szCs w:val="21"/>
          <w:lang w:val="sr-Latn-RS"/>
        </w:rPr>
      </w:pPr>
    </w:p>
    <w:p w14:paraId="7A836FBE" w14:textId="1E7D994E" w:rsidR="003D715A" w:rsidRDefault="00F15A70" w:rsidP="009A48CE">
      <w:pPr>
        <w:spacing w:after="0"/>
        <w:jc w:val="both"/>
        <w:rPr>
          <w:rFonts w:ascii="Arial" w:hAnsi="Arial" w:cs="Arial"/>
          <w:noProof/>
          <w:color w:val="000000" w:themeColor="text1"/>
          <w:sz w:val="21"/>
          <w:szCs w:val="21"/>
          <w:lang w:val="sr-Latn-RS"/>
        </w:rPr>
      </w:pPr>
      <w:r>
        <w:rPr>
          <w:rFonts w:ascii="Arial" w:hAnsi="Arial" w:cs="Arial"/>
          <w:noProof/>
          <w:color w:val="000000" w:themeColor="text1"/>
          <w:sz w:val="21"/>
          <w:szCs w:val="21"/>
          <w:lang w:val="sr-Latn-RS"/>
        </w:rPr>
        <w:t>Detaljnije p</w:t>
      </w:r>
      <w:r w:rsidR="008167D4" w:rsidRPr="008167D4">
        <w:rPr>
          <w:rFonts w:ascii="Arial" w:hAnsi="Arial" w:cs="Arial"/>
          <w:noProof/>
          <w:color w:val="000000" w:themeColor="text1"/>
          <w:sz w:val="21"/>
          <w:szCs w:val="21"/>
          <w:lang w:val="sr-Latn-RS"/>
        </w:rPr>
        <w:t xml:space="preserve">odatke o </w:t>
      </w:r>
      <w:r w:rsidR="008167D4" w:rsidRPr="008167D4">
        <w:rPr>
          <w:rFonts w:ascii="Arial" w:eastAsia="Times New Roman" w:hAnsi="Arial" w:cs="Arial"/>
          <w:b/>
          <w:bCs/>
          <w:noProof/>
          <w:sz w:val="21"/>
          <w:szCs w:val="21"/>
          <w:lang w:val="sr-Latn-RS" w:bidi="ar-SA"/>
        </w:rPr>
        <w:t>medijalnoj potrošnji/prihodu</w:t>
      </w:r>
      <w:r w:rsidR="008167D4" w:rsidRPr="008167D4">
        <w:rPr>
          <w:rFonts w:ascii="Arial" w:hAnsi="Arial" w:cs="Arial"/>
          <w:noProof/>
          <w:color w:val="000000" w:themeColor="text1"/>
          <w:sz w:val="21"/>
          <w:szCs w:val="21"/>
          <w:lang w:val="sr-Latn-RS"/>
        </w:rPr>
        <w:t xml:space="preserve">, moguće je naći </w:t>
      </w:r>
      <w:hyperlink r:id="rId17" w:history="1">
        <w:r w:rsidR="008167D4" w:rsidRPr="00937B80">
          <w:rPr>
            <w:rStyle w:val="Hiperveza"/>
            <w:rFonts w:ascii="Arial" w:hAnsi="Arial" w:cs="Arial"/>
            <w:noProof/>
            <w:sz w:val="21"/>
            <w:szCs w:val="21"/>
            <w:lang w:val="sr-Latn-RS"/>
          </w:rPr>
          <w:t>u pratećim podacima</w:t>
        </w:r>
      </w:hyperlink>
      <w:r w:rsidR="008167D4" w:rsidRPr="008167D4">
        <w:rPr>
          <w:rFonts w:ascii="Arial" w:hAnsi="Arial" w:cs="Arial"/>
          <w:noProof/>
          <w:color w:val="000000" w:themeColor="text1"/>
          <w:sz w:val="21"/>
          <w:szCs w:val="21"/>
          <w:lang w:val="sr-Latn-RS"/>
        </w:rPr>
        <w:t xml:space="preserve"> koji čine sastavni deo ove publikacije. </w:t>
      </w:r>
      <w:hyperlink r:id="rId18" w:history="1">
        <w:r w:rsidR="008167D4" w:rsidRPr="00937B80">
          <w:rPr>
            <w:rStyle w:val="Hiperveza"/>
            <w:rFonts w:ascii="Arial" w:hAnsi="Arial" w:cs="Arial"/>
            <w:noProof/>
            <w:sz w:val="21"/>
            <w:szCs w:val="21"/>
            <w:lang w:val="sr-Latn-RS"/>
          </w:rPr>
          <w:t>U pratećim fajlovima</w:t>
        </w:r>
      </w:hyperlink>
      <w:r w:rsidR="008167D4" w:rsidRPr="008167D4">
        <w:rPr>
          <w:rFonts w:ascii="Arial" w:hAnsi="Arial" w:cs="Arial"/>
          <w:noProof/>
          <w:color w:val="000000" w:themeColor="text1"/>
          <w:sz w:val="21"/>
          <w:szCs w:val="21"/>
          <w:lang w:val="sr-Latn-RS"/>
        </w:rPr>
        <w:t xml:space="preserve"> nalaze se i </w:t>
      </w:r>
      <w:r w:rsidR="008167D4" w:rsidRPr="008167D4">
        <w:rPr>
          <w:rFonts w:ascii="Arial" w:eastAsia="Times New Roman" w:hAnsi="Arial" w:cs="Arial"/>
          <w:b/>
          <w:bCs/>
          <w:noProof/>
          <w:sz w:val="21"/>
          <w:szCs w:val="21"/>
          <w:lang w:val="sr-Latn-RS" w:bidi="ar-SA"/>
        </w:rPr>
        <w:t>stope rasta</w:t>
      </w:r>
      <w:r w:rsidR="008167D4" w:rsidRPr="008167D4">
        <w:rPr>
          <w:rFonts w:ascii="Arial" w:hAnsi="Arial" w:cs="Arial"/>
          <w:noProof/>
          <w:color w:val="000000" w:themeColor="text1"/>
          <w:sz w:val="21"/>
          <w:szCs w:val="21"/>
          <w:lang w:val="sr-Latn-RS"/>
        </w:rPr>
        <w:t xml:space="preserve"> prosečne i medijalne potrošnje i prihoda, kao i informacija o prosečnom broju članova domaćinstava i prosečan broj potrošačkih jedinica po decilima</w:t>
      </w:r>
      <w:r w:rsidR="00ED15E2" w:rsidRPr="008167D4">
        <w:rPr>
          <w:rFonts w:ascii="Arial" w:hAnsi="Arial" w:cs="Arial"/>
          <w:noProof/>
          <w:color w:val="000000" w:themeColor="text1"/>
          <w:sz w:val="21"/>
          <w:szCs w:val="21"/>
          <w:lang w:val="sr-Latn-RS"/>
        </w:rPr>
        <w:t xml:space="preserve">. </w:t>
      </w:r>
    </w:p>
    <w:p w14:paraId="0630A0C2" w14:textId="06FC9B30" w:rsidR="00620341" w:rsidRPr="008167D4" w:rsidRDefault="008167D4" w:rsidP="00CC7346">
      <w:pPr>
        <w:pStyle w:val="NormalWeb"/>
        <w:shd w:val="clear" w:color="auto" w:fill="FFFFFF"/>
        <w:jc w:val="both"/>
        <w:rPr>
          <w:rFonts w:ascii="Arial" w:hAnsi="Arial" w:cs="Arial"/>
          <w:b/>
          <w:bCs/>
          <w:noProof/>
          <w:sz w:val="21"/>
          <w:szCs w:val="21"/>
          <w:lang w:val="sr-Latn-RS"/>
        </w:rPr>
      </w:pPr>
      <w:r w:rsidRPr="008167D4">
        <w:rPr>
          <w:rFonts w:ascii="Arial" w:hAnsi="Arial" w:cs="Arial"/>
          <w:b/>
          <w:bCs/>
          <w:noProof/>
          <w:sz w:val="21"/>
          <w:szCs w:val="21"/>
          <w:lang w:val="sr-Latn-RS"/>
        </w:rPr>
        <w:t>Metodološke napomene</w:t>
      </w:r>
    </w:p>
    <w:p w14:paraId="208DD8A9" w14:textId="77777777" w:rsidR="008167D4" w:rsidRPr="008167D4" w:rsidRDefault="008167D4" w:rsidP="008167D4">
      <w:pPr>
        <w:spacing w:before="120" w:after="120"/>
        <w:jc w:val="both"/>
        <w:rPr>
          <w:rFonts w:ascii="Arial" w:hAnsi="Arial" w:cs="Arial"/>
          <w:noProof/>
          <w:sz w:val="21"/>
          <w:szCs w:val="21"/>
          <w:lang w:val="sr-Latn-RS"/>
        </w:rPr>
      </w:pPr>
      <w:r w:rsidRPr="008167D4">
        <w:rPr>
          <w:rFonts w:ascii="Arial" w:hAnsi="Arial" w:cs="Arial"/>
          <w:noProof/>
          <w:sz w:val="21"/>
          <w:szCs w:val="21"/>
          <w:lang w:val="sr-Latn-RS"/>
        </w:rPr>
        <w:t xml:space="preserve">Decilna analiza je postupak kojim se ekvivalentna potrošnja/prihod svih domaćinstava ili pojedinaca rangira od najniže ka najvišoj. Tako rangirana domaćinstva/pojedinci dele se u deset jednakih grupa. U prvom decilu nalaze se domaćinstva/pojedinci čija je ekvivalentna potrošnja/prihod najniža (najsiromašnija domaćinstva), a u desetom decilu su domaćinstva/pojedinci čija je ekvivalentna potrošnja/prihod najviši (najbogatija domaćinstva). </w:t>
      </w:r>
    </w:p>
    <w:p w14:paraId="4F938290" w14:textId="298A8F72" w:rsidR="008167D4" w:rsidRPr="008167D4" w:rsidRDefault="008167D4" w:rsidP="008167D4">
      <w:pPr>
        <w:spacing w:before="120" w:after="120"/>
        <w:jc w:val="both"/>
        <w:rPr>
          <w:rFonts w:ascii="Arial" w:hAnsi="Arial" w:cs="Arial"/>
          <w:noProof/>
          <w:sz w:val="21"/>
          <w:szCs w:val="21"/>
          <w:lang w:val="sr-Latn-RS"/>
        </w:rPr>
      </w:pPr>
      <w:r w:rsidRPr="008167D4">
        <w:rPr>
          <w:rFonts w:ascii="Arial" w:hAnsi="Arial" w:cs="Arial"/>
          <w:noProof/>
          <w:sz w:val="21"/>
          <w:szCs w:val="21"/>
          <w:lang w:val="sr-Latn-RS"/>
        </w:rPr>
        <w:t>Prilikom izrade ove publikacije decili su formirani tako da dele ukupnu populaciju</w:t>
      </w:r>
      <w:r w:rsidRPr="008167D4">
        <w:rPr>
          <w:rStyle w:val="Referencafusnote"/>
          <w:rFonts w:ascii="Arial" w:hAnsi="Arial" w:cs="Arial"/>
          <w:noProof/>
          <w:sz w:val="21"/>
          <w:szCs w:val="21"/>
          <w:lang w:val="sr-Latn-RS"/>
        </w:rPr>
        <w:footnoteReference w:id="2"/>
      </w:r>
      <w:r w:rsidRPr="008167D4">
        <w:rPr>
          <w:rFonts w:ascii="Arial" w:hAnsi="Arial" w:cs="Arial"/>
          <w:noProof/>
          <w:sz w:val="21"/>
          <w:szCs w:val="21"/>
          <w:lang w:val="sr-Latn-RS"/>
        </w:rPr>
        <w:t xml:space="preserve"> na deset jednakih delova, dok je u zavisnosti od toga da li se posmatra ekvivalentna potrošnja ili prihod, korišćena adekvatna skala ekvivalencije. Primena skale ekvivalencije (potrošačke jedinice) omogućava poređenje potrošnje/prihoda lica koja žive u domaćinstvima različitim po veličini (broju članova) preko zajedničkog imenitelja – potrošačke jedinice. </w:t>
      </w:r>
    </w:p>
    <w:p w14:paraId="632AEB8F" w14:textId="77777777" w:rsidR="008167D4" w:rsidRPr="008167D4" w:rsidRDefault="008167D4" w:rsidP="008167D4">
      <w:pPr>
        <w:spacing w:before="120" w:after="120"/>
        <w:jc w:val="both"/>
        <w:rPr>
          <w:rFonts w:ascii="Arial" w:hAnsi="Arial" w:cs="Arial"/>
          <w:noProof/>
          <w:sz w:val="21"/>
          <w:szCs w:val="21"/>
          <w:lang w:val="sr-Latn-RS"/>
        </w:rPr>
      </w:pPr>
      <w:r w:rsidRPr="008167D4">
        <w:rPr>
          <w:rFonts w:ascii="Arial" w:hAnsi="Arial" w:cs="Arial"/>
          <w:noProof/>
          <w:sz w:val="21"/>
          <w:szCs w:val="21"/>
          <w:lang w:val="sr-Latn-RS"/>
        </w:rPr>
        <w:t xml:space="preserve">Prilikom obračuna ekvivalentne potrošnje primenjuje se skala ekvivalencije OECD-a, prema kojoj nosilac domaćinstva dobija ponder 1, svaki odrasli član domaćinstva (starosti 14 i više godina) ponder 0,7, a deca (ispod 14 godina starosti) ponder 0,5. Prilikom obračuna ekvivalentnog prihoda primenjuje se modifikovana skala ekvivalencije OECD-a, prema kojoj nosilac domaćinstva dobija ponder 1, svaki odrasli član domaćinstva (starosti 14 i više godina) ponder 0,5, a deca (ispod 14 godina starosti) ponder 0,3. </w:t>
      </w:r>
    </w:p>
    <w:p w14:paraId="009BAC7D" w14:textId="77777777" w:rsidR="008167D4" w:rsidRPr="008167D4" w:rsidRDefault="008167D4" w:rsidP="008167D4">
      <w:pPr>
        <w:spacing w:before="120" w:after="120"/>
        <w:jc w:val="both"/>
        <w:rPr>
          <w:rFonts w:ascii="Arial" w:hAnsi="Arial" w:cs="Arial"/>
          <w:noProof/>
          <w:sz w:val="21"/>
          <w:szCs w:val="21"/>
          <w:lang w:val="sr-Latn-RS"/>
        </w:rPr>
      </w:pPr>
      <w:r w:rsidRPr="008167D4">
        <w:rPr>
          <w:rFonts w:ascii="Arial" w:hAnsi="Arial" w:cs="Arial"/>
          <w:noProof/>
          <w:sz w:val="21"/>
          <w:szCs w:val="21"/>
          <w:lang w:val="sr-Latn-RS"/>
        </w:rPr>
        <w:t xml:space="preserve">U Anketi o potrošnji domaćinstava prihodi domaćinstava u novcu i u naturi obuhvataju samo tekuća primanja svih članova domaćinstva (ne obuhvataju se podignuti gotovinski, potrošački i investicioni krediti, prihodi od prodaje pokretne i nepokretne imovine i sl.). Lična potrošnja, takođe, obuhvata tekuću, uobičajenu potrošnju svih članova domaćinstva, što znači da se ne prati investiciona potrošnja, otplata kredita, plaćeni porezi i sl. Prema metodologiji Ankete, svaka kupovina evidentira se u punom iznosu, bez obzira da li je roba/usluga kupljena na kredit ili plaćena u gotovini. </w:t>
      </w:r>
    </w:p>
    <w:p w14:paraId="54DE2BCD" w14:textId="4C25C188" w:rsidR="00620341" w:rsidRPr="008167D4" w:rsidRDefault="008167D4" w:rsidP="006704BB">
      <w:pPr>
        <w:spacing w:before="120" w:after="120"/>
        <w:jc w:val="both"/>
        <w:rPr>
          <w:rFonts w:ascii="Arial" w:hAnsi="Arial" w:cs="Arial"/>
          <w:noProof/>
          <w:sz w:val="21"/>
          <w:szCs w:val="21"/>
          <w:lang w:val="sr-Latn-RS"/>
        </w:rPr>
      </w:pPr>
      <w:r w:rsidRPr="008167D4">
        <w:rPr>
          <w:rFonts w:ascii="Arial" w:hAnsi="Arial" w:cs="Arial"/>
          <w:noProof/>
          <w:sz w:val="21"/>
          <w:szCs w:val="21"/>
          <w:lang w:val="sr-Latn-RS"/>
        </w:rPr>
        <w:lastRenderedPageBreak/>
        <w:t>Značajna karakteristika ove ankete je da se ne primenjuje bilansiranje (izjednačavanje) prihoda i potrošnje domaćinstava</w:t>
      </w:r>
      <w:r w:rsidR="00620341" w:rsidRPr="008167D4">
        <w:rPr>
          <w:rStyle w:val="Referencafusnote"/>
          <w:rFonts w:ascii="Arial" w:hAnsi="Arial" w:cs="Arial"/>
          <w:noProof/>
          <w:sz w:val="21"/>
          <w:szCs w:val="21"/>
          <w:lang w:val="sr-Latn-RS"/>
        </w:rPr>
        <w:footnoteReference w:id="3"/>
      </w:r>
      <w:r w:rsidR="00620341" w:rsidRPr="008167D4">
        <w:rPr>
          <w:rFonts w:ascii="Arial" w:hAnsi="Arial" w:cs="Arial"/>
          <w:noProof/>
          <w:sz w:val="21"/>
          <w:szCs w:val="21"/>
          <w:lang w:val="sr-Latn-RS"/>
        </w:rPr>
        <w:t xml:space="preserve">. </w:t>
      </w:r>
    </w:p>
    <w:p w14:paraId="745071E9" w14:textId="77777777" w:rsidR="00620341" w:rsidRPr="008167D4" w:rsidRDefault="00620341" w:rsidP="00CC7346">
      <w:pPr>
        <w:jc w:val="both"/>
        <w:rPr>
          <w:noProof/>
          <w:lang w:val="sr-Latn-RS"/>
        </w:rPr>
      </w:pPr>
    </w:p>
    <w:sectPr w:rsidR="00620341" w:rsidRPr="008167D4" w:rsidSect="00E45D48">
      <w:pgSz w:w="11900" w:h="16840"/>
      <w:pgMar w:top="135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3B152" w14:textId="77777777" w:rsidR="008F3665" w:rsidRDefault="008F3665" w:rsidP="00620341">
      <w:pPr>
        <w:spacing w:after="0" w:line="240" w:lineRule="auto"/>
      </w:pPr>
      <w:r>
        <w:separator/>
      </w:r>
    </w:p>
  </w:endnote>
  <w:endnote w:type="continuationSeparator" w:id="0">
    <w:p w14:paraId="56F9194F" w14:textId="77777777" w:rsidR="008F3665" w:rsidRDefault="008F3665" w:rsidP="00620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uschka Pro Thin">
    <w:altName w:val="Arial"/>
    <w:charset w:val="00"/>
    <w:family w:val="modern"/>
    <w:pitch w:val="variable"/>
    <w:sig w:usb0="800002AF" w:usb1="5000204A" w:usb2="00000000" w:usb3="00000000" w:csb0="0000009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C4873" w14:textId="77777777" w:rsidR="008F3665" w:rsidRDefault="008F3665" w:rsidP="00620341">
      <w:pPr>
        <w:spacing w:after="0" w:line="240" w:lineRule="auto"/>
      </w:pPr>
      <w:r>
        <w:separator/>
      </w:r>
    </w:p>
  </w:footnote>
  <w:footnote w:type="continuationSeparator" w:id="0">
    <w:p w14:paraId="0A100ECD" w14:textId="77777777" w:rsidR="008F3665" w:rsidRDefault="008F3665" w:rsidP="00620341">
      <w:pPr>
        <w:spacing w:after="0" w:line="240" w:lineRule="auto"/>
      </w:pPr>
      <w:r>
        <w:continuationSeparator/>
      </w:r>
    </w:p>
  </w:footnote>
  <w:footnote w:id="1">
    <w:p w14:paraId="5A252889" w14:textId="77777777" w:rsidR="00F15A70" w:rsidRPr="00937B80" w:rsidRDefault="00F15A70" w:rsidP="00F15A70">
      <w:pPr>
        <w:pStyle w:val="Tekstfusnote"/>
        <w:rPr>
          <w:rFonts w:ascii="Arial" w:hAnsi="Arial" w:cs="Arial"/>
          <w:sz w:val="15"/>
          <w:szCs w:val="15"/>
          <w:lang w:val="sr-Latn-RS"/>
        </w:rPr>
      </w:pPr>
      <w:r w:rsidRPr="00937B80">
        <w:rPr>
          <w:rStyle w:val="Referencafusnote"/>
          <w:rFonts w:ascii="Arial" w:hAnsi="Arial" w:cs="Arial"/>
          <w:szCs w:val="15"/>
        </w:rPr>
        <w:footnoteRef/>
      </w:r>
      <w:r w:rsidRPr="00937B80">
        <w:rPr>
          <w:rFonts w:ascii="Arial" w:hAnsi="Arial" w:cs="Arial"/>
          <w:szCs w:val="15"/>
        </w:rPr>
        <w:t xml:space="preserve"> </w:t>
      </w:r>
      <w:proofErr w:type="spellStart"/>
      <w:r w:rsidRPr="00937B80">
        <w:rPr>
          <w:rFonts w:ascii="Arial" w:hAnsi="Arial" w:cs="Arial"/>
          <w:color w:val="000000" w:themeColor="text1"/>
          <w:sz w:val="16"/>
          <w:szCs w:val="15"/>
          <w:lang w:val="sr-Cyrl-RS"/>
        </w:rPr>
        <w:t>Sa</w:t>
      </w:r>
      <w:proofErr w:type="spellEnd"/>
      <w:r w:rsidRPr="00937B80">
        <w:rPr>
          <w:rFonts w:ascii="Arial" w:hAnsi="Arial" w:cs="Arial"/>
          <w:color w:val="000000" w:themeColor="text1"/>
          <w:sz w:val="16"/>
          <w:szCs w:val="15"/>
          <w:lang w:val="sr-Cyrl-RS"/>
        </w:rPr>
        <w:t xml:space="preserve"> </w:t>
      </w:r>
      <w:proofErr w:type="spellStart"/>
      <w:r w:rsidRPr="00937B80">
        <w:rPr>
          <w:rFonts w:ascii="Arial" w:hAnsi="Arial" w:cs="Arial"/>
          <w:color w:val="000000" w:themeColor="text1"/>
          <w:sz w:val="16"/>
          <w:szCs w:val="15"/>
          <w:lang w:val="sr-Cyrl-RS"/>
        </w:rPr>
        <w:t>približno</w:t>
      </w:r>
      <w:proofErr w:type="spellEnd"/>
      <w:r w:rsidRPr="00937B80">
        <w:rPr>
          <w:rFonts w:ascii="Arial" w:hAnsi="Arial" w:cs="Arial"/>
          <w:color w:val="000000" w:themeColor="text1"/>
          <w:sz w:val="16"/>
          <w:szCs w:val="15"/>
          <w:lang w:val="sr-Cyrl-RS"/>
        </w:rPr>
        <w:t xml:space="preserve"> </w:t>
      </w:r>
      <w:proofErr w:type="spellStart"/>
      <w:r w:rsidRPr="00937B80">
        <w:rPr>
          <w:rFonts w:ascii="Arial" w:hAnsi="Arial" w:cs="Arial"/>
          <w:color w:val="000000" w:themeColor="text1"/>
          <w:sz w:val="16"/>
          <w:szCs w:val="15"/>
          <w:lang w:val="sr-Cyrl-RS"/>
        </w:rPr>
        <w:t>jednakim</w:t>
      </w:r>
      <w:proofErr w:type="spellEnd"/>
      <w:r w:rsidRPr="00937B80">
        <w:rPr>
          <w:rFonts w:ascii="Arial" w:hAnsi="Arial" w:cs="Arial"/>
          <w:color w:val="000000" w:themeColor="text1"/>
          <w:sz w:val="16"/>
          <w:szCs w:val="15"/>
          <w:lang w:val="sr-Cyrl-RS"/>
        </w:rPr>
        <w:t xml:space="preserve"> </w:t>
      </w:r>
      <w:proofErr w:type="spellStart"/>
      <w:r w:rsidRPr="00937B80">
        <w:rPr>
          <w:rFonts w:ascii="Arial" w:hAnsi="Arial" w:cs="Arial"/>
          <w:color w:val="000000" w:themeColor="text1"/>
          <w:sz w:val="16"/>
          <w:szCs w:val="15"/>
          <w:lang w:val="sr-Cyrl-RS"/>
        </w:rPr>
        <w:t>brojem</w:t>
      </w:r>
      <w:proofErr w:type="spellEnd"/>
      <w:r w:rsidRPr="00937B80">
        <w:rPr>
          <w:rFonts w:ascii="Arial" w:hAnsi="Arial" w:cs="Arial"/>
          <w:color w:val="000000" w:themeColor="text1"/>
          <w:sz w:val="16"/>
          <w:szCs w:val="15"/>
          <w:lang w:val="sr-Cyrl-RS"/>
        </w:rPr>
        <w:t xml:space="preserve"> </w:t>
      </w:r>
      <w:proofErr w:type="spellStart"/>
      <w:r w:rsidRPr="00937B80">
        <w:rPr>
          <w:rFonts w:ascii="Arial" w:hAnsi="Arial" w:cs="Arial"/>
          <w:color w:val="000000" w:themeColor="text1"/>
          <w:sz w:val="16"/>
          <w:szCs w:val="15"/>
          <w:lang w:val="sr-Cyrl-RS"/>
        </w:rPr>
        <w:t>pojedinaca</w:t>
      </w:r>
      <w:proofErr w:type="spellEnd"/>
      <w:r w:rsidRPr="00937B80">
        <w:rPr>
          <w:rFonts w:ascii="Arial" w:hAnsi="Arial" w:cs="Arial"/>
          <w:color w:val="000000" w:themeColor="text1"/>
          <w:sz w:val="16"/>
          <w:szCs w:val="15"/>
          <w:lang w:val="sr-Latn-RS"/>
        </w:rPr>
        <w:t>.</w:t>
      </w:r>
    </w:p>
  </w:footnote>
  <w:footnote w:id="2">
    <w:p w14:paraId="5E6D7E13" w14:textId="0C3D1C01" w:rsidR="008167D4" w:rsidRPr="003D715A" w:rsidRDefault="008167D4" w:rsidP="008167D4">
      <w:pPr>
        <w:pStyle w:val="Tekstfusnote"/>
        <w:rPr>
          <w:sz w:val="16"/>
          <w:szCs w:val="16"/>
          <w:lang w:val="sr-Cyrl-RS"/>
        </w:rPr>
      </w:pPr>
      <w:r w:rsidRPr="00937B80">
        <w:rPr>
          <w:rStyle w:val="Referencafusnote"/>
          <w:szCs w:val="16"/>
        </w:rPr>
        <w:footnoteRef/>
      </w:r>
      <w:r w:rsidRPr="00937B80">
        <w:rPr>
          <w:szCs w:val="16"/>
        </w:rPr>
        <w:t xml:space="preserve"> </w:t>
      </w:r>
      <w:r w:rsidR="00600786" w:rsidRPr="00937B80">
        <w:rPr>
          <w:rFonts w:ascii="Arial" w:hAnsi="Arial" w:cs="Arial"/>
          <w:sz w:val="16"/>
          <w:szCs w:val="15"/>
          <w:lang w:val="sr-Cyrl-RS"/>
        </w:rPr>
        <w:t xml:space="preserve">U </w:t>
      </w:r>
      <w:proofErr w:type="spellStart"/>
      <w:r w:rsidR="00600786" w:rsidRPr="00937B80">
        <w:rPr>
          <w:rFonts w:ascii="Arial" w:hAnsi="Arial" w:cs="Arial"/>
          <w:sz w:val="16"/>
          <w:szCs w:val="15"/>
          <w:lang w:val="sr-Cyrl-RS"/>
        </w:rPr>
        <w:t>zavisnosti</w:t>
      </w:r>
      <w:proofErr w:type="spellEnd"/>
      <w:r w:rsidR="00600786" w:rsidRPr="00937B80">
        <w:rPr>
          <w:rFonts w:ascii="Arial" w:hAnsi="Arial" w:cs="Arial"/>
          <w:sz w:val="16"/>
          <w:szCs w:val="15"/>
          <w:lang w:val="sr-Cyrl-RS"/>
        </w:rPr>
        <w:t xml:space="preserve"> </w:t>
      </w:r>
      <w:proofErr w:type="spellStart"/>
      <w:r w:rsidR="00600786" w:rsidRPr="00937B80">
        <w:rPr>
          <w:rFonts w:ascii="Arial" w:hAnsi="Arial" w:cs="Arial"/>
          <w:sz w:val="16"/>
          <w:szCs w:val="15"/>
          <w:lang w:val="sr-Cyrl-RS"/>
        </w:rPr>
        <w:t>od</w:t>
      </w:r>
      <w:proofErr w:type="spellEnd"/>
      <w:r w:rsidR="00600786" w:rsidRPr="00937B80">
        <w:rPr>
          <w:rFonts w:ascii="Arial" w:hAnsi="Arial" w:cs="Arial"/>
          <w:sz w:val="16"/>
          <w:szCs w:val="15"/>
          <w:lang w:val="sr-Cyrl-RS"/>
        </w:rPr>
        <w:t xml:space="preserve"> </w:t>
      </w:r>
      <w:proofErr w:type="spellStart"/>
      <w:r w:rsidR="00600786" w:rsidRPr="00937B80">
        <w:rPr>
          <w:rFonts w:ascii="Arial" w:hAnsi="Arial" w:cs="Arial"/>
          <w:sz w:val="16"/>
          <w:szCs w:val="15"/>
          <w:lang w:val="sr-Cyrl-RS"/>
        </w:rPr>
        <w:t>odluke</w:t>
      </w:r>
      <w:proofErr w:type="spellEnd"/>
      <w:r w:rsidR="00600786" w:rsidRPr="00937B80">
        <w:rPr>
          <w:rFonts w:ascii="Arial" w:hAnsi="Arial" w:cs="Arial"/>
          <w:sz w:val="16"/>
          <w:szCs w:val="15"/>
          <w:lang w:val="sr-Cyrl-RS"/>
        </w:rPr>
        <w:t xml:space="preserve">, </w:t>
      </w:r>
      <w:proofErr w:type="spellStart"/>
      <w:r w:rsidR="00600786" w:rsidRPr="00937B80">
        <w:rPr>
          <w:rFonts w:ascii="Arial" w:hAnsi="Arial" w:cs="Arial"/>
          <w:sz w:val="16"/>
          <w:szCs w:val="15"/>
          <w:lang w:val="sr-Cyrl-RS"/>
        </w:rPr>
        <w:t>moguće</w:t>
      </w:r>
      <w:proofErr w:type="spellEnd"/>
      <w:r w:rsidR="00600786" w:rsidRPr="00937B80">
        <w:rPr>
          <w:rFonts w:ascii="Arial" w:hAnsi="Arial" w:cs="Arial"/>
          <w:sz w:val="16"/>
          <w:szCs w:val="15"/>
          <w:lang w:val="sr-Cyrl-RS"/>
        </w:rPr>
        <w:t xml:space="preserve"> </w:t>
      </w:r>
      <w:proofErr w:type="spellStart"/>
      <w:r w:rsidR="00600786" w:rsidRPr="00937B80">
        <w:rPr>
          <w:rFonts w:ascii="Arial" w:hAnsi="Arial" w:cs="Arial"/>
          <w:sz w:val="16"/>
          <w:szCs w:val="15"/>
          <w:lang w:val="sr-Cyrl-RS"/>
        </w:rPr>
        <w:t>je</w:t>
      </w:r>
      <w:proofErr w:type="spellEnd"/>
      <w:r w:rsidR="00600786" w:rsidRPr="00937B80">
        <w:rPr>
          <w:rFonts w:ascii="Arial" w:hAnsi="Arial" w:cs="Arial"/>
          <w:sz w:val="16"/>
          <w:szCs w:val="15"/>
          <w:lang w:val="sr-Cyrl-RS"/>
        </w:rPr>
        <w:t xml:space="preserve"> </w:t>
      </w:r>
      <w:proofErr w:type="spellStart"/>
      <w:r w:rsidR="00600786" w:rsidRPr="00937B80">
        <w:rPr>
          <w:rFonts w:ascii="Arial" w:hAnsi="Arial" w:cs="Arial"/>
          <w:sz w:val="16"/>
          <w:szCs w:val="15"/>
          <w:lang w:val="sr-Cyrl-RS"/>
        </w:rPr>
        <w:t>formiranje</w:t>
      </w:r>
      <w:proofErr w:type="spellEnd"/>
      <w:r w:rsidR="00600786" w:rsidRPr="00937B80">
        <w:rPr>
          <w:rFonts w:ascii="Arial" w:hAnsi="Arial" w:cs="Arial"/>
          <w:sz w:val="16"/>
          <w:szCs w:val="15"/>
          <w:lang w:val="sr-Cyrl-RS"/>
        </w:rPr>
        <w:t xml:space="preserve"> </w:t>
      </w:r>
      <w:proofErr w:type="spellStart"/>
      <w:r w:rsidR="00600786" w:rsidRPr="00937B80">
        <w:rPr>
          <w:rFonts w:ascii="Arial" w:hAnsi="Arial" w:cs="Arial"/>
          <w:sz w:val="16"/>
          <w:szCs w:val="15"/>
          <w:lang w:val="sr-Cyrl-RS"/>
        </w:rPr>
        <w:t>decila</w:t>
      </w:r>
      <w:proofErr w:type="spellEnd"/>
      <w:r w:rsidR="00600786" w:rsidRPr="00937B80">
        <w:rPr>
          <w:rFonts w:ascii="Arial" w:hAnsi="Arial" w:cs="Arial"/>
          <w:sz w:val="16"/>
          <w:szCs w:val="15"/>
          <w:lang w:val="sr-Cyrl-RS"/>
        </w:rPr>
        <w:t xml:space="preserve"> </w:t>
      </w:r>
      <w:proofErr w:type="spellStart"/>
      <w:r w:rsidR="00600786" w:rsidRPr="00937B80">
        <w:rPr>
          <w:rFonts w:ascii="Arial" w:hAnsi="Arial" w:cs="Arial"/>
          <w:sz w:val="16"/>
          <w:szCs w:val="15"/>
          <w:lang w:val="sr-Cyrl-RS"/>
        </w:rPr>
        <w:t>tako</w:t>
      </w:r>
      <w:proofErr w:type="spellEnd"/>
      <w:r w:rsidR="00600786" w:rsidRPr="00937B80">
        <w:rPr>
          <w:rFonts w:ascii="Arial" w:hAnsi="Arial" w:cs="Arial"/>
          <w:sz w:val="16"/>
          <w:szCs w:val="15"/>
          <w:lang w:val="sr-Cyrl-RS"/>
        </w:rPr>
        <w:t xml:space="preserve"> </w:t>
      </w:r>
      <w:proofErr w:type="spellStart"/>
      <w:r w:rsidR="00600786" w:rsidRPr="00937B80">
        <w:rPr>
          <w:rFonts w:ascii="Arial" w:hAnsi="Arial" w:cs="Arial"/>
          <w:sz w:val="16"/>
          <w:szCs w:val="15"/>
          <w:lang w:val="sr-Cyrl-RS"/>
        </w:rPr>
        <w:t>da</w:t>
      </w:r>
      <w:proofErr w:type="spellEnd"/>
      <w:r w:rsidR="00600786" w:rsidRPr="00937B80">
        <w:rPr>
          <w:rFonts w:ascii="Arial" w:hAnsi="Arial" w:cs="Arial"/>
          <w:sz w:val="16"/>
          <w:szCs w:val="15"/>
          <w:lang w:val="sr-Cyrl-RS"/>
        </w:rPr>
        <w:t xml:space="preserve"> </w:t>
      </w:r>
      <w:proofErr w:type="spellStart"/>
      <w:r w:rsidR="00600786" w:rsidRPr="00937B80">
        <w:rPr>
          <w:rFonts w:ascii="Arial" w:hAnsi="Arial" w:cs="Arial"/>
          <w:sz w:val="16"/>
          <w:szCs w:val="15"/>
          <w:lang w:val="sr-Cyrl-RS"/>
        </w:rPr>
        <w:t>dele</w:t>
      </w:r>
      <w:proofErr w:type="spellEnd"/>
      <w:r w:rsidR="00600786" w:rsidRPr="00937B80">
        <w:rPr>
          <w:rFonts w:ascii="Arial" w:hAnsi="Arial" w:cs="Arial"/>
          <w:sz w:val="16"/>
          <w:szCs w:val="15"/>
          <w:lang w:val="sr-Cyrl-RS"/>
        </w:rPr>
        <w:t xml:space="preserve"> </w:t>
      </w:r>
      <w:proofErr w:type="spellStart"/>
      <w:r w:rsidR="00600786" w:rsidRPr="00937B80">
        <w:rPr>
          <w:rFonts w:ascii="Arial" w:hAnsi="Arial" w:cs="Arial"/>
          <w:sz w:val="16"/>
          <w:szCs w:val="15"/>
          <w:lang w:val="sr-Cyrl-RS"/>
        </w:rPr>
        <w:t>ukupan</w:t>
      </w:r>
      <w:proofErr w:type="spellEnd"/>
      <w:r w:rsidR="00600786" w:rsidRPr="00937B80">
        <w:rPr>
          <w:rFonts w:ascii="Arial" w:hAnsi="Arial" w:cs="Arial"/>
          <w:sz w:val="16"/>
          <w:szCs w:val="15"/>
          <w:lang w:val="sr-Cyrl-RS"/>
        </w:rPr>
        <w:t xml:space="preserve"> </w:t>
      </w:r>
      <w:proofErr w:type="spellStart"/>
      <w:r w:rsidR="00600786" w:rsidRPr="00937B80">
        <w:rPr>
          <w:rFonts w:ascii="Arial" w:hAnsi="Arial" w:cs="Arial"/>
          <w:sz w:val="16"/>
          <w:szCs w:val="15"/>
          <w:lang w:val="sr-Cyrl-RS"/>
        </w:rPr>
        <w:t>broj</w:t>
      </w:r>
      <w:proofErr w:type="spellEnd"/>
      <w:r w:rsidR="00600786" w:rsidRPr="00937B80">
        <w:rPr>
          <w:rFonts w:ascii="Arial" w:hAnsi="Arial" w:cs="Arial"/>
          <w:sz w:val="16"/>
          <w:szCs w:val="15"/>
          <w:lang w:val="sr-Cyrl-RS"/>
        </w:rPr>
        <w:t xml:space="preserve"> </w:t>
      </w:r>
      <w:proofErr w:type="spellStart"/>
      <w:r w:rsidR="00600786" w:rsidRPr="00937B80">
        <w:rPr>
          <w:rFonts w:ascii="Arial" w:hAnsi="Arial" w:cs="Arial"/>
          <w:sz w:val="16"/>
          <w:szCs w:val="15"/>
          <w:lang w:val="sr-Cyrl-RS"/>
        </w:rPr>
        <w:t>domaćinstava</w:t>
      </w:r>
      <w:proofErr w:type="spellEnd"/>
      <w:r w:rsidR="00600786" w:rsidRPr="00937B80">
        <w:rPr>
          <w:rFonts w:ascii="Arial" w:hAnsi="Arial" w:cs="Arial"/>
          <w:sz w:val="16"/>
          <w:szCs w:val="15"/>
          <w:lang w:val="sr-Cyrl-RS"/>
        </w:rPr>
        <w:t xml:space="preserve"> </w:t>
      </w:r>
      <w:proofErr w:type="spellStart"/>
      <w:r w:rsidR="00600786" w:rsidRPr="00937B80">
        <w:rPr>
          <w:rFonts w:ascii="Arial" w:hAnsi="Arial" w:cs="Arial"/>
          <w:sz w:val="16"/>
          <w:szCs w:val="15"/>
          <w:lang w:val="sr-Cyrl-RS"/>
        </w:rPr>
        <w:t>na</w:t>
      </w:r>
      <w:proofErr w:type="spellEnd"/>
      <w:r w:rsidR="00600786" w:rsidRPr="00937B80">
        <w:rPr>
          <w:rFonts w:ascii="Arial" w:hAnsi="Arial" w:cs="Arial"/>
          <w:sz w:val="16"/>
          <w:szCs w:val="15"/>
          <w:lang w:val="sr-Cyrl-RS"/>
        </w:rPr>
        <w:t xml:space="preserve"> </w:t>
      </w:r>
      <w:proofErr w:type="spellStart"/>
      <w:r w:rsidR="00600786" w:rsidRPr="00937B80">
        <w:rPr>
          <w:rFonts w:ascii="Arial" w:hAnsi="Arial" w:cs="Arial"/>
          <w:sz w:val="16"/>
          <w:szCs w:val="15"/>
          <w:lang w:val="sr-Cyrl-RS"/>
        </w:rPr>
        <w:t>deset</w:t>
      </w:r>
      <w:proofErr w:type="spellEnd"/>
      <w:r w:rsidR="00600786" w:rsidRPr="00937B80">
        <w:rPr>
          <w:rFonts w:ascii="Arial" w:hAnsi="Arial" w:cs="Arial"/>
          <w:sz w:val="16"/>
          <w:szCs w:val="15"/>
          <w:lang w:val="sr-Cyrl-RS"/>
        </w:rPr>
        <w:t xml:space="preserve"> </w:t>
      </w:r>
      <w:proofErr w:type="spellStart"/>
      <w:r w:rsidR="00600786" w:rsidRPr="00937B80">
        <w:rPr>
          <w:rFonts w:ascii="Arial" w:hAnsi="Arial" w:cs="Arial"/>
          <w:sz w:val="16"/>
          <w:szCs w:val="15"/>
          <w:lang w:val="sr-Cyrl-RS"/>
        </w:rPr>
        <w:t>jednakih</w:t>
      </w:r>
      <w:proofErr w:type="spellEnd"/>
      <w:r w:rsidR="00600786" w:rsidRPr="00937B80">
        <w:rPr>
          <w:rFonts w:ascii="Arial" w:hAnsi="Arial" w:cs="Arial"/>
          <w:sz w:val="16"/>
          <w:szCs w:val="15"/>
          <w:lang w:val="sr-Cyrl-RS"/>
        </w:rPr>
        <w:t xml:space="preserve"> </w:t>
      </w:r>
      <w:proofErr w:type="spellStart"/>
      <w:r w:rsidR="00600786" w:rsidRPr="00937B80">
        <w:rPr>
          <w:rFonts w:ascii="Arial" w:hAnsi="Arial" w:cs="Arial"/>
          <w:sz w:val="16"/>
          <w:szCs w:val="15"/>
          <w:lang w:val="sr-Cyrl-RS"/>
        </w:rPr>
        <w:t>delova</w:t>
      </w:r>
      <w:proofErr w:type="spellEnd"/>
      <w:r w:rsidR="00600786" w:rsidRPr="00937B80">
        <w:rPr>
          <w:rFonts w:ascii="Arial" w:hAnsi="Arial" w:cs="Arial"/>
          <w:sz w:val="16"/>
          <w:szCs w:val="15"/>
          <w:lang w:val="sr-Cyrl-RS"/>
        </w:rPr>
        <w:t xml:space="preserve">. </w:t>
      </w:r>
      <w:proofErr w:type="spellStart"/>
      <w:r w:rsidR="00600786" w:rsidRPr="00937B80">
        <w:rPr>
          <w:rFonts w:ascii="Arial" w:hAnsi="Arial" w:cs="Arial"/>
          <w:sz w:val="16"/>
          <w:szCs w:val="15"/>
          <w:lang w:val="sr-Cyrl-RS"/>
        </w:rPr>
        <w:t>Ovaj</w:t>
      </w:r>
      <w:proofErr w:type="spellEnd"/>
      <w:r w:rsidR="00600786" w:rsidRPr="00937B80">
        <w:rPr>
          <w:rFonts w:ascii="Arial" w:hAnsi="Arial" w:cs="Arial"/>
          <w:sz w:val="16"/>
          <w:szCs w:val="15"/>
          <w:lang w:val="sr-Cyrl-RS"/>
        </w:rPr>
        <w:t xml:space="preserve"> </w:t>
      </w:r>
      <w:proofErr w:type="spellStart"/>
      <w:r w:rsidR="00600786" w:rsidRPr="00937B80">
        <w:rPr>
          <w:rFonts w:ascii="Arial" w:hAnsi="Arial" w:cs="Arial"/>
          <w:sz w:val="16"/>
          <w:szCs w:val="15"/>
          <w:lang w:val="sr-Cyrl-RS"/>
        </w:rPr>
        <w:t>pristup</w:t>
      </w:r>
      <w:proofErr w:type="spellEnd"/>
      <w:r w:rsidR="00600786" w:rsidRPr="00937B80">
        <w:rPr>
          <w:rFonts w:ascii="Arial" w:hAnsi="Arial" w:cs="Arial"/>
          <w:sz w:val="16"/>
          <w:szCs w:val="15"/>
          <w:lang w:val="sr-Cyrl-RS"/>
        </w:rPr>
        <w:t xml:space="preserve"> </w:t>
      </w:r>
      <w:proofErr w:type="spellStart"/>
      <w:r w:rsidR="00600786" w:rsidRPr="00937B80">
        <w:rPr>
          <w:rFonts w:ascii="Arial" w:hAnsi="Arial" w:cs="Arial"/>
          <w:sz w:val="16"/>
          <w:szCs w:val="15"/>
          <w:lang w:val="sr-Cyrl-RS"/>
        </w:rPr>
        <w:t>je</w:t>
      </w:r>
      <w:proofErr w:type="spellEnd"/>
      <w:r w:rsidR="00600786" w:rsidRPr="00937B80">
        <w:rPr>
          <w:rFonts w:ascii="Arial" w:hAnsi="Arial" w:cs="Arial"/>
          <w:sz w:val="16"/>
          <w:szCs w:val="15"/>
          <w:lang w:val="sr-Cyrl-RS"/>
        </w:rPr>
        <w:t xml:space="preserve"> </w:t>
      </w:r>
      <w:proofErr w:type="spellStart"/>
      <w:r w:rsidR="00600786" w:rsidRPr="00937B80">
        <w:rPr>
          <w:rFonts w:ascii="Arial" w:hAnsi="Arial" w:cs="Arial"/>
          <w:sz w:val="16"/>
          <w:szCs w:val="15"/>
          <w:lang w:val="sr-Cyrl-RS"/>
        </w:rPr>
        <w:t>korišćen</w:t>
      </w:r>
      <w:proofErr w:type="spellEnd"/>
      <w:r w:rsidR="00600786" w:rsidRPr="00937B80">
        <w:rPr>
          <w:rFonts w:ascii="Arial" w:hAnsi="Arial" w:cs="Arial"/>
          <w:sz w:val="16"/>
          <w:szCs w:val="15"/>
          <w:lang w:val="sr-Cyrl-RS"/>
        </w:rPr>
        <w:t xml:space="preserve"> </w:t>
      </w:r>
      <w:proofErr w:type="spellStart"/>
      <w:r w:rsidR="00600786" w:rsidRPr="00937B80">
        <w:rPr>
          <w:rFonts w:ascii="Arial" w:hAnsi="Arial" w:cs="Arial"/>
          <w:sz w:val="16"/>
          <w:szCs w:val="15"/>
          <w:lang w:val="sr-Cyrl-RS"/>
        </w:rPr>
        <w:t>prilikom</w:t>
      </w:r>
      <w:proofErr w:type="spellEnd"/>
      <w:r w:rsidR="00600786" w:rsidRPr="00937B80">
        <w:rPr>
          <w:rFonts w:ascii="Arial" w:hAnsi="Arial" w:cs="Arial"/>
          <w:sz w:val="16"/>
          <w:szCs w:val="15"/>
          <w:lang w:val="sr-Cyrl-RS"/>
        </w:rPr>
        <w:t xml:space="preserve"> </w:t>
      </w:r>
      <w:proofErr w:type="spellStart"/>
      <w:r w:rsidR="00600786" w:rsidRPr="00937B80">
        <w:rPr>
          <w:rFonts w:ascii="Arial" w:hAnsi="Arial" w:cs="Arial"/>
          <w:sz w:val="16"/>
          <w:szCs w:val="15"/>
          <w:lang w:val="sr-Cyrl-RS"/>
        </w:rPr>
        <w:t>izrade</w:t>
      </w:r>
      <w:proofErr w:type="spellEnd"/>
      <w:r w:rsidR="00600786" w:rsidRPr="00937B80">
        <w:rPr>
          <w:rFonts w:ascii="Arial" w:hAnsi="Arial" w:cs="Arial"/>
          <w:sz w:val="16"/>
          <w:szCs w:val="15"/>
          <w:lang w:val="sr-Cyrl-RS"/>
        </w:rPr>
        <w:t xml:space="preserve"> </w:t>
      </w:r>
      <w:proofErr w:type="spellStart"/>
      <w:r w:rsidR="00600786" w:rsidRPr="00937B80">
        <w:rPr>
          <w:rFonts w:ascii="Arial" w:hAnsi="Arial" w:cs="Arial"/>
          <w:sz w:val="16"/>
          <w:szCs w:val="15"/>
          <w:lang w:val="sr-Cyrl-RS"/>
        </w:rPr>
        <w:t>Biltena</w:t>
      </w:r>
      <w:proofErr w:type="spellEnd"/>
      <w:r w:rsidR="00600786" w:rsidRPr="00937B80">
        <w:rPr>
          <w:rFonts w:ascii="Arial" w:hAnsi="Arial" w:cs="Arial"/>
          <w:sz w:val="16"/>
          <w:szCs w:val="15"/>
          <w:lang w:val="sr-Cyrl-RS"/>
        </w:rPr>
        <w:t xml:space="preserve"> </w:t>
      </w:r>
      <w:proofErr w:type="spellStart"/>
      <w:r w:rsidR="00600786" w:rsidRPr="00937B80">
        <w:rPr>
          <w:rFonts w:ascii="Arial" w:hAnsi="Arial" w:cs="Arial"/>
          <w:sz w:val="16"/>
          <w:szCs w:val="15"/>
          <w:lang w:val="sr-Cyrl-RS"/>
        </w:rPr>
        <w:t>Ankete</w:t>
      </w:r>
      <w:proofErr w:type="spellEnd"/>
      <w:r w:rsidR="00600786" w:rsidRPr="00937B80">
        <w:rPr>
          <w:rFonts w:ascii="Arial" w:hAnsi="Arial" w:cs="Arial"/>
          <w:sz w:val="16"/>
          <w:szCs w:val="15"/>
          <w:lang w:val="sr-Cyrl-RS"/>
        </w:rPr>
        <w:t xml:space="preserve"> o </w:t>
      </w:r>
      <w:proofErr w:type="spellStart"/>
      <w:r w:rsidR="00600786" w:rsidRPr="00937B80">
        <w:rPr>
          <w:rFonts w:ascii="Arial" w:hAnsi="Arial" w:cs="Arial"/>
          <w:sz w:val="16"/>
          <w:szCs w:val="15"/>
          <w:lang w:val="sr-Cyrl-RS"/>
        </w:rPr>
        <w:t>potrošnji</w:t>
      </w:r>
      <w:proofErr w:type="spellEnd"/>
      <w:r w:rsidR="00600786" w:rsidRPr="00937B80">
        <w:rPr>
          <w:rFonts w:ascii="Arial" w:hAnsi="Arial" w:cs="Arial"/>
          <w:sz w:val="16"/>
          <w:szCs w:val="15"/>
          <w:lang w:val="sr-Cyrl-RS"/>
        </w:rPr>
        <w:t xml:space="preserve"> </w:t>
      </w:r>
      <w:proofErr w:type="spellStart"/>
      <w:r w:rsidR="00600786" w:rsidRPr="00937B80">
        <w:rPr>
          <w:rFonts w:ascii="Arial" w:hAnsi="Arial" w:cs="Arial"/>
          <w:sz w:val="16"/>
          <w:szCs w:val="15"/>
          <w:lang w:val="sr-Cyrl-RS"/>
        </w:rPr>
        <w:t>domaćinstava</w:t>
      </w:r>
      <w:proofErr w:type="spellEnd"/>
      <w:r w:rsidR="00600786" w:rsidRPr="00937B80">
        <w:rPr>
          <w:rFonts w:ascii="Arial" w:hAnsi="Arial" w:cs="Arial"/>
          <w:sz w:val="16"/>
          <w:szCs w:val="15"/>
          <w:lang w:val="sr-Cyrl-RS"/>
        </w:rPr>
        <w:t xml:space="preserve"> </w:t>
      </w:r>
      <w:proofErr w:type="spellStart"/>
      <w:r w:rsidR="00600786" w:rsidRPr="00937B80">
        <w:rPr>
          <w:rFonts w:ascii="Arial" w:hAnsi="Arial" w:cs="Arial"/>
          <w:sz w:val="16"/>
          <w:szCs w:val="15"/>
          <w:lang w:val="sr-Cyrl-RS"/>
        </w:rPr>
        <w:t>Republičkog</w:t>
      </w:r>
      <w:proofErr w:type="spellEnd"/>
      <w:r w:rsidR="00600786" w:rsidRPr="00937B80">
        <w:rPr>
          <w:rFonts w:ascii="Arial" w:hAnsi="Arial" w:cs="Arial"/>
          <w:sz w:val="16"/>
          <w:szCs w:val="15"/>
          <w:lang w:val="sr-Cyrl-RS"/>
        </w:rPr>
        <w:t xml:space="preserve"> </w:t>
      </w:r>
      <w:proofErr w:type="spellStart"/>
      <w:r w:rsidR="00600786" w:rsidRPr="00937B80">
        <w:rPr>
          <w:rFonts w:ascii="Arial" w:hAnsi="Arial" w:cs="Arial"/>
          <w:sz w:val="16"/>
          <w:szCs w:val="15"/>
          <w:lang w:val="sr-Cyrl-RS"/>
        </w:rPr>
        <w:t>zavoda</w:t>
      </w:r>
      <w:proofErr w:type="spellEnd"/>
      <w:r w:rsidR="00600786" w:rsidRPr="00937B80">
        <w:rPr>
          <w:rFonts w:ascii="Arial" w:hAnsi="Arial" w:cs="Arial"/>
          <w:sz w:val="16"/>
          <w:szCs w:val="15"/>
          <w:lang w:val="sr-Cyrl-RS"/>
        </w:rPr>
        <w:t xml:space="preserve"> </w:t>
      </w:r>
      <w:proofErr w:type="spellStart"/>
      <w:r w:rsidR="00600786" w:rsidRPr="00937B80">
        <w:rPr>
          <w:rFonts w:ascii="Arial" w:hAnsi="Arial" w:cs="Arial"/>
          <w:sz w:val="16"/>
          <w:szCs w:val="15"/>
          <w:lang w:val="sr-Cyrl-RS"/>
        </w:rPr>
        <w:t>za</w:t>
      </w:r>
      <w:proofErr w:type="spellEnd"/>
      <w:r w:rsidR="00600786" w:rsidRPr="00937B80">
        <w:rPr>
          <w:rFonts w:ascii="Arial" w:hAnsi="Arial" w:cs="Arial"/>
          <w:sz w:val="16"/>
          <w:szCs w:val="15"/>
          <w:lang w:val="sr-Cyrl-RS"/>
        </w:rPr>
        <w:t xml:space="preserve"> </w:t>
      </w:r>
      <w:proofErr w:type="spellStart"/>
      <w:r w:rsidR="00600786" w:rsidRPr="00937B80">
        <w:rPr>
          <w:rFonts w:ascii="Arial" w:hAnsi="Arial" w:cs="Arial"/>
          <w:sz w:val="16"/>
          <w:szCs w:val="15"/>
          <w:lang w:val="sr-Cyrl-RS"/>
        </w:rPr>
        <w:t>statistiku</w:t>
      </w:r>
      <w:proofErr w:type="spellEnd"/>
      <w:r w:rsidRPr="00937B80">
        <w:rPr>
          <w:rFonts w:ascii="Arial" w:hAnsi="Arial" w:cs="Arial"/>
          <w:sz w:val="16"/>
          <w:szCs w:val="15"/>
          <w:lang w:val="sr-Cyrl-RS"/>
        </w:rPr>
        <w:t>.</w:t>
      </w:r>
    </w:p>
  </w:footnote>
  <w:footnote w:id="3">
    <w:p w14:paraId="3BFB0A6A" w14:textId="6DA68C1B" w:rsidR="00620341" w:rsidRPr="00620341" w:rsidRDefault="00620341" w:rsidP="00620341">
      <w:pPr>
        <w:pStyle w:val="Tekstfusnote"/>
        <w:rPr>
          <w:lang w:val="sr-Cyrl-RS"/>
        </w:rPr>
      </w:pPr>
      <w:r w:rsidRPr="00937B80">
        <w:rPr>
          <w:rStyle w:val="Referencafusnote"/>
          <w:szCs w:val="16"/>
        </w:rPr>
        <w:footnoteRef/>
      </w:r>
      <w:r w:rsidRPr="00937B80">
        <w:rPr>
          <w:szCs w:val="16"/>
        </w:rPr>
        <w:t xml:space="preserve"> </w:t>
      </w:r>
      <w:proofErr w:type="spellStart"/>
      <w:r w:rsidR="00600786" w:rsidRPr="00937B80">
        <w:rPr>
          <w:rFonts w:ascii="Arial" w:hAnsi="Arial" w:cs="Arial"/>
          <w:sz w:val="16"/>
          <w:szCs w:val="15"/>
          <w:lang w:val="sr-Cyrl-RS"/>
        </w:rPr>
        <w:t>Više</w:t>
      </w:r>
      <w:proofErr w:type="spellEnd"/>
      <w:r w:rsidR="00600786" w:rsidRPr="00937B80">
        <w:rPr>
          <w:rFonts w:ascii="Arial" w:hAnsi="Arial" w:cs="Arial"/>
          <w:sz w:val="16"/>
          <w:szCs w:val="15"/>
          <w:lang w:val="sr-Cyrl-RS"/>
        </w:rPr>
        <w:t xml:space="preserve"> o </w:t>
      </w:r>
      <w:proofErr w:type="spellStart"/>
      <w:r w:rsidR="00600786" w:rsidRPr="00937B80">
        <w:rPr>
          <w:rFonts w:ascii="Arial" w:hAnsi="Arial" w:cs="Arial"/>
          <w:sz w:val="16"/>
          <w:szCs w:val="15"/>
          <w:lang w:val="sr-Cyrl-RS"/>
        </w:rPr>
        <w:t>metodologiji</w:t>
      </w:r>
      <w:proofErr w:type="spellEnd"/>
      <w:r w:rsidR="00600786" w:rsidRPr="00937B80">
        <w:rPr>
          <w:rFonts w:ascii="Arial" w:hAnsi="Arial" w:cs="Arial"/>
          <w:sz w:val="16"/>
          <w:szCs w:val="15"/>
          <w:lang w:val="sr-Cyrl-RS"/>
        </w:rPr>
        <w:t xml:space="preserve"> </w:t>
      </w:r>
      <w:proofErr w:type="spellStart"/>
      <w:r w:rsidR="00600786" w:rsidRPr="00937B80">
        <w:rPr>
          <w:rFonts w:ascii="Arial" w:hAnsi="Arial" w:cs="Arial"/>
          <w:sz w:val="16"/>
          <w:szCs w:val="15"/>
          <w:lang w:val="sr-Cyrl-RS"/>
        </w:rPr>
        <w:t>Ankete</w:t>
      </w:r>
      <w:proofErr w:type="spellEnd"/>
      <w:r w:rsidR="00600786" w:rsidRPr="00937B80">
        <w:rPr>
          <w:rFonts w:ascii="Arial" w:hAnsi="Arial" w:cs="Arial"/>
          <w:sz w:val="16"/>
          <w:szCs w:val="15"/>
          <w:lang w:val="sr-Cyrl-RS"/>
        </w:rPr>
        <w:t xml:space="preserve"> o </w:t>
      </w:r>
      <w:proofErr w:type="spellStart"/>
      <w:r w:rsidR="00600786" w:rsidRPr="00937B80">
        <w:rPr>
          <w:rFonts w:ascii="Arial" w:hAnsi="Arial" w:cs="Arial"/>
          <w:sz w:val="16"/>
          <w:szCs w:val="15"/>
          <w:lang w:val="sr-Cyrl-RS"/>
        </w:rPr>
        <w:t>potrošnji</w:t>
      </w:r>
      <w:proofErr w:type="spellEnd"/>
      <w:r w:rsidR="00600786" w:rsidRPr="00937B80">
        <w:rPr>
          <w:rFonts w:ascii="Arial" w:hAnsi="Arial" w:cs="Arial"/>
          <w:sz w:val="16"/>
          <w:szCs w:val="15"/>
          <w:lang w:val="sr-Cyrl-RS"/>
        </w:rPr>
        <w:t xml:space="preserve"> </w:t>
      </w:r>
      <w:proofErr w:type="spellStart"/>
      <w:r w:rsidR="00600786" w:rsidRPr="00937B80">
        <w:rPr>
          <w:rFonts w:ascii="Arial" w:hAnsi="Arial" w:cs="Arial"/>
          <w:sz w:val="16"/>
          <w:szCs w:val="15"/>
          <w:lang w:val="sr-Cyrl-RS"/>
        </w:rPr>
        <w:t>domaćinstava</w:t>
      </w:r>
      <w:proofErr w:type="spellEnd"/>
      <w:r w:rsidR="00600786" w:rsidRPr="00937B80">
        <w:rPr>
          <w:rFonts w:ascii="Arial" w:hAnsi="Arial" w:cs="Arial"/>
          <w:sz w:val="16"/>
          <w:szCs w:val="15"/>
          <w:lang w:val="sr-Cyrl-RS"/>
        </w:rPr>
        <w:t xml:space="preserve"> </w:t>
      </w:r>
      <w:proofErr w:type="spellStart"/>
      <w:r w:rsidR="00600786" w:rsidRPr="00937B80">
        <w:rPr>
          <w:rFonts w:ascii="Arial" w:hAnsi="Arial" w:cs="Arial"/>
          <w:sz w:val="16"/>
          <w:szCs w:val="15"/>
          <w:lang w:val="sr-Cyrl-RS"/>
        </w:rPr>
        <w:t>na</w:t>
      </w:r>
      <w:proofErr w:type="spellEnd"/>
      <w:r w:rsidR="00937B80">
        <w:rPr>
          <w:rFonts w:ascii="Arial" w:hAnsi="Arial" w:cs="Arial"/>
          <w:sz w:val="16"/>
          <w:szCs w:val="15"/>
          <w:lang w:val="sr-Latn-RS"/>
        </w:rPr>
        <w:t>:</w:t>
      </w:r>
      <w:r w:rsidRPr="00937B80">
        <w:rPr>
          <w:rFonts w:ascii="Arial" w:hAnsi="Arial" w:cs="Arial"/>
          <w:sz w:val="16"/>
          <w:szCs w:val="15"/>
          <w:lang w:val="sr-Cyrl-RS"/>
        </w:rPr>
        <w:t xml:space="preserve"> </w:t>
      </w:r>
      <w:hyperlink r:id="rId1" w:history="1">
        <w:r w:rsidRPr="00937B80">
          <w:rPr>
            <w:rStyle w:val="Hiperveza"/>
            <w:rFonts w:ascii="Arial" w:hAnsi="Arial" w:cs="Arial"/>
            <w:sz w:val="16"/>
            <w:szCs w:val="15"/>
            <w:lang w:val="sr-Cyrl-RS"/>
          </w:rPr>
          <w:t>http://www.stat.gov.rs/sr-latn/istrazivanja/methodology-and-documents/?a=01&amp;s=0101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41"/>
    <w:rsid w:val="00072F33"/>
    <w:rsid w:val="00080A56"/>
    <w:rsid w:val="000B1D3C"/>
    <w:rsid w:val="000C2503"/>
    <w:rsid w:val="001108F6"/>
    <w:rsid w:val="00115526"/>
    <w:rsid w:val="0012499A"/>
    <w:rsid w:val="00126BD6"/>
    <w:rsid w:val="00163CCA"/>
    <w:rsid w:val="00175BA8"/>
    <w:rsid w:val="0018245D"/>
    <w:rsid w:val="001C32E5"/>
    <w:rsid w:val="001F486D"/>
    <w:rsid w:val="002062A5"/>
    <w:rsid w:val="00214599"/>
    <w:rsid w:val="00216B86"/>
    <w:rsid w:val="00217E3A"/>
    <w:rsid w:val="00257186"/>
    <w:rsid w:val="002B7FC8"/>
    <w:rsid w:val="002F6E93"/>
    <w:rsid w:val="00301AB5"/>
    <w:rsid w:val="00303489"/>
    <w:rsid w:val="00317F25"/>
    <w:rsid w:val="003208F0"/>
    <w:rsid w:val="00337231"/>
    <w:rsid w:val="003517FD"/>
    <w:rsid w:val="003613B9"/>
    <w:rsid w:val="003A4847"/>
    <w:rsid w:val="003D715A"/>
    <w:rsid w:val="0045409E"/>
    <w:rsid w:val="004554C3"/>
    <w:rsid w:val="0045673A"/>
    <w:rsid w:val="00456BF7"/>
    <w:rsid w:val="00460A92"/>
    <w:rsid w:val="00460E47"/>
    <w:rsid w:val="00477A60"/>
    <w:rsid w:val="0048214E"/>
    <w:rsid w:val="004C3CDA"/>
    <w:rsid w:val="004D31A7"/>
    <w:rsid w:val="005446EC"/>
    <w:rsid w:val="00592A75"/>
    <w:rsid w:val="005C41B1"/>
    <w:rsid w:val="005E47CB"/>
    <w:rsid w:val="005E495C"/>
    <w:rsid w:val="005F45E5"/>
    <w:rsid w:val="00600786"/>
    <w:rsid w:val="00610324"/>
    <w:rsid w:val="00620341"/>
    <w:rsid w:val="00656910"/>
    <w:rsid w:val="006704BB"/>
    <w:rsid w:val="006B439B"/>
    <w:rsid w:val="006B7817"/>
    <w:rsid w:val="00740624"/>
    <w:rsid w:val="00742FCC"/>
    <w:rsid w:val="00750223"/>
    <w:rsid w:val="007A10A9"/>
    <w:rsid w:val="007C29F5"/>
    <w:rsid w:val="00811E26"/>
    <w:rsid w:val="00812C52"/>
    <w:rsid w:val="008167D4"/>
    <w:rsid w:val="008A2AAE"/>
    <w:rsid w:val="008E40DA"/>
    <w:rsid w:val="008F3665"/>
    <w:rsid w:val="00937B80"/>
    <w:rsid w:val="0095473A"/>
    <w:rsid w:val="009876AA"/>
    <w:rsid w:val="0099633D"/>
    <w:rsid w:val="009A48CE"/>
    <w:rsid w:val="009E2707"/>
    <w:rsid w:val="009F3D0E"/>
    <w:rsid w:val="00A07388"/>
    <w:rsid w:val="00A21C1E"/>
    <w:rsid w:val="00A24158"/>
    <w:rsid w:val="00A46899"/>
    <w:rsid w:val="00A54246"/>
    <w:rsid w:val="00AB2C0D"/>
    <w:rsid w:val="00AD56F5"/>
    <w:rsid w:val="00B004E5"/>
    <w:rsid w:val="00B10229"/>
    <w:rsid w:val="00B21EFE"/>
    <w:rsid w:val="00BA436E"/>
    <w:rsid w:val="00BB5E07"/>
    <w:rsid w:val="00C452C2"/>
    <w:rsid w:val="00C67845"/>
    <w:rsid w:val="00C70506"/>
    <w:rsid w:val="00CC7346"/>
    <w:rsid w:val="00CC7992"/>
    <w:rsid w:val="00CE2A42"/>
    <w:rsid w:val="00D8135F"/>
    <w:rsid w:val="00D81C68"/>
    <w:rsid w:val="00D978E0"/>
    <w:rsid w:val="00E042C0"/>
    <w:rsid w:val="00E23655"/>
    <w:rsid w:val="00E30F2F"/>
    <w:rsid w:val="00E33F52"/>
    <w:rsid w:val="00E45D48"/>
    <w:rsid w:val="00E61BF7"/>
    <w:rsid w:val="00E62EA0"/>
    <w:rsid w:val="00E754F2"/>
    <w:rsid w:val="00E822B3"/>
    <w:rsid w:val="00ED15E2"/>
    <w:rsid w:val="00ED687F"/>
    <w:rsid w:val="00F15A70"/>
    <w:rsid w:val="00F56BE7"/>
    <w:rsid w:val="00F61D51"/>
    <w:rsid w:val="00F85EDC"/>
    <w:rsid w:val="00FC4258"/>
    <w:rsid w:val="00FC5800"/>
    <w:rsid w:val="00FC7898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0E210"/>
  <w15:chartTrackingRefBased/>
  <w15:docId w15:val="{CA3BB62E-D4AF-1042-BF18-1AE18B79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41"/>
    <w:pPr>
      <w:spacing w:after="200" w:line="276" w:lineRule="auto"/>
    </w:pPr>
    <w:rPr>
      <w:sz w:val="22"/>
      <w:szCs w:val="22"/>
      <w:lang w:val="en-GB" w:eastAsia="en-GB" w:bidi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620341"/>
    <w:pPr>
      <w:widowControl w:val="0"/>
      <w:autoSpaceDE w:val="0"/>
      <w:autoSpaceDN w:val="0"/>
      <w:adjustRightInd w:val="0"/>
      <w:spacing w:before="120" w:after="120" w:line="240" w:lineRule="auto"/>
      <w:jc w:val="both"/>
    </w:pPr>
    <w:rPr>
      <w:rFonts w:ascii="Houschka Pro Thin" w:eastAsia="MS Mincho" w:hAnsi="Houschka Pro Thin" w:cs="Times New Roman"/>
      <w:color w:val="365F91"/>
      <w:sz w:val="72"/>
      <w:szCs w:val="72"/>
      <w:shd w:val="clear" w:color="auto" w:fill="FFFFFF"/>
      <w:lang w:val="sr-Latn-CS" w:eastAsia="x-none" w:bidi="ar-SA"/>
    </w:rPr>
  </w:style>
  <w:style w:type="character" w:customStyle="1" w:styleId="NaslovChar">
    <w:name w:val="Naslov Char"/>
    <w:basedOn w:val="Podrazumevanifontpasusa"/>
    <w:link w:val="Naslov"/>
    <w:uiPriority w:val="10"/>
    <w:rsid w:val="00620341"/>
    <w:rPr>
      <w:rFonts w:ascii="Houschka Pro Thin" w:eastAsia="MS Mincho" w:hAnsi="Houschka Pro Thin" w:cs="Times New Roman"/>
      <w:color w:val="365F91"/>
      <w:sz w:val="72"/>
      <w:szCs w:val="72"/>
      <w:lang w:val="sr-Latn-CS" w:eastAsia="x-none"/>
    </w:rPr>
  </w:style>
  <w:style w:type="paragraph" w:styleId="NormalWeb">
    <w:name w:val="Normal (Web)"/>
    <w:basedOn w:val="Normal"/>
    <w:uiPriority w:val="99"/>
    <w:unhideWhenUsed/>
    <w:rsid w:val="00620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2034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620341"/>
    <w:rPr>
      <w:sz w:val="20"/>
      <w:szCs w:val="20"/>
      <w:lang w:val="en-GB" w:eastAsia="en-GB" w:bidi="en-GB"/>
    </w:rPr>
  </w:style>
  <w:style w:type="character" w:styleId="Referencafusnote">
    <w:name w:val="footnote reference"/>
    <w:basedOn w:val="Podrazumevanifontpasusa"/>
    <w:uiPriority w:val="99"/>
    <w:semiHidden/>
    <w:unhideWhenUsed/>
    <w:rsid w:val="00620341"/>
    <w:rPr>
      <w:vertAlign w:val="superscript"/>
    </w:rPr>
  </w:style>
  <w:style w:type="character" w:styleId="Hiperveza">
    <w:name w:val="Hyperlink"/>
    <w:basedOn w:val="Podrazumevanifontpasusa"/>
    <w:uiPriority w:val="99"/>
    <w:unhideWhenUsed/>
    <w:rsid w:val="00620341"/>
    <w:rPr>
      <w:color w:val="0000FF"/>
      <w:u w:val="single"/>
    </w:rPr>
  </w:style>
  <w:style w:type="table" w:styleId="Koordinatnamreatabele">
    <w:name w:val="Table Grid"/>
    <w:basedOn w:val="Normalnatabela"/>
    <w:uiPriority w:val="39"/>
    <w:rsid w:val="00BB5E0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18245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8245D"/>
    <w:rPr>
      <w:rFonts w:ascii="Times New Roman" w:hAnsi="Times New Roman" w:cs="Times New Roman"/>
      <w:sz w:val="18"/>
      <w:szCs w:val="18"/>
      <w:lang w:val="en-GB" w:eastAsia="en-GB" w:bidi="en-GB"/>
    </w:rPr>
  </w:style>
  <w:style w:type="character" w:customStyle="1" w:styleId="UnresolvedMention1">
    <w:name w:val="Unresolved Mention1"/>
    <w:basedOn w:val="Podrazumevanifontpasusa"/>
    <w:uiPriority w:val="99"/>
    <w:semiHidden/>
    <w:unhideWhenUsed/>
    <w:rsid w:val="003D715A"/>
    <w:rPr>
      <w:color w:val="605E5C"/>
      <w:shd w:val="clear" w:color="auto" w:fill="E1DFDD"/>
    </w:rPr>
  </w:style>
  <w:style w:type="character" w:styleId="Ispraenahiperveza">
    <w:name w:val="FollowedHyperlink"/>
    <w:basedOn w:val="Podrazumevanifontpasusa"/>
    <w:uiPriority w:val="99"/>
    <w:semiHidden/>
    <w:unhideWhenUsed/>
    <w:rsid w:val="00460E47"/>
    <w:rPr>
      <w:color w:val="954F72" w:themeColor="followedHyperlink"/>
      <w:u w:val="single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11552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1552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115526"/>
    <w:rPr>
      <w:sz w:val="20"/>
      <w:szCs w:val="20"/>
      <w:lang w:val="en-GB" w:eastAsia="en-GB" w:bidi="en-GB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115526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115526"/>
    <w:rPr>
      <w:b/>
      <w:bCs/>
      <w:sz w:val="20"/>
      <w:szCs w:val="20"/>
      <w:lang w:val="en-GB" w:eastAsia="en-GB" w:bidi="en-GB"/>
    </w:rPr>
  </w:style>
  <w:style w:type="character" w:customStyle="1" w:styleId="UnresolvedMention">
    <w:name w:val="Unresolved Mention"/>
    <w:basedOn w:val="Podrazumevanifontpasusa"/>
    <w:uiPriority w:val="99"/>
    <w:semiHidden/>
    <w:unhideWhenUsed/>
    <w:rsid w:val="00477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5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0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jalnoukljucivanje.gov.rs/wp-content/uploads/2020/07/Decilna_analiza_2018_SRP_lat.pdf" TargetMode="External"/><Relationship Id="rId13" Type="http://schemas.openxmlformats.org/officeDocument/2006/relationships/chart" Target="charts/chart5.xml"/><Relationship Id="rId18" Type="http://schemas.openxmlformats.org/officeDocument/2006/relationships/hyperlink" Target="http://socijalnoukljucivanje.gov.rs/wp-content/uploads/2021/09/Decilna_analiza_2019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cijalnoukljucivanje.gov.rs/wp-content/uploads/2019/06/Decilna_analiza_potrosnje_i_prihoda_u_Republici_Srbiji_lat.pdf" TargetMode="External"/><Relationship Id="rId12" Type="http://schemas.openxmlformats.org/officeDocument/2006/relationships/chart" Target="charts/chart4.xml"/><Relationship Id="rId17" Type="http://schemas.openxmlformats.org/officeDocument/2006/relationships/hyperlink" Target="http://socijalnoukljucivanje.gov.rs/wp-content/uploads/2021/09/Decilna_analiza_2019.zip" TargetMode="Externa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.gov.rs/sr-latn/istrazivanja/methodology-and-documents/?a=01&amp;s=0101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ujitsu\Desktop\SIPRU%20main\Projekti\Statistika%20na%20sajtu\Za%20ra&#269;unicu%20decilne%20analiz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ujitsu\Desktop\SIPRU%20main\Projekti\Statistika%20na%20sajtu\Za%20ra&#269;unicu%20decilne%20analiz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ujitsu\Desktop\SIPRU%20main\Projekti\Statistika%20na%20sajtu\Za%20ra&#269;unicu%20decilne%20analize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ujitsu\Desktop\SIPRU%20main\Projekti\Statistika%20na%20sajtu\Za%20ra&#269;unicu%20decilne%20analize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ujitsu\Desktop\SIPRU%20main\Projekti\Statistika%20na%20sajtu\Za%20ra&#269;unicu%20decilne%20analize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IPRU\Desktop\Nova%20Microsoft%20Excel%20Worksheet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ujitsu\Desktop\SIPRU%20main\Projekti\Statistika%20na%20sajtu\Za%20ra&#269;unicu%20decilne%20analize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ujitsu\Desktop\SIPRU%20main\Projekti\Statistika%20na%20sajtu\Za%20ra&#269;unicu%20decilne%20analize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C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Sheet1!$B$2:$L$2</c:f>
              <c:strCache>
                <c:ptCount val="11"/>
                <c:pt idx="0">
                  <c:v>Ukupno</c:v>
                </c:pt>
                <c:pt idx="1">
                  <c:v>1. 
decil</c:v>
                </c:pt>
                <c:pt idx="2">
                  <c:v>2.
decil</c:v>
                </c:pt>
                <c:pt idx="3">
                  <c:v>3. 
decil</c:v>
                </c:pt>
                <c:pt idx="4">
                  <c:v>4. 
decil</c:v>
                </c:pt>
                <c:pt idx="5">
                  <c:v>5. 
decil</c:v>
                </c:pt>
                <c:pt idx="6">
                  <c:v>6. 
decil</c:v>
                </c:pt>
                <c:pt idx="7">
                  <c:v>7. 
decil</c:v>
                </c:pt>
                <c:pt idx="8">
                  <c:v>8. 
decil</c:v>
                </c:pt>
                <c:pt idx="9">
                  <c:v>9. 
decil</c:v>
                </c:pt>
                <c:pt idx="10">
                  <c:v>10. 
decil</c:v>
                </c:pt>
              </c:strCache>
            </c:strRef>
          </c:cat>
          <c:val>
            <c:numRef>
              <c:f>Sheet1!$B$3:$L$3</c:f>
              <c:numCache>
                <c:formatCode>0</c:formatCode>
                <c:ptCount val="11"/>
                <c:pt idx="0">
                  <c:v>29056</c:v>
                </c:pt>
                <c:pt idx="1">
                  <c:v>11161</c:v>
                </c:pt>
                <c:pt idx="2">
                  <c:v>15894</c:v>
                </c:pt>
                <c:pt idx="3">
                  <c:v>19162</c:v>
                </c:pt>
                <c:pt idx="4">
                  <c:v>21857</c:v>
                </c:pt>
                <c:pt idx="5">
                  <c:v>24687</c:v>
                </c:pt>
                <c:pt idx="6">
                  <c:v>27722</c:v>
                </c:pt>
                <c:pt idx="7">
                  <c:v>30839</c:v>
                </c:pt>
                <c:pt idx="8">
                  <c:v>34928</c:v>
                </c:pt>
                <c:pt idx="9">
                  <c:v>41517</c:v>
                </c:pt>
                <c:pt idx="10">
                  <c:v>62800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788-4BDD-9B47-8134872DB8D9}"/>
            </c:ext>
          </c:extLst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Sheet1!$B$2:$L$2</c:f>
              <c:strCache>
                <c:ptCount val="11"/>
                <c:pt idx="0">
                  <c:v>Ukupno</c:v>
                </c:pt>
                <c:pt idx="1">
                  <c:v>1. 
decil</c:v>
                </c:pt>
                <c:pt idx="2">
                  <c:v>2.
decil</c:v>
                </c:pt>
                <c:pt idx="3">
                  <c:v>3. 
decil</c:v>
                </c:pt>
                <c:pt idx="4">
                  <c:v>4. 
decil</c:v>
                </c:pt>
                <c:pt idx="5">
                  <c:v>5. 
decil</c:v>
                </c:pt>
                <c:pt idx="6">
                  <c:v>6. 
decil</c:v>
                </c:pt>
                <c:pt idx="7">
                  <c:v>7. 
decil</c:v>
                </c:pt>
                <c:pt idx="8">
                  <c:v>8. 
decil</c:v>
                </c:pt>
                <c:pt idx="9">
                  <c:v>9. 
decil</c:v>
                </c:pt>
                <c:pt idx="10">
                  <c:v>10. 
decil</c:v>
                </c:pt>
              </c:strCache>
            </c:strRef>
          </c:cat>
          <c:val>
            <c:numRef>
              <c:f>Sheet1!$B$4:$L$4</c:f>
              <c:numCache>
                <c:formatCode>0</c:formatCode>
                <c:ptCount val="11"/>
                <c:pt idx="0">
                  <c:v>30474</c:v>
                </c:pt>
                <c:pt idx="1">
                  <c:v>10988</c:v>
                </c:pt>
                <c:pt idx="2">
                  <c:v>15687</c:v>
                </c:pt>
                <c:pt idx="3">
                  <c:v>18790</c:v>
                </c:pt>
                <c:pt idx="4">
                  <c:v>21596</c:v>
                </c:pt>
                <c:pt idx="5">
                  <c:v>24645</c:v>
                </c:pt>
                <c:pt idx="6">
                  <c:v>27865</c:v>
                </c:pt>
                <c:pt idx="7">
                  <c:v>31825</c:v>
                </c:pt>
                <c:pt idx="8">
                  <c:v>36982</c:v>
                </c:pt>
                <c:pt idx="9">
                  <c:v>44947</c:v>
                </c:pt>
                <c:pt idx="10">
                  <c:v>71413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788-4BDD-9B47-8134872DB8D9}"/>
            </c:ext>
          </c:extLst>
        </c:ser>
        <c:ser>
          <c:idx val="2"/>
          <c:order val="2"/>
          <c:tx>
            <c:strRef>
              <c:f>Sheet1!$A$5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Sheet1!$B$2:$L$2</c:f>
              <c:strCache>
                <c:ptCount val="11"/>
                <c:pt idx="0">
                  <c:v>Ukupno</c:v>
                </c:pt>
                <c:pt idx="1">
                  <c:v>1. 
decil</c:v>
                </c:pt>
                <c:pt idx="2">
                  <c:v>2.
decil</c:v>
                </c:pt>
                <c:pt idx="3">
                  <c:v>3. 
decil</c:v>
                </c:pt>
                <c:pt idx="4">
                  <c:v>4. 
decil</c:v>
                </c:pt>
                <c:pt idx="5">
                  <c:v>5. 
decil</c:v>
                </c:pt>
                <c:pt idx="6">
                  <c:v>6. 
decil</c:v>
                </c:pt>
                <c:pt idx="7">
                  <c:v>7. 
decil</c:v>
                </c:pt>
                <c:pt idx="8">
                  <c:v>8. 
decil</c:v>
                </c:pt>
                <c:pt idx="9">
                  <c:v>9. 
decil</c:v>
                </c:pt>
                <c:pt idx="10">
                  <c:v>10. 
decil</c:v>
                </c:pt>
              </c:strCache>
            </c:strRef>
          </c:cat>
          <c:val>
            <c:numRef>
              <c:f>Sheet1!$B$5:$L$5</c:f>
              <c:numCache>
                <c:formatCode>0</c:formatCode>
                <c:ptCount val="11"/>
                <c:pt idx="0">
                  <c:v>31667</c:v>
                </c:pt>
                <c:pt idx="1">
                  <c:v>11230</c:v>
                </c:pt>
                <c:pt idx="2">
                  <c:v>16571</c:v>
                </c:pt>
                <c:pt idx="3">
                  <c:v>20020</c:v>
                </c:pt>
                <c:pt idx="4">
                  <c:v>23173</c:v>
                </c:pt>
                <c:pt idx="5">
                  <c:v>26238</c:v>
                </c:pt>
                <c:pt idx="6">
                  <c:v>29467</c:v>
                </c:pt>
                <c:pt idx="7">
                  <c:v>33571</c:v>
                </c:pt>
                <c:pt idx="8">
                  <c:v>38808</c:v>
                </c:pt>
                <c:pt idx="9">
                  <c:v>46447</c:v>
                </c:pt>
                <c:pt idx="10">
                  <c:v>71115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788-4BDD-9B47-8134872DB8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499080128"/>
        <c:axId val="-499080672"/>
      </c:barChart>
      <c:catAx>
        <c:axId val="-499080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-499080672"/>
        <c:crosses val="autoZero"/>
        <c:auto val="1"/>
        <c:lblAlgn val="ctr"/>
        <c:lblOffset val="100"/>
        <c:noMultiLvlLbl val="0"/>
      </c:catAx>
      <c:valAx>
        <c:axId val="-499080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-499080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C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r-Latn-RS" sz="1000"/>
              <a:t>Prvi decil</a:t>
            </a:r>
            <a:endParaRPr lang="en-US" sz="1000"/>
          </a:p>
        </c:rich>
      </c:tx>
      <c:layout>
        <c:manualLayout>
          <c:xMode val="edge"/>
          <c:yMode val="edge"/>
          <c:x val="0.69060331985528844"/>
          <c:y val="8.214789734197798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cap="all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4EC-45D5-B015-8070F5B217C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4EC-45D5-B015-8070F5B217C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4EC-45D5-B015-8070F5B217C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4EC-45D5-B015-8070F5B217C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4EC-45D5-B015-8070F5B217C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74EC-45D5-B015-8070F5B217C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74EC-45D5-B015-8070F5B217C4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74EC-45D5-B015-8070F5B217C4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74EC-45D5-B015-8070F5B217C4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74EC-45D5-B015-8070F5B217C4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74EC-45D5-B015-8070F5B217C4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74EC-45D5-B015-8070F5B217C4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7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5.3736358845480628E-2"/>
                  <c:y val="-1.4134677225030482E-1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7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4EC-45D5-B015-8070F5B217C4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8807725595918236E-2"/>
                  <c:y val="7.709913005469788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7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74EC-45D5-B015-8070F5B217C4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7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"/>
                  <c:y val="1.435750179468763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7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74EC-45D5-B015-8070F5B217C4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7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7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7.2703057388096765E-2"/>
                  <c:y val="2.99088242110439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6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74EC-45D5-B015-8070F5B217C4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2363623465985669E-2"/>
                  <c:y val="3.363235374472663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7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74EC-45D5-B015-8070F5B217C4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9.056217634957793E-2"/>
                  <c:y val="-7.497442216707836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7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74EC-45D5-B015-8070F5B217C4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3.2241815307288355E-2"/>
                  <c:y val="-7.709913005469788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7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74EC-45D5-B015-8070F5B217C4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.11775476799115508"/>
                  <c:y val="-1.156486950820469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7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74EC-45D5-B015-8070F5B217C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'Struktura potrošnje'!$A$17:$A$28</c:f>
              <c:strCache>
                <c:ptCount val="12"/>
                <c:pt idx="0">
                  <c:v>Hrana i bezalkoholna pića </c:v>
                </c:pt>
                <c:pt idx="1">
                  <c:v>Alkoholna pića i duvan </c:v>
                </c:pt>
                <c:pt idx="2">
                  <c:v>Odeća i obuća </c:v>
                </c:pt>
                <c:pt idx="3">
                  <c:v>Stanovanje, voda, el. energija, gas i ostala goriva </c:v>
                </c:pt>
                <c:pt idx="4">
                  <c:v>Oprema za stan i tekuće održavanje </c:v>
                </c:pt>
                <c:pt idx="5">
                  <c:v>Zdravlje </c:v>
                </c:pt>
                <c:pt idx="6">
                  <c:v>Transport </c:v>
                </c:pt>
                <c:pt idx="7">
                  <c:v>Komunikacije </c:v>
                </c:pt>
                <c:pt idx="8">
                  <c:v>Rekreacija i kultura </c:v>
                </c:pt>
                <c:pt idx="9">
                  <c:v>Obrazovanje </c:v>
                </c:pt>
                <c:pt idx="10">
                  <c:v>Restorani i hoteli </c:v>
                </c:pt>
                <c:pt idx="11">
                  <c:v>Ostali lični predmeti i ostale usluge</c:v>
                </c:pt>
              </c:strCache>
            </c:strRef>
          </c:cat>
          <c:val>
            <c:numRef>
              <c:f>'Struktura potrošnje'!$B$17:$B$28</c:f>
              <c:numCache>
                <c:formatCode>0.0</c:formatCode>
                <c:ptCount val="12"/>
                <c:pt idx="0">
                  <c:v>50.9</c:v>
                </c:pt>
                <c:pt idx="1">
                  <c:v>4.4000000000000004</c:v>
                </c:pt>
                <c:pt idx="2">
                  <c:v>3.2</c:v>
                </c:pt>
                <c:pt idx="3">
                  <c:v>14.8</c:v>
                </c:pt>
                <c:pt idx="4">
                  <c:v>4.3</c:v>
                </c:pt>
                <c:pt idx="5">
                  <c:v>3.9</c:v>
                </c:pt>
                <c:pt idx="6">
                  <c:v>4.5999999999999996</c:v>
                </c:pt>
                <c:pt idx="7">
                  <c:v>5.4</c:v>
                </c:pt>
                <c:pt idx="8">
                  <c:v>1.6</c:v>
                </c:pt>
                <c:pt idx="9">
                  <c:v>0.5</c:v>
                </c:pt>
                <c:pt idx="10">
                  <c:v>1.3</c:v>
                </c:pt>
                <c:pt idx="11">
                  <c:v>5.0999999999999996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8-74EC-45D5-B015-8070F5B217C4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C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r-Latn-RS" sz="1000"/>
              <a:t>DESETI DECIL</a:t>
            </a:r>
            <a:endParaRPr lang="en-US" sz="1000"/>
          </a:p>
        </c:rich>
      </c:tx>
      <c:layout>
        <c:manualLayout>
          <c:xMode val="edge"/>
          <c:yMode val="edge"/>
          <c:x val="0.64794701986754955"/>
          <c:y val="8.36256220660589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cap="all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110-4BF7-A91C-36F81C057D1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110-4BF7-A91C-36F81C057D1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110-4BF7-A91C-36F81C057D1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110-4BF7-A91C-36F81C057D1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2110-4BF7-A91C-36F81C057D1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2110-4BF7-A91C-36F81C057D1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2110-4BF7-A91C-36F81C057D1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2110-4BF7-A91C-36F81C057D1D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2110-4BF7-A91C-36F81C057D1D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2110-4BF7-A91C-36F81C057D1D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2110-4BF7-A91C-36F81C057D1D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2110-4BF7-A91C-36F81C057D1D}"/>
              </c:ext>
            </c:extLst>
          </c:dPt>
          <c:dLbls>
            <c:dLbl>
              <c:idx val="0"/>
              <c:layout>
                <c:manualLayout>
                  <c:x val="-3.888888888888889E-2"/>
                  <c:y val="2.777777777777775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7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110-4BF7-A91C-36F81C057D1D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3333333333333332E-3"/>
                  <c:y val="-1.851851851851851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7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110-4BF7-A91C-36F81C057D1D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2222222222222223E-2"/>
                  <c:y val="9.2592592592592587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7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110-4BF7-A91C-36F81C057D1D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3333333333333332E-3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7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2110-4BF7-A91C-36F81C057D1D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6.9444444444444448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7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2110-4BF7-A91C-36F81C057D1D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5.0000000000000024E-2"/>
                  <c:y val="-2.777777777777777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7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2110-4BF7-A91C-36F81C057D1D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7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6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0"/>
                  <c:y val="3.778361038203557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7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2110-4BF7-A91C-36F81C057D1D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1.9444444444444445E-2"/>
                  <c:y val="1.388888888888888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7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2110-4BF7-A91C-36F81C057D1D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2.5462668816039986E-17"/>
                  <c:y val="-5.092592592592592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7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2110-4BF7-A91C-36F81C057D1D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7.2222222222222215E-2"/>
                  <c:y val="-4.6296296296296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7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2110-4BF7-A91C-36F81C057D1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'Struktura potrošnje'!$A$35:$A$46</c:f>
              <c:strCache>
                <c:ptCount val="12"/>
                <c:pt idx="0">
                  <c:v>Hrana i bezalkoholna pića </c:v>
                </c:pt>
                <c:pt idx="1">
                  <c:v>Alkoholna pića i duvan </c:v>
                </c:pt>
                <c:pt idx="2">
                  <c:v>Odeća i obuća </c:v>
                </c:pt>
                <c:pt idx="3">
                  <c:v>Stanovanje, voda, el. energija, gas i ostala goriva </c:v>
                </c:pt>
                <c:pt idx="4">
                  <c:v>Oprema za stan i tekuće održavanje </c:v>
                </c:pt>
                <c:pt idx="5">
                  <c:v>Zdravlje </c:v>
                </c:pt>
                <c:pt idx="6">
                  <c:v>Transport </c:v>
                </c:pt>
                <c:pt idx="7">
                  <c:v>Komunikacije </c:v>
                </c:pt>
                <c:pt idx="8">
                  <c:v>Rekreacija i kultura </c:v>
                </c:pt>
                <c:pt idx="9">
                  <c:v>Obrazovanje </c:v>
                </c:pt>
                <c:pt idx="10">
                  <c:v>Restorani i hoteli </c:v>
                </c:pt>
                <c:pt idx="11">
                  <c:v>Ostali lični predmeti i ostale usluge</c:v>
                </c:pt>
              </c:strCache>
            </c:strRef>
          </c:cat>
          <c:val>
            <c:numRef>
              <c:f>'Struktura potrošnje'!$B$35:$B$46</c:f>
              <c:numCache>
                <c:formatCode>0.0</c:formatCode>
                <c:ptCount val="12"/>
                <c:pt idx="0">
                  <c:v>29.6</c:v>
                </c:pt>
                <c:pt idx="1">
                  <c:v>4.5999999999999996</c:v>
                </c:pt>
                <c:pt idx="2">
                  <c:v>6.1</c:v>
                </c:pt>
                <c:pt idx="3">
                  <c:v>14</c:v>
                </c:pt>
                <c:pt idx="4">
                  <c:v>4.7</c:v>
                </c:pt>
                <c:pt idx="5">
                  <c:v>4.2</c:v>
                </c:pt>
                <c:pt idx="6">
                  <c:v>12.4</c:v>
                </c:pt>
                <c:pt idx="7">
                  <c:v>3.5</c:v>
                </c:pt>
                <c:pt idx="8">
                  <c:v>9</c:v>
                </c:pt>
                <c:pt idx="9">
                  <c:v>2.1</c:v>
                </c:pt>
                <c:pt idx="10">
                  <c:v>3.5</c:v>
                </c:pt>
                <c:pt idx="11">
                  <c:v>6.3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8-2110-4BF7-A91C-36F81C057D1D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C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1. decil</a:t>
            </a:r>
          </a:p>
        </c:rich>
      </c:tx>
      <c:layout>
        <c:manualLayout>
          <c:xMode val="edge"/>
          <c:yMode val="edge"/>
          <c:x val="0.41227436823104691"/>
          <c:y val="2.099186565205982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5088806206916441"/>
          <c:y val="0.26994350993195249"/>
          <c:w val="0.67337390518492879"/>
          <c:h val="0.68833403438149865"/>
        </c:manualLayout>
      </c:layout>
      <c:pieChart>
        <c:varyColors val="1"/>
        <c:ser>
          <c:idx val="0"/>
          <c:order val="0"/>
          <c:tx>
            <c:strRef>
              <c:f>'Struktura prihoda'!$B$10</c:f>
              <c:strCache>
                <c:ptCount val="1"/>
                <c:pt idx="0">
                  <c:v>1. 
decil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DBA-4164-A01A-6B0DCA22C62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DBA-4164-A01A-6B0DCA22C62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DBA-4164-A01A-6B0DCA22C62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DBA-4164-A01A-6B0DCA22C62E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2DBA-4164-A01A-6B0DCA22C62E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2DBA-4164-A01A-6B0DCA22C62E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2DBA-4164-A01A-6B0DCA22C62E}"/>
              </c:ext>
            </c:extLst>
          </c:dPt>
          <c:dLbls>
            <c:dLbl>
              <c:idx val="1"/>
              <c:layout>
                <c:manualLayout>
                  <c:x val="-0.18274406132446439"/>
                  <c:y val="-0.1675692204703748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DBA-4164-A01A-6B0DCA22C62E}"/>
                </c:ext>
                <c:ext xmlns:c15="http://schemas.microsoft.com/office/drawing/2012/chart" uri="{CE6537A1-D6FC-4f65-9D91-7224C49458BB}">
                  <c15:layout>
                    <c:manualLayout>
                      <c:w val="0.28866425992779782"/>
                      <c:h val="0.18462345840986619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7.5029989482361642E-2"/>
                  <c:y val="-2.5909251503625024E-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DBA-4164-A01A-6B0DCA22C62E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7.0926930892835742E-3"/>
                  <c:y val="5.22689110732481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2DBA-4164-A01A-6B0DCA22C62E}"/>
                </c:ext>
                <c:ext xmlns:c15="http://schemas.microsoft.com/office/drawing/2012/chart" uri="{CE6537A1-D6FC-4f65-9D91-7224C49458BB}">
                  <c15:layout>
                    <c:manualLayout>
                      <c:w val="0.24726947593089324"/>
                      <c:h val="0.20378212209245186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8.9056052929078616E-2"/>
                  <c:y val="0.1154049650471021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2DBA-4164-A01A-6B0DCA22C62E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3.3041254458577293E-2"/>
                  <c:y val="5.491644423129085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2DBA-4164-A01A-6B0DCA22C62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'Struktura prihoda'!$A$11:$A$17</c:f>
              <c:strCache>
                <c:ptCount val="7"/>
                <c:pt idx="0">
                  <c:v>Prihod od zarade</c:v>
                </c:pt>
                <c:pt idx="1">
                  <c:v>Prihod od samozaposlenosti</c:v>
                </c:pt>
                <c:pt idx="2">
                  <c:v>Prihod od imovine</c:v>
                </c:pt>
                <c:pt idx="3">
                  <c:v>Penzije</c:v>
                </c:pt>
                <c:pt idx="4">
                  <c:v>Naknada za nezaposlenost</c:v>
                </c:pt>
                <c:pt idx="5">
                  <c:v>Socijalni transferi </c:v>
                </c:pt>
                <c:pt idx="6">
                  <c:v>Ostala primanja</c:v>
                </c:pt>
              </c:strCache>
            </c:strRef>
          </c:cat>
          <c:val>
            <c:numRef>
              <c:f>'Struktura prihoda'!$B$11:$B$17</c:f>
              <c:numCache>
                <c:formatCode>0.0</c:formatCode>
                <c:ptCount val="7"/>
                <c:pt idx="0">
                  <c:v>33.4</c:v>
                </c:pt>
                <c:pt idx="1">
                  <c:v>8.5</c:v>
                </c:pt>
                <c:pt idx="2">
                  <c:v>0.1</c:v>
                </c:pt>
                <c:pt idx="3">
                  <c:v>43.4</c:v>
                </c:pt>
                <c:pt idx="4">
                  <c:v>0.3</c:v>
                </c:pt>
                <c:pt idx="5">
                  <c:v>12.4</c:v>
                </c:pt>
                <c:pt idx="6">
                  <c:v>1.9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2DBA-4164-A01A-6B0DCA22C62E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C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10.</a:t>
            </a:r>
            <a:r>
              <a:rPr lang="sr-Latn-RS" sz="1100"/>
              <a:t> </a:t>
            </a:r>
            <a:r>
              <a:rPr lang="en-US" sz="1100"/>
              <a:t>decil</a:t>
            </a:r>
          </a:p>
        </c:rich>
      </c:tx>
      <c:layout>
        <c:manualLayout>
          <c:xMode val="edge"/>
          <c:yMode val="edge"/>
          <c:x val="0.42041549891009389"/>
          <c:y val="2.513227513227513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1890266393974922"/>
          <c:y val="0.25660615339749199"/>
          <c:w val="0.58124244469441322"/>
          <c:h val="0.70637102653834949"/>
        </c:manualLayout>
      </c:layout>
      <c:pieChart>
        <c:varyColors val="1"/>
        <c:ser>
          <c:idx val="0"/>
          <c:order val="0"/>
          <c:tx>
            <c:strRef>
              <c:f>'Struktura prihoda'!$B$24</c:f>
              <c:strCache>
                <c:ptCount val="1"/>
                <c:pt idx="0">
                  <c:v>10. 
decil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6AB-430C-924E-E20E51F18112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6AB-430C-924E-E20E51F18112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6AB-430C-924E-E20E51F18112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6AB-430C-924E-E20E51F18112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6AB-430C-924E-E20E51F18112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A6AB-430C-924E-E20E51F18112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A6AB-430C-924E-E20E51F18112}"/>
              </c:ext>
            </c:extLst>
          </c:dPt>
          <c:dLbls>
            <c:dLbl>
              <c:idx val="0"/>
              <c:layout>
                <c:manualLayout>
                  <c:x val="-0.2"/>
                  <c:y val="-0.12500000000000008"/>
                </c:manualLayout>
              </c:layout>
              <c:tx>
                <c:rich>
                  <a:bodyPr/>
                  <a:lstStyle/>
                  <a:p>
                    <a:fld id="{A5372BEA-359D-40CE-9B93-D171AF22A3EA}" type="CATEGORYNAME">
                      <a:rPr lang="en-US"/>
                      <a:pPr/>
                      <a:t>[Ime kategorije]</a:t>
                    </a:fld>
                    <a:r>
                      <a:rPr lang="en-US" baseline="0"/>
                      <a:t>
72%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6AB-430C-924E-E20E51F18112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0.14898936785444189"/>
                  <c:y val="5.1587301587301584E-2"/>
                </c:manualLayout>
              </c:layout>
              <c:tx>
                <c:rich>
                  <a:bodyPr/>
                  <a:lstStyle/>
                  <a:p>
                    <a:fld id="{A98D3D06-BF69-4E5F-BBCA-F211079DF4BA}" type="CATEGORYNAME">
                      <a:rPr lang="en-US"/>
                      <a:pPr/>
                      <a:t>[Ime kategorije]</a:t>
                    </a:fld>
                    <a:r>
                      <a:rPr lang="en-US" baseline="0"/>
                      <a:t>
9%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A6AB-430C-924E-E20E51F18112}"/>
                </c:ext>
                <c:ext xmlns:c15="http://schemas.microsoft.com/office/drawing/2012/chart" uri="{CE6537A1-D6FC-4f65-9D91-7224C49458BB}">
                  <c15:layout>
                    <c:manualLayout>
                      <c:w val="0.30054219493749718"/>
                      <c:h val="0.18613756613756613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8.4000575102313384E-18"/>
                  <c:y val="-9.2592592592592587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A6AB-430C-924E-E20E51F18112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2313873740950959E-2"/>
                  <c:y val="0.1574074074074074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A6AB-430C-924E-E20E51F18112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25304542016993636"/>
                  <c:y val="4.629650460359122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A6AB-430C-924E-E20E51F18112}"/>
                </c:ext>
                <c:ext xmlns:c15="http://schemas.microsoft.com/office/drawing/2012/chart" uri="{CE6537A1-D6FC-4f65-9D91-7224C49458BB}">
                  <c15:layout>
                    <c:manualLayout>
                      <c:w val="0.27524404583576501"/>
                      <c:h val="0.2173148148148148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4.3986263817141893E-2"/>
                  <c:y val="-1.060944534001666E-1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A6AB-430C-924E-E20E51F18112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2829326946666367"/>
                  <c:y val="4.6296296296296086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A6AB-430C-924E-E20E51F1811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'Struktura prihoda'!$A$25:$A$31</c:f>
              <c:strCache>
                <c:ptCount val="7"/>
                <c:pt idx="0">
                  <c:v>Prihod od zarade</c:v>
                </c:pt>
                <c:pt idx="1">
                  <c:v>Prihod od samozaposlenosti</c:v>
                </c:pt>
                <c:pt idx="2">
                  <c:v>Prihod od imovine</c:v>
                </c:pt>
                <c:pt idx="3">
                  <c:v>Penzije</c:v>
                </c:pt>
                <c:pt idx="4">
                  <c:v>Naknada za nezaposlenost</c:v>
                </c:pt>
                <c:pt idx="5">
                  <c:v>Socijalni transferi </c:v>
                </c:pt>
                <c:pt idx="6">
                  <c:v>Ostala primanja</c:v>
                </c:pt>
              </c:strCache>
            </c:strRef>
          </c:cat>
          <c:val>
            <c:numRef>
              <c:f>'Struktura prihoda'!$B$25:$B$31</c:f>
              <c:numCache>
                <c:formatCode>0.0</c:formatCode>
                <c:ptCount val="7"/>
                <c:pt idx="0">
                  <c:v>71.5</c:v>
                </c:pt>
                <c:pt idx="1">
                  <c:v>8.5</c:v>
                </c:pt>
                <c:pt idx="2">
                  <c:v>0.2</c:v>
                </c:pt>
                <c:pt idx="3">
                  <c:v>19.2</c:v>
                </c:pt>
                <c:pt idx="4" formatCode="General">
                  <c:v>0</c:v>
                </c:pt>
                <c:pt idx="5">
                  <c:v>0.2</c:v>
                </c:pt>
                <c:pt idx="6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A6AB-430C-924E-E20E51F18112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C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tint val="43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1">
                  <a:tint val="56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1">
                  <a:tint val="69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1">
                  <a:tint val="81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1">
                  <a:tint val="94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1">
                  <a:shade val="93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shade val="8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1">
                  <a:shade val="68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1">
                  <a:shade val="55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1">
                  <a:shade val="42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List2!$B$1:$K$1</c:f>
              <c:strCache>
                <c:ptCount val="10"/>
                <c:pt idx="0">
                  <c:v>1. 
decil</c:v>
                </c:pt>
                <c:pt idx="1">
                  <c:v>2.
decil</c:v>
                </c:pt>
                <c:pt idx="2">
                  <c:v>3. 
decil</c:v>
                </c:pt>
                <c:pt idx="3">
                  <c:v>4. 
decil</c:v>
                </c:pt>
                <c:pt idx="4">
                  <c:v>5. 
decil</c:v>
                </c:pt>
                <c:pt idx="5">
                  <c:v>6. 
decil</c:v>
                </c:pt>
                <c:pt idx="6">
                  <c:v>7. 
decil</c:v>
                </c:pt>
                <c:pt idx="7">
                  <c:v>8. 
decil</c:v>
                </c:pt>
                <c:pt idx="8">
                  <c:v>9. 
decil</c:v>
                </c:pt>
                <c:pt idx="9">
                  <c:v>10. 
decil</c:v>
                </c:pt>
              </c:strCache>
            </c:strRef>
          </c:cat>
          <c:val>
            <c:numRef>
              <c:f>List2!$B$3:$K$3</c:f>
              <c:numCache>
                <c:formatCode>0.0</c:formatCode>
                <c:ptCount val="10"/>
                <c:pt idx="0">
                  <c:v>3</c:v>
                </c:pt>
                <c:pt idx="1">
                  <c:v>5.0999999999999996</c:v>
                </c:pt>
                <c:pt idx="2">
                  <c:v>6.4</c:v>
                </c:pt>
                <c:pt idx="3">
                  <c:v>7.6</c:v>
                </c:pt>
                <c:pt idx="4">
                  <c:v>8.4</c:v>
                </c:pt>
                <c:pt idx="5">
                  <c:v>9.6999999999999993</c:v>
                </c:pt>
                <c:pt idx="6">
                  <c:v>11</c:v>
                </c:pt>
                <c:pt idx="7">
                  <c:v>12.6</c:v>
                </c:pt>
                <c:pt idx="8">
                  <c:v>14.8</c:v>
                </c:pt>
                <c:pt idx="9">
                  <c:v>21.4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ysClr val="window" lastClr="FFFFFF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C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r-Latn-RS">
                <a:solidFill>
                  <a:sysClr val="windowText" lastClr="000000"/>
                </a:solidFill>
              </a:rPr>
              <a:t>Medijana potrošnje</a:t>
            </a:r>
            <a:endParaRPr lang="en-US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6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'Medijalna potrošnja'!$A$3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'Medijalna potrošnja'!$B$2:$L$2</c:f>
              <c:strCache>
                <c:ptCount val="11"/>
                <c:pt idx="0">
                  <c:v>Ukupno</c:v>
                </c:pt>
                <c:pt idx="1">
                  <c:v>1. 
decil</c:v>
                </c:pt>
                <c:pt idx="2">
                  <c:v>2.
decil</c:v>
                </c:pt>
                <c:pt idx="3">
                  <c:v>3. 
decil</c:v>
                </c:pt>
                <c:pt idx="4">
                  <c:v>4. 
decil</c:v>
                </c:pt>
                <c:pt idx="5">
                  <c:v>5. 
decil</c:v>
                </c:pt>
                <c:pt idx="6">
                  <c:v>6. 
decil</c:v>
                </c:pt>
                <c:pt idx="7">
                  <c:v>7. 
decil</c:v>
                </c:pt>
                <c:pt idx="8">
                  <c:v>8. 
decil</c:v>
                </c:pt>
                <c:pt idx="9">
                  <c:v>9. 
decil</c:v>
                </c:pt>
                <c:pt idx="10">
                  <c:v>10. 
decil</c:v>
                </c:pt>
              </c:strCache>
            </c:strRef>
          </c:cat>
          <c:val>
            <c:numRef>
              <c:f>'Medijalna potrošnja'!$B$3:$L$3</c:f>
              <c:numCache>
                <c:formatCode>0</c:formatCode>
                <c:ptCount val="11"/>
                <c:pt idx="0">
                  <c:v>26136</c:v>
                </c:pt>
                <c:pt idx="1">
                  <c:v>11453</c:v>
                </c:pt>
                <c:pt idx="2">
                  <c:v>15750</c:v>
                </c:pt>
                <c:pt idx="3">
                  <c:v>18780</c:v>
                </c:pt>
                <c:pt idx="4">
                  <c:v>21576</c:v>
                </c:pt>
                <c:pt idx="5">
                  <c:v>24628</c:v>
                </c:pt>
                <c:pt idx="6">
                  <c:v>27872</c:v>
                </c:pt>
                <c:pt idx="7">
                  <c:v>31891</c:v>
                </c:pt>
                <c:pt idx="8">
                  <c:v>36986</c:v>
                </c:pt>
                <c:pt idx="9">
                  <c:v>44585</c:v>
                </c:pt>
                <c:pt idx="10">
                  <c:v>63734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0AA-44F1-86CE-92799FC066AC}"/>
            </c:ext>
          </c:extLst>
        </c:ser>
        <c:ser>
          <c:idx val="1"/>
          <c:order val="1"/>
          <c:tx>
            <c:strRef>
              <c:f>'Medijalna potrošnja'!$A$4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'Medijalna potrošnja'!$B$2:$L$2</c:f>
              <c:strCache>
                <c:ptCount val="11"/>
                <c:pt idx="0">
                  <c:v>Ukupno</c:v>
                </c:pt>
                <c:pt idx="1">
                  <c:v>1. 
decil</c:v>
                </c:pt>
                <c:pt idx="2">
                  <c:v>2.
decil</c:v>
                </c:pt>
                <c:pt idx="3">
                  <c:v>3. 
decil</c:v>
                </c:pt>
                <c:pt idx="4">
                  <c:v>4. 
decil</c:v>
                </c:pt>
                <c:pt idx="5">
                  <c:v>5. 
decil</c:v>
                </c:pt>
                <c:pt idx="6">
                  <c:v>6. 
decil</c:v>
                </c:pt>
                <c:pt idx="7">
                  <c:v>7. 
decil</c:v>
                </c:pt>
                <c:pt idx="8">
                  <c:v>8. 
decil</c:v>
                </c:pt>
                <c:pt idx="9">
                  <c:v>9. 
decil</c:v>
                </c:pt>
                <c:pt idx="10">
                  <c:v>10. 
decil</c:v>
                </c:pt>
              </c:strCache>
            </c:strRef>
          </c:cat>
          <c:val>
            <c:numRef>
              <c:f>'Medijalna potrošnja'!$B$4:$L$4</c:f>
              <c:numCache>
                <c:formatCode>0</c:formatCode>
                <c:ptCount val="11"/>
                <c:pt idx="0">
                  <c:v>27739</c:v>
                </c:pt>
                <c:pt idx="1">
                  <c:v>11692</c:v>
                </c:pt>
                <c:pt idx="2">
                  <c:v>16629</c:v>
                </c:pt>
                <c:pt idx="3">
                  <c:v>20034</c:v>
                </c:pt>
                <c:pt idx="4">
                  <c:v>23146</c:v>
                </c:pt>
                <c:pt idx="5">
                  <c:v>26193</c:v>
                </c:pt>
                <c:pt idx="6">
                  <c:v>29426</c:v>
                </c:pt>
                <c:pt idx="7">
                  <c:v>33453</c:v>
                </c:pt>
                <c:pt idx="8">
                  <c:v>38668</c:v>
                </c:pt>
                <c:pt idx="9">
                  <c:v>46171</c:v>
                </c:pt>
                <c:pt idx="10">
                  <c:v>62912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0AA-44F1-86CE-92799FC066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499077952"/>
        <c:axId val="-499077408"/>
      </c:barChart>
      <c:catAx>
        <c:axId val="-499077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499077408"/>
        <c:crosses val="autoZero"/>
        <c:auto val="1"/>
        <c:lblAlgn val="ctr"/>
        <c:lblOffset val="100"/>
        <c:noMultiLvlLbl val="0"/>
      </c:catAx>
      <c:valAx>
        <c:axId val="-499077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499077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C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r-Latn-RS" sz="1100">
                <a:solidFill>
                  <a:sysClr val="windowText" lastClr="000000"/>
                </a:solidFill>
              </a:rPr>
              <a:t>Medijana prihoda</a:t>
            </a:r>
            <a:endParaRPr lang="en-US" sz="1100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'Medijalna potrošnja'!$A$8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'Medijalna potrošnja'!$B$7:$L$7</c:f>
              <c:strCache>
                <c:ptCount val="11"/>
                <c:pt idx="0">
                  <c:v>Ukupno</c:v>
                </c:pt>
                <c:pt idx="1">
                  <c:v>1. 
decil</c:v>
                </c:pt>
                <c:pt idx="2">
                  <c:v>2.
decil</c:v>
                </c:pt>
                <c:pt idx="3">
                  <c:v>3. 
decil</c:v>
                </c:pt>
                <c:pt idx="4">
                  <c:v>4. 
decil</c:v>
                </c:pt>
                <c:pt idx="5">
                  <c:v>5. 
decil</c:v>
                </c:pt>
                <c:pt idx="6">
                  <c:v>6. 
decil</c:v>
                </c:pt>
                <c:pt idx="7">
                  <c:v>7. 
decil</c:v>
                </c:pt>
                <c:pt idx="8">
                  <c:v>8. 
decil</c:v>
                </c:pt>
                <c:pt idx="9">
                  <c:v>9. 
decil</c:v>
                </c:pt>
                <c:pt idx="10">
                  <c:v>10. 
decil</c:v>
                </c:pt>
              </c:strCache>
            </c:strRef>
          </c:cat>
          <c:val>
            <c:numRef>
              <c:f>'Medijalna potrošnja'!$B$8:$L$8</c:f>
              <c:numCache>
                <c:formatCode>0</c:formatCode>
                <c:ptCount val="11"/>
                <c:pt idx="0">
                  <c:v>31600</c:v>
                </c:pt>
                <c:pt idx="1">
                  <c:v>10333</c:v>
                </c:pt>
                <c:pt idx="2">
                  <c:v>17200</c:v>
                </c:pt>
                <c:pt idx="3">
                  <c:v>21333</c:v>
                </c:pt>
                <c:pt idx="4">
                  <c:v>25714</c:v>
                </c:pt>
                <c:pt idx="5">
                  <c:v>29333</c:v>
                </c:pt>
                <c:pt idx="6">
                  <c:v>33393</c:v>
                </c:pt>
                <c:pt idx="7">
                  <c:v>38667</c:v>
                </c:pt>
                <c:pt idx="8">
                  <c:v>44423</c:v>
                </c:pt>
                <c:pt idx="9">
                  <c:v>53333</c:v>
                </c:pt>
                <c:pt idx="10">
                  <c:v>75286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33F-49F1-8BD4-5E2611F85899}"/>
            </c:ext>
          </c:extLst>
        </c:ser>
        <c:ser>
          <c:idx val="1"/>
          <c:order val="1"/>
          <c:tx>
            <c:strRef>
              <c:f>'Medijalna potrošnja'!$A$9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'Medijalna potrošnja'!$B$7:$L$7</c:f>
              <c:strCache>
                <c:ptCount val="11"/>
                <c:pt idx="0">
                  <c:v>Ukupno</c:v>
                </c:pt>
                <c:pt idx="1">
                  <c:v>1. 
decil</c:v>
                </c:pt>
                <c:pt idx="2">
                  <c:v>2.
decil</c:v>
                </c:pt>
                <c:pt idx="3">
                  <c:v>3. 
decil</c:v>
                </c:pt>
                <c:pt idx="4">
                  <c:v>4. 
decil</c:v>
                </c:pt>
                <c:pt idx="5">
                  <c:v>5. 
decil</c:v>
                </c:pt>
                <c:pt idx="6">
                  <c:v>6. 
decil</c:v>
                </c:pt>
                <c:pt idx="7">
                  <c:v>7. 
decil</c:v>
                </c:pt>
                <c:pt idx="8">
                  <c:v>8. 
decil</c:v>
                </c:pt>
                <c:pt idx="9">
                  <c:v>9. 
decil</c:v>
                </c:pt>
                <c:pt idx="10">
                  <c:v>10. 
decil</c:v>
                </c:pt>
              </c:strCache>
            </c:strRef>
          </c:cat>
          <c:val>
            <c:numRef>
              <c:f>'Medijalna potrošnja'!$B$9:$L$9</c:f>
              <c:numCache>
                <c:formatCode>0</c:formatCode>
                <c:ptCount val="11"/>
                <c:pt idx="0">
                  <c:v>33333</c:v>
                </c:pt>
                <c:pt idx="1">
                  <c:v>12500</c:v>
                </c:pt>
                <c:pt idx="2">
                  <c:v>19247</c:v>
                </c:pt>
                <c:pt idx="3">
                  <c:v>24000</c:v>
                </c:pt>
                <c:pt idx="4">
                  <c:v>28178</c:v>
                </c:pt>
                <c:pt idx="5">
                  <c:v>32087</c:v>
                </c:pt>
                <c:pt idx="6">
                  <c:v>36505</c:v>
                </c:pt>
                <c:pt idx="7">
                  <c:v>41200</c:v>
                </c:pt>
                <c:pt idx="8">
                  <c:v>47284</c:v>
                </c:pt>
                <c:pt idx="9">
                  <c:v>55485</c:v>
                </c:pt>
                <c:pt idx="10">
                  <c:v>75000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33F-49F1-8BD4-5E2611F858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499076320"/>
        <c:axId val="-440330608"/>
      </c:barChart>
      <c:catAx>
        <c:axId val="-499076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440330608"/>
        <c:crosses val="autoZero"/>
        <c:auto val="1"/>
        <c:lblAlgn val="ctr"/>
        <c:lblOffset val="100"/>
        <c:noMultiLvlLbl val="0"/>
      </c:catAx>
      <c:valAx>
        <c:axId val="-440330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499076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C56A46-CD12-46FE-B26A-A51F80D1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6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Mladenovic</dc:creator>
  <cp:keywords/>
  <dc:description/>
  <cp:lastModifiedBy>SIPRU</cp:lastModifiedBy>
  <cp:revision>80</cp:revision>
  <dcterms:created xsi:type="dcterms:W3CDTF">2021-10-12T08:41:00Z</dcterms:created>
  <dcterms:modified xsi:type="dcterms:W3CDTF">2021-10-18T08:57:00Z</dcterms:modified>
</cp:coreProperties>
</file>